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0695" w:rsidRPr="000D0695" w:rsidRDefault="000D0695" w:rsidP="001A68C4">
      <w:pPr>
        <w:spacing w:line="360" w:lineRule="auto"/>
        <w:jc w:val="both"/>
        <w:rPr>
          <w:rFonts w:ascii="Verdana" w:hAnsi="Verdana"/>
          <w:sz w:val="18"/>
          <w:szCs w:val="18"/>
          <w:lang w:val="nl-NL"/>
        </w:rPr>
      </w:pPr>
      <w:bookmarkStart w:id="0" w:name="_GoBack"/>
      <w:bookmarkEnd w:id="0"/>
      <w:r w:rsidRPr="000D0695">
        <w:rPr>
          <w:rFonts w:ascii="Verdana" w:hAnsi="Verdana"/>
          <w:b/>
          <w:sz w:val="18"/>
          <w:szCs w:val="18"/>
          <w:lang w:val="nl-NL"/>
        </w:rPr>
        <w:t xml:space="preserve">Goedkeuring van </w:t>
      </w:r>
      <w:r w:rsidR="004131BB">
        <w:rPr>
          <w:rFonts w:ascii="Verdana" w:hAnsi="Verdana"/>
          <w:b/>
          <w:sz w:val="18"/>
          <w:szCs w:val="18"/>
          <w:lang w:val="nl-NL"/>
        </w:rPr>
        <w:t xml:space="preserve">het op 2 </w:t>
      </w:r>
      <w:r w:rsidR="009870B1">
        <w:rPr>
          <w:rFonts w:ascii="Verdana" w:hAnsi="Verdana"/>
          <w:b/>
          <w:sz w:val="18"/>
          <w:szCs w:val="18"/>
          <w:lang w:val="nl-NL"/>
        </w:rPr>
        <w:t>oktober</w:t>
      </w:r>
      <w:r w:rsidR="004131BB">
        <w:rPr>
          <w:rFonts w:ascii="Verdana" w:hAnsi="Verdana"/>
          <w:b/>
          <w:sz w:val="18"/>
          <w:szCs w:val="18"/>
          <w:lang w:val="nl-NL"/>
        </w:rPr>
        <w:t xml:space="preserve"> 2013 te Straatsburg tot stand gekomen </w:t>
      </w:r>
      <w:r w:rsidRPr="000D0695">
        <w:rPr>
          <w:rFonts w:ascii="Verdana" w:hAnsi="Verdana"/>
          <w:b/>
          <w:sz w:val="18"/>
          <w:szCs w:val="18"/>
          <w:lang w:val="nl-NL"/>
        </w:rPr>
        <w:t xml:space="preserve">Protocol </w:t>
      </w:r>
      <w:r>
        <w:rPr>
          <w:rFonts w:ascii="Verdana" w:hAnsi="Verdana"/>
          <w:b/>
          <w:sz w:val="18"/>
          <w:szCs w:val="18"/>
          <w:lang w:val="nl-NL"/>
        </w:rPr>
        <w:t>nr. 1</w:t>
      </w:r>
      <w:r w:rsidR="009870B1">
        <w:rPr>
          <w:rFonts w:ascii="Verdana" w:hAnsi="Verdana"/>
          <w:b/>
          <w:sz w:val="18"/>
          <w:szCs w:val="18"/>
          <w:lang w:val="nl-NL"/>
        </w:rPr>
        <w:t>6</w:t>
      </w:r>
      <w:r>
        <w:rPr>
          <w:rFonts w:ascii="Verdana" w:hAnsi="Verdana"/>
          <w:b/>
          <w:sz w:val="18"/>
          <w:szCs w:val="18"/>
          <w:lang w:val="nl-NL"/>
        </w:rPr>
        <w:t xml:space="preserve"> </w:t>
      </w:r>
      <w:r w:rsidR="004C113A">
        <w:rPr>
          <w:rFonts w:ascii="Verdana" w:hAnsi="Verdana"/>
          <w:b/>
          <w:sz w:val="18"/>
          <w:szCs w:val="18"/>
          <w:lang w:val="nl-NL"/>
        </w:rPr>
        <w:t xml:space="preserve">tot </w:t>
      </w:r>
      <w:r w:rsidR="004131BB">
        <w:rPr>
          <w:rFonts w:ascii="Verdana" w:hAnsi="Verdana"/>
          <w:b/>
          <w:sz w:val="18"/>
          <w:szCs w:val="18"/>
          <w:lang w:val="nl-NL"/>
        </w:rPr>
        <w:t xml:space="preserve">wijziging van </w:t>
      </w:r>
      <w:r w:rsidRPr="000D0695">
        <w:rPr>
          <w:rFonts w:ascii="Verdana" w:hAnsi="Verdana"/>
          <w:b/>
          <w:sz w:val="18"/>
          <w:szCs w:val="18"/>
          <w:lang w:val="nl-NL"/>
        </w:rPr>
        <w:t>het Verdrag tot bescherming van de rechten van de men</w:t>
      </w:r>
      <w:r>
        <w:rPr>
          <w:rFonts w:ascii="Verdana" w:hAnsi="Verdana"/>
          <w:b/>
          <w:sz w:val="18"/>
          <w:szCs w:val="18"/>
          <w:lang w:val="nl-NL"/>
        </w:rPr>
        <w:t>s en de fundamentele vrijheden</w:t>
      </w:r>
      <w:r w:rsidR="004131BB">
        <w:rPr>
          <w:rFonts w:ascii="Verdana" w:hAnsi="Verdana"/>
          <w:b/>
          <w:sz w:val="18"/>
          <w:szCs w:val="18"/>
          <w:lang w:val="nl-NL"/>
        </w:rPr>
        <w:t xml:space="preserve"> (</w:t>
      </w:r>
      <w:proofErr w:type="spellStart"/>
      <w:r w:rsidR="004131BB">
        <w:rPr>
          <w:rFonts w:ascii="Verdana" w:hAnsi="Verdana"/>
          <w:b/>
          <w:sz w:val="18"/>
          <w:szCs w:val="18"/>
          <w:lang w:val="nl-NL"/>
        </w:rPr>
        <w:t>Trb</w:t>
      </w:r>
      <w:proofErr w:type="spellEnd"/>
      <w:r w:rsidR="004131BB">
        <w:rPr>
          <w:rFonts w:ascii="Verdana" w:hAnsi="Verdana"/>
          <w:b/>
          <w:sz w:val="18"/>
          <w:szCs w:val="18"/>
          <w:lang w:val="nl-NL"/>
        </w:rPr>
        <w:t xml:space="preserve">. </w:t>
      </w:r>
      <w:r w:rsidR="0042373C">
        <w:rPr>
          <w:rFonts w:ascii="Verdana" w:hAnsi="Verdana"/>
          <w:b/>
          <w:sz w:val="18"/>
          <w:szCs w:val="18"/>
          <w:lang w:val="nl-NL"/>
        </w:rPr>
        <w:t xml:space="preserve">2013, 241 en </w:t>
      </w:r>
      <w:proofErr w:type="spellStart"/>
      <w:r w:rsidR="0042373C">
        <w:rPr>
          <w:rFonts w:ascii="Verdana" w:hAnsi="Verdana"/>
          <w:b/>
          <w:sz w:val="18"/>
          <w:szCs w:val="18"/>
          <w:lang w:val="nl-NL"/>
        </w:rPr>
        <w:t>Trb</w:t>
      </w:r>
      <w:proofErr w:type="spellEnd"/>
      <w:r w:rsidR="0042373C">
        <w:rPr>
          <w:rFonts w:ascii="Verdana" w:hAnsi="Verdana"/>
          <w:b/>
          <w:sz w:val="18"/>
          <w:szCs w:val="18"/>
          <w:lang w:val="nl-NL"/>
        </w:rPr>
        <w:t>. 2014, 74</w:t>
      </w:r>
      <w:r w:rsidR="004131BB">
        <w:rPr>
          <w:rFonts w:ascii="Verdana" w:hAnsi="Verdana"/>
          <w:b/>
          <w:sz w:val="18"/>
          <w:szCs w:val="18"/>
          <w:lang w:val="nl-NL"/>
        </w:rPr>
        <w:t>)</w:t>
      </w:r>
    </w:p>
    <w:p w:rsidR="000D0695" w:rsidRDefault="000D0695" w:rsidP="001A68C4">
      <w:pPr>
        <w:spacing w:line="360" w:lineRule="auto"/>
        <w:jc w:val="both"/>
        <w:rPr>
          <w:rFonts w:ascii="Verdana" w:hAnsi="Verdana"/>
          <w:b/>
          <w:sz w:val="18"/>
          <w:szCs w:val="18"/>
          <w:lang w:val="nl-NL"/>
        </w:rPr>
      </w:pPr>
    </w:p>
    <w:p w:rsidR="00761D6E" w:rsidRPr="000D0695" w:rsidRDefault="003F0462" w:rsidP="001A68C4">
      <w:pPr>
        <w:spacing w:line="360" w:lineRule="auto"/>
        <w:jc w:val="both"/>
        <w:rPr>
          <w:rFonts w:ascii="Verdana" w:hAnsi="Verdana"/>
          <w:b/>
          <w:sz w:val="18"/>
          <w:szCs w:val="18"/>
          <w:lang w:val="nl-NL"/>
        </w:rPr>
      </w:pPr>
      <w:r>
        <w:rPr>
          <w:rFonts w:ascii="Verdana" w:hAnsi="Verdana"/>
          <w:b/>
          <w:sz w:val="18"/>
          <w:szCs w:val="18"/>
          <w:lang w:val="nl-NL"/>
        </w:rPr>
        <w:t>Memorie van toelichting</w:t>
      </w:r>
    </w:p>
    <w:p w:rsidR="00761D6E" w:rsidRPr="000D0695" w:rsidRDefault="00761D6E" w:rsidP="001A68C4">
      <w:pPr>
        <w:spacing w:line="360" w:lineRule="auto"/>
        <w:jc w:val="both"/>
        <w:rPr>
          <w:rFonts w:ascii="Verdana" w:hAnsi="Verdana"/>
          <w:sz w:val="18"/>
          <w:szCs w:val="18"/>
          <w:lang w:val="nl-NL"/>
        </w:rPr>
      </w:pPr>
    </w:p>
    <w:p w:rsidR="00CA24A4" w:rsidRPr="00252641" w:rsidRDefault="00B87F91" w:rsidP="00252641">
      <w:pPr>
        <w:spacing w:line="360" w:lineRule="auto"/>
        <w:jc w:val="both"/>
        <w:rPr>
          <w:rFonts w:ascii="Verdana" w:hAnsi="Verdana"/>
          <w:b/>
          <w:sz w:val="18"/>
          <w:szCs w:val="18"/>
          <w:lang w:val="nl-NL"/>
        </w:rPr>
      </w:pPr>
      <w:r>
        <w:rPr>
          <w:rFonts w:ascii="Verdana" w:hAnsi="Verdana"/>
          <w:b/>
          <w:sz w:val="18"/>
          <w:szCs w:val="18"/>
          <w:lang w:val="nl-NL"/>
        </w:rPr>
        <w:t xml:space="preserve">1. </w:t>
      </w:r>
      <w:r w:rsidR="00761D6E" w:rsidRPr="000D0695">
        <w:rPr>
          <w:rFonts w:ascii="Verdana" w:hAnsi="Verdana"/>
          <w:b/>
          <w:sz w:val="18"/>
          <w:szCs w:val="18"/>
          <w:lang w:val="nl-NL"/>
        </w:rPr>
        <w:t>Inleiding</w:t>
      </w:r>
    </w:p>
    <w:p w:rsidR="004131BB" w:rsidRDefault="006731A8" w:rsidP="001A68C4">
      <w:pPr>
        <w:spacing w:line="360" w:lineRule="auto"/>
        <w:jc w:val="both"/>
        <w:rPr>
          <w:rFonts w:ascii="Verdana" w:hAnsi="Verdana"/>
          <w:sz w:val="18"/>
          <w:szCs w:val="18"/>
          <w:lang w:val="nl-NL"/>
        </w:rPr>
      </w:pPr>
      <w:r>
        <w:rPr>
          <w:rFonts w:ascii="Verdana" w:hAnsi="Verdana"/>
          <w:sz w:val="18"/>
          <w:szCs w:val="18"/>
          <w:lang w:val="nl-NL"/>
        </w:rPr>
        <w:t>Het onderhavige Protocol nr. 1</w:t>
      </w:r>
      <w:r w:rsidR="009870B1">
        <w:rPr>
          <w:rFonts w:ascii="Verdana" w:hAnsi="Verdana"/>
          <w:sz w:val="18"/>
          <w:szCs w:val="18"/>
          <w:lang w:val="nl-NL"/>
        </w:rPr>
        <w:t>6</w:t>
      </w:r>
      <w:r>
        <w:rPr>
          <w:rFonts w:ascii="Verdana" w:hAnsi="Verdana"/>
          <w:sz w:val="18"/>
          <w:szCs w:val="18"/>
          <w:lang w:val="nl-NL"/>
        </w:rPr>
        <w:t xml:space="preserve"> dat hierbij ter parlementaire goedkeuring wordt aangeboden</w:t>
      </w:r>
      <w:r w:rsidR="00AE162B">
        <w:rPr>
          <w:rFonts w:ascii="Verdana" w:hAnsi="Verdana"/>
          <w:sz w:val="18"/>
          <w:szCs w:val="18"/>
          <w:lang w:val="nl-NL"/>
        </w:rPr>
        <w:t>,</w:t>
      </w:r>
      <w:r>
        <w:rPr>
          <w:rFonts w:ascii="Verdana" w:hAnsi="Verdana"/>
          <w:sz w:val="18"/>
          <w:szCs w:val="18"/>
          <w:lang w:val="nl-NL"/>
        </w:rPr>
        <w:t xml:space="preserve"> is </w:t>
      </w:r>
      <w:r w:rsidR="00AE162B">
        <w:rPr>
          <w:rFonts w:ascii="Verdana" w:hAnsi="Verdana"/>
          <w:sz w:val="18"/>
          <w:szCs w:val="18"/>
          <w:lang w:val="nl-NL"/>
        </w:rPr>
        <w:t xml:space="preserve">op 2 </w:t>
      </w:r>
      <w:r w:rsidR="009870B1">
        <w:rPr>
          <w:rFonts w:ascii="Verdana" w:hAnsi="Verdana"/>
          <w:sz w:val="18"/>
          <w:szCs w:val="18"/>
          <w:lang w:val="nl-NL"/>
        </w:rPr>
        <w:t>oktober</w:t>
      </w:r>
      <w:r w:rsidR="00AE162B">
        <w:rPr>
          <w:rFonts w:ascii="Verdana" w:hAnsi="Verdana"/>
          <w:sz w:val="18"/>
          <w:szCs w:val="18"/>
          <w:lang w:val="nl-NL"/>
        </w:rPr>
        <w:t xml:space="preserve"> 2013 </w:t>
      </w:r>
      <w:r>
        <w:rPr>
          <w:rFonts w:ascii="Verdana" w:hAnsi="Verdana"/>
          <w:sz w:val="18"/>
          <w:szCs w:val="18"/>
          <w:lang w:val="nl-NL"/>
        </w:rPr>
        <w:t xml:space="preserve">in het kader van de Raad van Europa tot stand gekomen. Dit </w:t>
      </w:r>
      <w:r w:rsidR="00305E98" w:rsidRPr="000D0695">
        <w:rPr>
          <w:rFonts w:ascii="Verdana" w:hAnsi="Verdana"/>
          <w:sz w:val="18"/>
          <w:szCs w:val="18"/>
          <w:lang w:val="nl-NL"/>
        </w:rPr>
        <w:t>Protocol nr. 1</w:t>
      </w:r>
      <w:r w:rsidR="009870B1">
        <w:rPr>
          <w:rFonts w:ascii="Verdana" w:hAnsi="Verdana"/>
          <w:sz w:val="18"/>
          <w:szCs w:val="18"/>
          <w:lang w:val="nl-NL"/>
        </w:rPr>
        <w:t>6</w:t>
      </w:r>
      <w:r w:rsidR="00305E98" w:rsidRPr="000D0695">
        <w:rPr>
          <w:rFonts w:ascii="Verdana" w:hAnsi="Verdana"/>
          <w:sz w:val="18"/>
          <w:szCs w:val="18"/>
          <w:lang w:val="nl-NL"/>
        </w:rPr>
        <w:t xml:space="preserve"> bij het op 4 november 1950 te Rome tot</w:t>
      </w:r>
      <w:r w:rsidR="004131BB">
        <w:rPr>
          <w:rFonts w:ascii="Verdana" w:hAnsi="Verdana"/>
          <w:sz w:val="18"/>
          <w:szCs w:val="18"/>
          <w:lang w:val="nl-NL"/>
        </w:rPr>
        <w:t xml:space="preserve"> </w:t>
      </w:r>
      <w:r w:rsidR="00305E98" w:rsidRPr="000D0695">
        <w:rPr>
          <w:rFonts w:ascii="Verdana" w:hAnsi="Verdana"/>
          <w:sz w:val="18"/>
          <w:szCs w:val="18"/>
          <w:lang w:val="nl-NL"/>
        </w:rPr>
        <w:t>stand</w:t>
      </w:r>
      <w:r w:rsidR="004131BB">
        <w:rPr>
          <w:rFonts w:ascii="Verdana" w:hAnsi="Verdana"/>
          <w:sz w:val="18"/>
          <w:szCs w:val="18"/>
          <w:lang w:val="nl-NL"/>
        </w:rPr>
        <w:t xml:space="preserve"> </w:t>
      </w:r>
      <w:r w:rsidR="00305E98" w:rsidRPr="000D0695">
        <w:rPr>
          <w:rFonts w:ascii="Verdana" w:hAnsi="Verdana"/>
          <w:sz w:val="18"/>
          <w:szCs w:val="18"/>
          <w:lang w:val="nl-NL"/>
        </w:rPr>
        <w:t>gekomen Verdrag tot bescherming van de rechten van de mens en de fundamentele vrijheden (hierna: “EVRM</w:t>
      </w:r>
      <w:r w:rsidR="0081738B">
        <w:rPr>
          <w:rFonts w:ascii="Verdana" w:hAnsi="Verdana"/>
          <w:sz w:val="18"/>
          <w:szCs w:val="18"/>
          <w:lang w:val="nl-NL"/>
        </w:rPr>
        <w:t>” of “het Verdrag”</w:t>
      </w:r>
      <w:r w:rsidR="00305E98" w:rsidRPr="000D0695">
        <w:rPr>
          <w:rFonts w:ascii="Verdana" w:hAnsi="Verdana"/>
          <w:sz w:val="18"/>
          <w:szCs w:val="18"/>
          <w:lang w:val="nl-NL"/>
        </w:rPr>
        <w:t xml:space="preserve">; </w:t>
      </w:r>
      <w:proofErr w:type="spellStart"/>
      <w:r w:rsidR="00305E98" w:rsidRPr="000D0695">
        <w:rPr>
          <w:rFonts w:ascii="Verdana" w:hAnsi="Verdana"/>
          <w:sz w:val="18"/>
          <w:szCs w:val="18"/>
          <w:lang w:val="nl-NL"/>
        </w:rPr>
        <w:t>Trb</w:t>
      </w:r>
      <w:proofErr w:type="spellEnd"/>
      <w:r w:rsidR="00305E98" w:rsidRPr="000D0695">
        <w:rPr>
          <w:rFonts w:ascii="Verdana" w:hAnsi="Verdana"/>
          <w:sz w:val="18"/>
          <w:szCs w:val="18"/>
          <w:lang w:val="nl-NL"/>
        </w:rPr>
        <w:t xml:space="preserve">. 1951, 154) </w:t>
      </w:r>
      <w:r w:rsidR="009870B1">
        <w:rPr>
          <w:rFonts w:ascii="Verdana" w:hAnsi="Verdana"/>
          <w:sz w:val="18"/>
          <w:szCs w:val="18"/>
          <w:lang w:val="nl-NL"/>
        </w:rPr>
        <w:t xml:space="preserve">is een </w:t>
      </w:r>
      <w:r w:rsidR="00E219C2">
        <w:rPr>
          <w:rFonts w:ascii="Verdana" w:hAnsi="Verdana"/>
          <w:sz w:val="18"/>
          <w:szCs w:val="18"/>
          <w:lang w:val="nl-NL"/>
        </w:rPr>
        <w:t xml:space="preserve">facultatief </w:t>
      </w:r>
      <w:r w:rsidR="009870B1">
        <w:rPr>
          <w:rFonts w:ascii="Verdana" w:hAnsi="Verdana"/>
          <w:sz w:val="18"/>
          <w:szCs w:val="18"/>
          <w:lang w:val="nl-NL"/>
        </w:rPr>
        <w:t>protocol dat een uitbreiding van de bevoegdheid van het Europees Hof voor de Rechten van de Mens (hierna: “EHRM” of “Hof”) om adviezen uit te brengen tot doel heeft. S</w:t>
      </w:r>
      <w:r w:rsidR="009870B1" w:rsidRPr="009870B1">
        <w:rPr>
          <w:rFonts w:ascii="Verdana" w:hAnsi="Verdana"/>
          <w:sz w:val="18"/>
          <w:szCs w:val="18"/>
          <w:lang w:val="nl-NL"/>
        </w:rPr>
        <w:t xml:space="preserve">pecifiek aangewezen nationale gerechten </w:t>
      </w:r>
      <w:r w:rsidR="009870B1">
        <w:rPr>
          <w:rFonts w:ascii="Verdana" w:hAnsi="Verdana"/>
          <w:sz w:val="18"/>
          <w:szCs w:val="18"/>
          <w:lang w:val="nl-NL"/>
        </w:rPr>
        <w:t xml:space="preserve">krijgen </w:t>
      </w:r>
      <w:r w:rsidR="009870B1" w:rsidRPr="009870B1">
        <w:rPr>
          <w:rFonts w:ascii="Verdana" w:hAnsi="Verdana"/>
          <w:sz w:val="18"/>
          <w:szCs w:val="18"/>
          <w:lang w:val="nl-NL"/>
        </w:rPr>
        <w:t xml:space="preserve">de bevoegdheid het </w:t>
      </w:r>
      <w:r w:rsidR="009870B1">
        <w:rPr>
          <w:rFonts w:ascii="Verdana" w:hAnsi="Verdana"/>
          <w:sz w:val="18"/>
          <w:szCs w:val="18"/>
          <w:lang w:val="nl-NL"/>
        </w:rPr>
        <w:t>Hof</w:t>
      </w:r>
      <w:r w:rsidR="009870B1" w:rsidRPr="009870B1">
        <w:rPr>
          <w:rFonts w:ascii="Verdana" w:hAnsi="Verdana"/>
          <w:sz w:val="18"/>
          <w:szCs w:val="18"/>
          <w:lang w:val="nl-NL"/>
        </w:rPr>
        <w:t xml:space="preserve"> te verzoeken om een </w:t>
      </w:r>
      <w:r w:rsidR="009870B1">
        <w:rPr>
          <w:rFonts w:ascii="Verdana" w:hAnsi="Verdana"/>
          <w:sz w:val="18"/>
          <w:szCs w:val="18"/>
          <w:lang w:val="nl-NL"/>
        </w:rPr>
        <w:t xml:space="preserve">advies over principiële </w:t>
      </w:r>
      <w:r w:rsidR="00D33D50">
        <w:rPr>
          <w:rFonts w:ascii="Verdana" w:hAnsi="Verdana"/>
          <w:sz w:val="18"/>
          <w:szCs w:val="18"/>
          <w:lang w:val="nl-NL"/>
        </w:rPr>
        <w:t>(</w:t>
      </w:r>
      <w:r w:rsidR="009870B1">
        <w:rPr>
          <w:rFonts w:ascii="Verdana" w:hAnsi="Verdana"/>
          <w:sz w:val="18"/>
          <w:szCs w:val="18"/>
          <w:lang w:val="nl-NL"/>
        </w:rPr>
        <w:t>rechts</w:t>
      </w:r>
      <w:r w:rsidR="00D33D50">
        <w:rPr>
          <w:rFonts w:ascii="Verdana" w:hAnsi="Verdana"/>
          <w:sz w:val="18"/>
          <w:szCs w:val="18"/>
          <w:lang w:val="nl-NL"/>
        </w:rPr>
        <w:t>)</w:t>
      </w:r>
      <w:r w:rsidR="009870B1">
        <w:rPr>
          <w:rFonts w:ascii="Verdana" w:hAnsi="Verdana"/>
          <w:sz w:val="18"/>
          <w:szCs w:val="18"/>
          <w:lang w:val="nl-NL"/>
        </w:rPr>
        <w:t xml:space="preserve">vragen aangaande de interpretatie of toepassing van de rechten en vrijheden neergelegd in het Verdrag of de daartoe behorende Protocollen. Zodoende wordt beoogd om de interactie tussen het Hof en de nationale autoriteiten verder te versterken en de </w:t>
      </w:r>
      <w:r w:rsidR="00486B4D">
        <w:rPr>
          <w:rFonts w:ascii="Verdana" w:hAnsi="Verdana"/>
          <w:sz w:val="18"/>
          <w:szCs w:val="18"/>
          <w:lang w:val="nl-NL"/>
        </w:rPr>
        <w:t xml:space="preserve">tenuitvoerlegging </w:t>
      </w:r>
      <w:r w:rsidR="009870B1">
        <w:rPr>
          <w:rFonts w:ascii="Verdana" w:hAnsi="Verdana"/>
          <w:sz w:val="18"/>
          <w:szCs w:val="18"/>
          <w:lang w:val="nl-NL"/>
        </w:rPr>
        <w:t>van het Verdrag in de nationale rechtsorde</w:t>
      </w:r>
      <w:r w:rsidR="00EA2E65">
        <w:rPr>
          <w:rFonts w:ascii="Verdana" w:hAnsi="Verdana"/>
          <w:sz w:val="18"/>
          <w:szCs w:val="18"/>
          <w:lang w:val="nl-NL"/>
        </w:rPr>
        <w:t>s</w:t>
      </w:r>
      <w:r w:rsidR="009870B1">
        <w:rPr>
          <w:rFonts w:ascii="Verdana" w:hAnsi="Verdana"/>
          <w:sz w:val="18"/>
          <w:szCs w:val="18"/>
          <w:lang w:val="nl-NL"/>
        </w:rPr>
        <w:t xml:space="preserve"> te verbeteren in overeenstemming met het beginsel van subsidiariteit. </w:t>
      </w:r>
      <w:r>
        <w:rPr>
          <w:rFonts w:ascii="Verdana" w:hAnsi="Verdana"/>
          <w:sz w:val="18"/>
          <w:szCs w:val="18"/>
          <w:lang w:val="nl-NL"/>
        </w:rPr>
        <w:t xml:space="preserve">Het Protocol is </w:t>
      </w:r>
      <w:r w:rsidR="00075D37">
        <w:rPr>
          <w:rFonts w:ascii="Verdana" w:hAnsi="Verdana"/>
          <w:sz w:val="18"/>
          <w:szCs w:val="18"/>
          <w:lang w:val="nl-NL"/>
        </w:rPr>
        <w:t>op 2 oktober 2013 op</w:t>
      </w:r>
      <w:r w:rsidR="007D3E7A">
        <w:rPr>
          <w:rFonts w:ascii="Verdana" w:hAnsi="Verdana"/>
          <w:sz w:val="18"/>
          <w:szCs w:val="18"/>
          <w:lang w:val="nl-NL"/>
        </w:rPr>
        <w:t>en</w:t>
      </w:r>
      <w:r w:rsidR="00075D37">
        <w:rPr>
          <w:rFonts w:ascii="Verdana" w:hAnsi="Verdana"/>
          <w:sz w:val="18"/>
          <w:szCs w:val="18"/>
          <w:lang w:val="nl-NL"/>
        </w:rPr>
        <w:t>gesteld voor ondertekening</w:t>
      </w:r>
      <w:r>
        <w:rPr>
          <w:rFonts w:ascii="Verdana" w:hAnsi="Verdana"/>
          <w:sz w:val="18"/>
          <w:szCs w:val="18"/>
          <w:lang w:val="nl-NL"/>
        </w:rPr>
        <w:t xml:space="preserve">. </w:t>
      </w:r>
    </w:p>
    <w:p w:rsidR="002337DE" w:rsidRPr="004513AB" w:rsidRDefault="004513AB" w:rsidP="001A68C4">
      <w:pPr>
        <w:spacing w:line="360" w:lineRule="auto"/>
        <w:jc w:val="both"/>
        <w:rPr>
          <w:rFonts w:ascii="Verdana" w:hAnsi="Verdana"/>
          <w:sz w:val="18"/>
          <w:szCs w:val="18"/>
          <w:lang w:val="nl-NL"/>
        </w:rPr>
      </w:pPr>
      <w:r>
        <w:rPr>
          <w:rFonts w:ascii="Verdana" w:hAnsi="Verdana"/>
          <w:sz w:val="18"/>
          <w:szCs w:val="18"/>
          <w:lang w:val="nl-NL"/>
        </w:rPr>
        <w:t>Het idee van</w:t>
      </w:r>
      <w:r w:rsidR="00486B4D">
        <w:rPr>
          <w:rFonts w:ascii="Verdana" w:hAnsi="Verdana"/>
          <w:sz w:val="18"/>
          <w:szCs w:val="18"/>
          <w:lang w:val="nl-NL"/>
        </w:rPr>
        <w:t xml:space="preserve"> adviezen</w:t>
      </w:r>
      <w:r>
        <w:rPr>
          <w:rFonts w:ascii="Verdana" w:hAnsi="Verdana"/>
          <w:sz w:val="18"/>
          <w:szCs w:val="18"/>
          <w:lang w:val="nl-NL"/>
        </w:rPr>
        <w:t xml:space="preserve"> </w:t>
      </w:r>
      <w:r w:rsidR="00486B4D">
        <w:rPr>
          <w:rFonts w:ascii="Verdana" w:hAnsi="Verdana"/>
          <w:sz w:val="18"/>
          <w:szCs w:val="18"/>
          <w:lang w:val="nl-NL"/>
        </w:rPr>
        <w:t>(</w:t>
      </w:r>
      <w:r>
        <w:rPr>
          <w:rFonts w:ascii="Verdana" w:hAnsi="Verdana"/>
          <w:sz w:val="18"/>
          <w:szCs w:val="18"/>
          <w:lang w:val="nl-NL"/>
        </w:rPr>
        <w:t>‘</w:t>
      </w:r>
      <w:proofErr w:type="spellStart"/>
      <w:r w:rsidRPr="004513AB">
        <w:rPr>
          <w:rFonts w:ascii="Verdana" w:hAnsi="Verdana"/>
          <w:i/>
          <w:sz w:val="18"/>
          <w:szCs w:val="18"/>
          <w:lang w:val="nl-NL"/>
        </w:rPr>
        <w:t>advisory</w:t>
      </w:r>
      <w:proofErr w:type="spellEnd"/>
      <w:r w:rsidRPr="004513AB">
        <w:rPr>
          <w:rFonts w:ascii="Verdana" w:hAnsi="Verdana"/>
          <w:i/>
          <w:sz w:val="18"/>
          <w:szCs w:val="18"/>
          <w:lang w:val="nl-NL"/>
        </w:rPr>
        <w:t xml:space="preserve"> </w:t>
      </w:r>
      <w:proofErr w:type="spellStart"/>
      <w:r w:rsidRPr="004513AB">
        <w:rPr>
          <w:rFonts w:ascii="Verdana" w:hAnsi="Verdana"/>
          <w:i/>
          <w:sz w:val="18"/>
          <w:szCs w:val="18"/>
          <w:lang w:val="nl-NL"/>
        </w:rPr>
        <w:t>opinions</w:t>
      </w:r>
      <w:proofErr w:type="spellEnd"/>
      <w:r>
        <w:rPr>
          <w:rFonts w:ascii="Verdana" w:hAnsi="Verdana"/>
          <w:sz w:val="18"/>
          <w:szCs w:val="18"/>
          <w:lang w:val="nl-NL"/>
        </w:rPr>
        <w:t>’</w:t>
      </w:r>
      <w:r w:rsidR="00486B4D">
        <w:rPr>
          <w:rFonts w:ascii="Verdana" w:hAnsi="Verdana"/>
          <w:sz w:val="18"/>
          <w:szCs w:val="18"/>
          <w:lang w:val="nl-NL"/>
        </w:rPr>
        <w:t>)</w:t>
      </w:r>
      <w:r>
        <w:rPr>
          <w:rFonts w:ascii="Verdana" w:hAnsi="Verdana"/>
          <w:sz w:val="18"/>
          <w:szCs w:val="18"/>
          <w:lang w:val="nl-NL"/>
        </w:rPr>
        <w:t xml:space="preserve"> is voor het eerst geopperd door de </w:t>
      </w:r>
      <w:r>
        <w:rPr>
          <w:rFonts w:ascii="Verdana" w:hAnsi="Verdana"/>
          <w:i/>
          <w:sz w:val="18"/>
          <w:szCs w:val="18"/>
          <w:lang w:val="nl-NL"/>
        </w:rPr>
        <w:t xml:space="preserve">Group of </w:t>
      </w:r>
      <w:proofErr w:type="spellStart"/>
      <w:r>
        <w:rPr>
          <w:rFonts w:ascii="Verdana" w:hAnsi="Verdana"/>
          <w:i/>
          <w:sz w:val="18"/>
          <w:szCs w:val="18"/>
          <w:lang w:val="nl-NL"/>
        </w:rPr>
        <w:t>Wise</w:t>
      </w:r>
      <w:proofErr w:type="spellEnd"/>
      <w:r>
        <w:rPr>
          <w:rFonts w:ascii="Verdana" w:hAnsi="Verdana"/>
          <w:i/>
          <w:sz w:val="18"/>
          <w:szCs w:val="18"/>
          <w:lang w:val="nl-NL"/>
        </w:rPr>
        <w:t xml:space="preserve"> Persons</w:t>
      </w:r>
      <w:r>
        <w:rPr>
          <w:rFonts w:ascii="Verdana" w:hAnsi="Verdana"/>
          <w:sz w:val="18"/>
          <w:szCs w:val="18"/>
          <w:lang w:val="nl-NL"/>
        </w:rPr>
        <w:t xml:space="preserve">, een groep eminente juristen die door de </w:t>
      </w:r>
      <w:r w:rsidRPr="004513AB">
        <w:rPr>
          <w:rFonts w:ascii="Verdana" w:hAnsi="Verdana"/>
          <w:sz w:val="18"/>
          <w:szCs w:val="18"/>
          <w:lang w:val="nl-NL"/>
        </w:rPr>
        <w:t>Derde Top van de Raad van Europa op 16 en 17 mei 2005 in Warschau</w:t>
      </w:r>
      <w:r>
        <w:rPr>
          <w:rFonts w:ascii="Verdana" w:hAnsi="Verdana"/>
          <w:sz w:val="18"/>
          <w:szCs w:val="18"/>
          <w:lang w:val="nl-NL"/>
        </w:rPr>
        <w:t xml:space="preserve"> werd verzocht na te denken over de </w:t>
      </w:r>
      <w:proofErr w:type="spellStart"/>
      <w:r>
        <w:rPr>
          <w:rFonts w:ascii="Verdana" w:hAnsi="Verdana"/>
          <w:sz w:val="18"/>
          <w:szCs w:val="18"/>
          <w:lang w:val="nl-NL"/>
        </w:rPr>
        <w:t>langetermijntoekomst</w:t>
      </w:r>
      <w:proofErr w:type="spellEnd"/>
      <w:r>
        <w:rPr>
          <w:rFonts w:ascii="Verdana" w:hAnsi="Verdana"/>
          <w:sz w:val="18"/>
          <w:szCs w:val="18"/>
          <w:lang w:val="nl-NL"/>
        </w:rPr>
        <w:t xml:space="preserve"> van het EHRM. De groep </w:t>
      </w:r>
      <w:r w:rsidR="00B158AA">
        <w:rPr>
          <w:rFonts w:ascii="Verdana" w:hAnsi="Verdana"/>
          <w:sz w:val="18"/>
          <w:szCs w:val="18"/>
          <w:lang w:val="nl-NL"/>
        </w:rPr>
        <w:t>concludeerde dat het nuttig zou zijn om de hoogste nationale gerechten de bevoegdheid te geven een advies te vragen aan het EHRM over de interpretatie van het Verdrag. Een dergelijke adviesaanvraag zou altijd optioneel zijn en een door het EHRM gegeven advies zou (zoals de naam reeds doet vermoeden) niet juridisch bindend zijn.</w:t>
      </w:r>
    </w:p>
    <w:p w:rsidR="00B158AA" w:rsidRPr="00DB5D96" w:rsidRDefault="00B158AA" w:rsidP="001A68C4">
      <w:pPr>
        <w:spacing w:line="360" w:lineRule="auto"/>
        <w:jc w:val="both"/>
        <w:rPr>
          <w:rFonts w:ascii="Verdana" w:hAnsi="Verdana"/>
          <w:sz w:val="18"/>
          <w:szCs w:val="18"/>
          <w:lang w:val="nl-NL"/>
        </w:rPr>
      </w:pPr>
      <w:r>
        <w:rPr>
          <w:rFonts w:ascii="Verdana" w:hAnsi="Verdana"/>
          <w:sz w:val="18"/>
          <w:szCs w:val="18"/>
          <w:lang w:val="nl-NL"/>
        </w:rPr>
        <w:t xml:space="preserve">Tijdens de </w:t>
      </w:r>
      <w:r w:rsidR="00CD6232" w:rsidRPr="000D0695">
        <w:rPr>
          <w:rFonts w:ascii="Verdana" w:hAnsi="Verdana"/>
          <w:sz w:val="18"/>
          <w:szCs w:val="18"/>
          <w:lang w:val="nl-NL"/>
        </w:rPr>
        <w:t>ministeriële</w:t>
      </w:r>
      <w:r w:rsidR="002A7BE5" w:rsidRPr="000D0695">
        <w:rPr>
          <w:rFonts w:ascii="Verdana" w:hAnsi="Verdana"/>
          <w:sz w:val="18"/>
          <w:szCs w:val="18"/>
          <w:lang w:val="nl-NL"/>
        </w:rPr>
        <w:t xml:space="preserve"> conferentie over de toekomst van het Hof te Izmir, op 26 en 27 april 2011, </w:t>
      </w:r>
      <w:r w:rsidR="002F1B85">
        <w:rPr>
          <w:rFonts w:ascii="Verdana" w:hAnsi="Verdana"/>
          <w:sz w:val="18"/>
          <w:szCs w:val="18"/>
          <w:lang w:val="nl-NL"/>
        </w:rPr>
        <w:t>werd een slotverklaring aangenomen waarin het Comité van Ministers van de Raad van Europa werd uitgenodigd “</w:t>
      </w:r>
      <w:proofErr w:type="spellStart"/>
      <w:r w:rsidR="002F1B85" w:rsidRPr="007D3E7A">
        <w:rPr>
          <w:rFonts w:ascii="Verdana" w:hAnsi="Verdana"/>
          <w:i/>
          <w:sz w:val="18"/>
          <w:szCs w:val="18"/>
          <w:lang w:val="nl-NL"/>
        </w:rPr>
        <w:t>to</w:t>
      </w:r>
      <w:proofErr w:type="spellEnd"/>
      <w:r w:rsidR="002F1B85" w:rsidRPr="007D3E7A">
        <w:rPr>
          <w:rFonts w:ascii="Verdana" w:hAnsi="Verdana"/>
          <w:i/>
          <w:sz w:val="18"/>
          <w:szCs w:val="18"/>
          <w:lang w:val="nl-NL"/>
        </w:rPr>
        <w:t xml:space="preserve"> </w:t>
      </w:r>
      <w:proofErr w:type="spellStart"/>
      <w:r w:rsidR="002F1B85" w:rsidRPr="007D3E7A">
        <w:rPr>
          <w:rFonts w:ascii="Verdana" w:hAnsi="Verdana"/>
          <w:i/>
          <w:sz w:val="18"/>
          <w:szCs w:val="18"/>
          <w:lang w:val="nl-NL"/>
        </w:rPr>
        <w:t>reflect</w:t>
      </w:r>
      <w:proofErr w:type="spellEnd"/>
      <w:r w:rsidR="002F1B85" w:rsidRPr="007D3E7A">
        <w:rPr>
          <w:rFonts w:ascii="Verdana" w:hAnsi="Verdana"/>
          <w:i/>
          <w:sz w:val="18"/>
          <w:szCs w:val="18"/>
          <w:lang w:val="nl-NL"/>
        </w:rPr>
        <w:t xml:space="preserve"> on the </w:t>
      </w:r>
      <w:proofErr w:type="spellStart"/>
      <w:r w:rsidR="002F1B85" w:rsidRPr="007D3E7A">
        <w:rPr>
          <w:rFonts w:ascii="Verdana" w:hAnsi="Verdana"/>
          <w:i/>
          <w:sz w:val="18"/>
          <w:szCs w:val="18"/>
          <w:lang w:val="nl-NL"/>
        </w:rPr>
        <w:t>advisability</w:t>
      </w:r>
      <w:proofErr w:type="spellEnd"/>
      <w:r w:rsidR="002F1B85" w:rsidRPr="007D3E7A">
        <w:rPr>
          <w:rFonts w:ascii="Verdana" w:hAnsi="Verdana"/>
          <w:i/>
          <w:sz w:val="18"/>
          <w:szCs w:val="18"/>
          <w:lang w:val="nl-NL"/>
        </w:rPr>
        <w:t xml:space="preserve"> of </w:t>
      </w:r>
      <w:proofErr w:type="spellStart"/>
      <w:r w:rsidR="002F1B85" w:rsidRPr="007D3E7A">
        <w:rPr>
          <w:rFonts w:ascii="Verdana" w:hAnsi="Verdana"/>
          <w:i/>
          <w:sz w:val="18"/>
          <w:szCs w:val="18"/>
          <w:lang w:val="nl-NL"/>
        </w:rPr>
        <w:t>introducing</w:t>
      </w:r>
      <w:proofErr w:type="spellEnd"/>
      <w:r w:rsidR="002F1B85" w:rsidRPr="007D3E7A">
        <w:rPr>
          <w:rFonts w:ascii="Verdana" w:hAnsi="Verdana"/>
          <w:i/>
          <w:sz w:val="18"/>
          <w:szCs w:val="18"/>
          <w:lang w:val="nl-NL"/>
        </w:rPr>
        <w:t xml:space="preserve"> a procedure </w:t>
      </w:r>
      <w:proofErr w:type="spellStart"/>
      <w:r w:rsidR="002F1B85" w:rsidRPr="007D3E7A">
        <w:rPr>
          <w:rFonts w:ascii="Verdana" w:hAnsi="Verdana"/>
          <w:i/>
          <w:sz w:val="18"/>
          <w:szCs w:val="18"/>
          <w:lang w:val="nl-NL"/>
        </w:rPr>
        <w:t>allowing</w:t>
      </w:r>
      <w:proofErr w:type="spellEnd"/>
      <w:r w:rsidR="002F1B85" w:rsidRPr="007D3E7A">
        <w:rPr>
          <w:rFonts w:ascii="Verdana" w:hAnsi="Verdana"/>
          <w:i/>
          <w:sz w:val="18"/>
          <w:szCs w:val="18"/>
          <w:lang w:val="nl-NL"/>
        </w:rPr>
        <w:t xml:space="preserve"> the </w:t>
      </w:r>
      <w:proofErr w:type="spellStart"/>
      <w:r w:rsidR="002F1B85" w:rsidRPr="007D3E7A">
        <w:rPr>
          <w:rFonts w:ascii="Verdana" w:hAnsi="Verdana"/>
          <w:i/>
          <w:sz w:val="18"/>
          <w:szCs w:val="18"/>
          <w:lang w:val="nl-NL"/>
        </w:rPr>
        <w:t>highest</w:t>
      </w:r>
      <w:proofErr w:type="spellEnd"/>
      <w:r w:rsidR="002F1B85" w:rsidRPr="007D3E7A">
        <w:rPr>
          <w:rFonts w:ascii="Verdana" w:hAnsi="Verdana"/>
          <w:i/>
          <w:sz w:val="18"/>
          <w:szCs w:val="18"/>
          <w:lang w:val="nl-NL"/>
        </w:rPr>
        <w:t xml:space="preserve"> </w:t>
      </w:r>
      <w:proofErr w:type="spellStart"/>
      <w:r w:rsidR="002F1B85" w:rsidRPr="007D3E7A">
        <w:rPr>
          <w:rFonts w:ascii="Verdana" w:hAnsi="Verdana"/>
          <w:i/>
          <w:sz w:val="18"/>
          <w:szCs w:val="18"/>
          <w:lang w:val="nl-NL"/>
        </w:rPr>
        <w:t>national</w:t>
      </w:r>
      <w:proofErr w:type="spellEnd"/>
      <w:r w:rsidR="002F1B85" w:rsidRPr="007D3E7A">
        <w:rPr>
          <w:rFonts w:ascii="Verdana" w:hAnsi="Verdana"/>
          <w:i/>
          <w:sz w:val="18"/>
          <w:szCs w:val="18"/>
          <w:lang w:val="nl-NL"/>
        </w:rPr>
        <w:t xml:space="preserve"> courts </w:t>
      </w:r>
      <w:proofErr w:type="spellStart"/>
      <w:r w:rsidR="002F1B85" w:rsidRPr="007D3E7A">
        <w:rPr>
          <w:rFonts w:ascii="Verdana" w:hAnsi="Verdana"/>
          <w:i/>
          <w:sz w:val="18"/>
          <w:szCs w:val="18"/>
          <w:lang w:val="nl-NL"/>
        </w:rPr>
        <w:t>to</w:t>
      </w:r>
      <w:proofErr w:type="spellEnd"/>
      <w:r w:rsidR="002F1B85" w:rsidRPr="007D3E7A">
        <w:rPr>
          <w:rFonts w:ascii="Verdana" w:hAnsi="Verdana"/>
          <w:i/>
          <w:sz w:val="18"/>
          <w:szCs w:val="18"/>
          <w:lang w:val="nl-NL"/>
        </w:rPr>
        <w:t xml:space="preserve"> </w:t>
      </w:r>
      <w:proofErr w:type="spellStart"/>
      <w:r w:rsidR="002F1B85" w:rsidRPr="007D3E7A">
        <w:rPr>
          <w:rFonts w:ascii="Verdana" w:hAnsi="Verdana"/>
          <w:i/>
          <w:sz w:val="18"/>
          <w:szCs w:val="18"/>
          <w:lang w:val="nl-NL"/>
        </w:rPr>
        <w:t>request</w:t>
      </w:r>
      <w:proofErr w:type="spellEnd"/>
      <w:r w:rsidR="002F1B85" w:rsidRPr="007D3E7A">
        <w:rPr>
          <w:rFonts w:ascii="Verdana" w:hAnsi="Verdana"/>
          <w:i/>
          <w:sz w:val="18"/>
          <w:szCs w:val="18"/>
          <w:lang w:val="nl-NL"/>
        </w:rPr>
        <w:t xml:space="preserve"> </w:t>
      </w:r>
      <w:proofErr w:type="spellStart"/>
      <w:r w:rsidR="002F1B85" w:rsidRPr="007D3E7A">
        <w:rPr>
          <w:rFonts w:ascii="Verdana" w:hAnsi="Verdana"/>
          <w:i/>
          <w:sz w:val="18"/>
          <w:szCs w:val="18"/>
          <w:lang w:val="nl-NL"/>
        </w:rPr>
        <w:t>advisory</w:t>
      </w:r>
      <w:proofErr w:type="spellEnd"/>
      <w:r w:rsidR="002F1B85" w:rsidRPr="007D3E7A">
        <w:rPr>
          <w:rFonts w:ascii="Verdana" w:hAnsi="Verdana"/>
          <w:i/>
          <w:sz w:val="18"/>
          <w:szCs w:val="18"/>
          <w:lang w:val="nl-NL"/>
        </w:rPr>
        <w:t xml:space="preserve"> </w:t>
      </w:r>
      <w:proofErr w:type="spellStart"/>
      <w:r w:rsidR="002F1B85" w:rsidRPr="007D3E7A">
        <w:rPr>
          <w:rFonts w:ascii="Verdana" w:hAnsi="Verdana"/>
          <w:i/>
          <w:sz w:val="18"/>
          <w:szCs w:val="18"/>
          <w:lang w:val="nl-NL"/>
        </w:rPr>
        <w:t>opinions</w:t>
      </w:r>
      <w:proofErr w:type="spellEnd"/>
      <w:r w:rsidR="002F1B85" w:rsidRPr="007D3E7A">
        <w:rPr>
          <w:rFonts w:ascii="Verdana" w:hAnsi="Verdana"/>
          <w:i/>
          <w:sz w:val="18"/>
          <w:szCs w:val="18"/>
          <w:lang w:val="nl-NL"/>
        </w:rPr>
        <w:t xml:space="preserve"> </w:t>
      </w:r>
      <w:proofErr w:type="spellStart"/>
      <w:r w:rsidR="002F1B85" w:rsidRPr="007D3E7A">
        <w:rPr>
          <w:rFonts w:ascii="Verdana" w:hAnsi="Verdana"/>
          <w:i/>
          <w:sz w:val="18"/>
          <w:szCs w:val="18"/>
          <w:lang w:val="nl-NL"/>
        </w:rPr>
        <w:t>from</w:t>
      </w:r>
      <w:proofErr w:type="spellEnd"/>
      <w:r w:rsidR="002F1B85" w:rsidRPr="007D3E7A">
        <w:rPr>
          <w:rFonts w:ascii="Verdana" w:hAnsi="Verdana"/>
          <w:i/>
          <w:sz w:val="18"/>
          <w:szCs w:val="18"/>
          <w:lang w:val="nl-NL"/>
        </w:rPr>
        <w:t xml:space="preserve"> the Court </w:t>
      </w:r>
      <w:proofErr w:type="spellStart"/>
      <w:r w:rsidR="002F1B85" w:rsidRPr="007D3E7A">
        <w:rPr>
          <w:rFonts w:ascii="Verdana" w:hAnsi="Verdana"/>
          <w:i/>
          <w:sz w:val="18"/>
          <w:szCs w:val="18"/>
          <w:lang w:val="nl-NL"/>
        </w:rPr>
        <w:t>concerning</w:t>
      </w:r>
      <w:proofErr w:type="spellEnd"/>
      <w:r w:rsidR="002F1B85" w:rsidRPr="007D3E7A">
        <w:rPr>
          <w:rFonts w:ascii="Verdana" w:hAnsi="Verdana"/>
          <w:i/>
          <w:sz w:val="18"/>
          <w:szCs w:val="18"/>
          <w:lang w:val="nl-NL"/>
        </w:rPr>
        <w:t xml:space="preserve"> the </w:t>
      </w:r>
      <w:proofErr w:type="spellStart"/>
      <w:r w:rsidR="002F1B85" w:rsidRPr="007D3E7A">
        <w:rPr>
          <w:rFonts w:ascii="Verdana" w:hAnsi="Verdana"/>
          <w:i/>
          <w:sz w:val="18"/>
          <w:szCs w:val="18"/>
          <w:lang w:val="nl-NL"/>
        </w:rPr>
        <w:t>interpretation</w:t>
      </w:r>
      <w:proofErr w:type="spellEnd"/>
      <w:r w:rsidR="002F1B85" w:rsidRPr="007D3E7A">
        <w:rPr>
          <w:rFonts w:ascii="Verdana" w:hAnsi="Verdana"/>
          <w:i/>
          <w:sz w:val="18"/>
          <w:szCs w:val="18"/>
          <w:lang w:val="nl-NL"/>
        </w:rPr>
        <w:t xml:space="preserve"> </w:t>
      </w:r>
      <w:proofErr w:type="spellStart"/>
      <w:r w:rsidR="002F1B85" w:rsidRPr="007D3E7A">
        <w:rPr>
          <w:rFonts w:ascii="Verdana" w:hAnsi="Verdana"/>
          <w:i/>
          <w:sz w:val="18"/>
          <w:szCs w:val="18"/>
          <w:lang w:val="nl-NL"/>
        </w:rPr>
        <w:t>and</w:t>
      </w:r>
      <w:proofErr w:type="spellEnd"/>
      <w:r w:rsidR="002F1B85" w:rsidRPr="007D3E7A">
        <w:rPr>
          <w:rFonts w:ascii="Verdana" w:hAnsi="Verdana"/>
          <w:i/>
          <w:sz w:val="18"/>
          <w:szCs w:val="18"/>
          <w:lang w:val="nl-NL"/>
        </w:rPr>
        <w:t xml:space="preserve"> </w:t>
      </w:r>
      <w:proofErr w:type="spellStart"/>
      <w:r w:rsidR="002F1B85" w:rsidRPr="007D3E7A">
        <w:rPr>
          <w:rFonts w:ascii="Verdana" w:hAnsi="Verdana"/>
          <w:i/>
          <w:sz w:val="18"/>
          <w:szCs w:val="18"/>
          <w:lang w:val="nl-NL"/>
        </w:rPr>
        <w:t>application</w:t>
      </w:r>
      <w:proofErr w:type="spellEnd"/>
      <w:r w:rsidR="002F1B85" w:rsidRPr="007D3E7A">
        <w:rPr>
          <w:rFonts w:ascii="Verdana" w:hAnsi="Verdana"/>
          <w:i/>
          <w:sz w:val="18"/>
          <w:szCs w:val="18"/>
          <w:lang w:val="nl-NL"/>
        </w:rPr>
        <w:t xml:space="preserve"> of the </w:t>
      </w:r>
      <w:proofErr w:type="spellStart"/>
      <w:r w:rsidR="002F1B85" w:rsidRPr="007D3E7A">
        <w:rPr>
          <w:rFonts w:ascii="Verdana" w:hAnsi="Verdana"/>
          <w:i/>
          <w:sz w:val="18"/>
          <w:szCs w:val="18"/>
          <w:lang w:val="nl-NL"/>
        </w:rPr>
        <w:t>Convention</w:t>
      </w:r>
      <w:proofErr w:type="spellEnd"/>
      <w:r w:rsidR="002F1B85">
        <w:rPr>
          <w:rFonts w:ascii="Verdana" w:hAnsi="Verdana"/>
          <w:sz w:val="18"/>
          <w:szCs w:val="18"/>
          <w:lang w:val="nl-NL"/>
        </w:rPr>
        <w:t>”. H</w:t>
      </w:r>
      <w:r w:rsidR="002F1B85" w:rsidRPr="002F1B85">
        <w:rPr>
          <w:rFonts w:ascii="Verdana" w:hAnsi="Verdana"/>
          <w:sz w:val="18"/>
          <w:szCs w:val="18"/>
          <w:lang w:val="nl-NL"/>
        </w:rPr>
        <w:t>et intergouvernementele Stuurcomité Mensenrechten (CDDH) van de Raad van Europa</w:t>
      </w:r>
      <w:r w:rsidR="002F1B85">
        <w:rPr>
          <w:rFonts w:ascii="Verdana" w:hAnsi="Verdana"/>
          <w:sz w:val="18"/>
          <w:szCs w:val="18"/>
          <w:lang w:val="nl-NL"/>
        </w:rPr>
        <w:t xml:space="preserve"> werd vervolgens geïnstrueerd om specifieke voorstellen uit te werken. Op basis van een Nederlands-Noors</w:t>
      </w:r>
      <w:r w:rsidR="00CB34EE">
        <w:rPr>
          <w:rFonts w:ascii="Verdana" w:hAnsi="Verdana"/>
          <w:sz w:val="18"/>
          <w:szCs w:val="18"/>
          <w:lang w:val="nl-NL"/>
        </w:rPr>
        <w:t>e</w:t>
      </w:r>
      <w:r w:rsidR="002F1B85">
        <w:rPr>
          <w:rFonts w:ascii="Verdana" w:hAnsi="Verdana"/>
          <w:sz w:val="18"/>
          <w:szCs w:val="18"/>
          <w:lang w:val="nl-NL"/>
        </w:rPr>
        <w:t xml:space="preserve"> </w:t>
      </w:r>
      <w:r w:rsidR="00CB34EE">
        <w:rPr>
          <w:rFonts w:ascii="Verdana" w:hAnsi="Verdana"/>
          <w:sz w:val="18"/>
          <w:szCs w:val="18"/>
          <w:lang w:val="nl-NL"/>
        </w:rPr>
        <w:t>studie</w:t>
      </w:r>
      <w:r w:rsidR="002F1B85">
        <w:rPr>
          <w:rFonts w:ascii="Verdana" w:hAnsi="Verdana"/>
          <w:sz w:val="18"/>
          <w:szCs w:val="18"/>
          <w:lang w:val="nl-NL"/>
        </w:rPr>
        <w:t xml:space="preserve"> werden de voorstellen van het CDDH </w:t>
      </w:r>
      <w:r w:rsidR="00CB34EE">
        <w:rPr>
          <w:rFonts w:ascii="Verdana" w:hAnsi="Verdana"/>
          <w:sz w:val="18"/>
          <w:szCs w:val="18"/>
          <w:lang w:val="nl-NL"/>
        </w:rPr>
        <w:t xml:space="preserve">neergelegd in een rapport </w:t>
      </w:r>
      <w:r w:rsidR="002F1B85">
        <w:rPr>
          <w:rFonts w:ascii="Verdana" w:hAnsi="Verdana"/>
          <w:sz w:val="18"/>
          <w:szCs w:val="18"/>
          <w:lang w:val="nl-NL"/>
        </w:rPr>
        <w:t xml:space="preserve">(zie </w:t>
      </w:r>
      <w:proofErr w:type="spellStart"/>
      <w:r w:rsidR="00CB34EE">
        <w:rPr>
          <w:rFonts w:ascii="Verdana" w:hAnsi="Verdana"/>
          <w:sz w:val="18"/>
          <w:szCs w:val="18"/>
          <w:lang w:val="nl-NL"/>
        </w:rPr>
        <w:t>doc</w:t>
      </w:r>
      <w:proofErr w:type="spellEnd"/>
      <w:r w:rsidR="00CB34EE">
        <w:rPr>
          <w:rFonts w:ascii="Verdana" w:hAnsi="Verdana"/>
          <w:sz w:val="18"/>
          <w:szCs w:val="18"/>
          <w:lang w:val="nl-NL"/>
        </w:rPr>
        <w:t xml:space="preserve">. </w:t>
      </w:r>
      <w:r w:rsidR="002F1B85" w:rsidRPr="005109FE">
        <w:rPr>
          <w:rFonts w:ascii="Verdana" w:hAnsi="Verdana"/>
          <w:sz w:val="18"/>
          <w:szCs w:val="18"/>
          <w:lang w:val="nl-NL"/>
        </w:rPr>
        <w:t xml:space="preserve">CDDH(2012)R74 </w:t>
      </w:r>
      <w:r w:rsidR="002F1B85" w:rsidRPr="005109FE">
        <w:rPr>
          <w:rFonts w:ascii="Verdana" w:hAnsi="Verdana"/>
          <w:sz w:val="18"/>
          <w:szCs w:val="18"/>
          <w:u w:val="single"/>
          <w:lang w:val="nl-NL"/>
        </w:rPr>
        <w:t>Addendum I</w:t>
      </w:r>
      <w:r w:rsidR="002F1B85" w:rsidRPr="005109FE">
        <w:rPr>
          <w:rFonts w:ascii="Verdana" w:hAnsi="Verdana"/>
          <w:sz w:val="18"/>
          <w:szCs w:val="18"/>
          <w:lang w:val="nl-NL"/>
        </w:rPr>
        <w:t xml:space="preserve">, </w:t>
      </w:r>
      <w:proofErr w:type="spellStart"/>
      <w:r w:rsidR="002F1B85" w:rsidRPr="005109FE">
        <w:rPr>
          <w:rFonts w:ascii="Verdana" w:hAnsi="Verdana"/>
          <w:sz w:val="18"/>
          <w:szCs w:val="18"/>
          <w:lang w:val="nl-NL"/>
        </w:rPr>
        <w:t>paras</w:t>
      </w:r>
      <w:proofErr w:type="spellEnd"/>
      <w:r w:rsidR="002F1B85" w:rsidRPr="005109FE">
        <w:rPr>
          <w:rFonts w:ascii="Verdana" w:hAnsi="Verdana"/>
          <w:sz w:val="18"/>
          <w:szCs w:val="18"/>
          <w:lang w:val="nl-NL"/>
        </w:rPr>
        <w:t xml:space="preserve">. 51-56 &amp; Appendix V en </w:t>
      </w:r>
      <w:r w:rsidR="002F1B85" w:rsidRPr="005109FE">
        <w:rPr>
          <w:rFonts w:ascii="Verdana" w:hAnsi="Verdana"/>
          <w:sz w:val="18"/>
          <w:szCs w:val="18"/>
          <w:u w:val="single"/>
          <w:lang w:val="nl-NL"/>
        </w:rPr>
        <w:t>Addendum III</w:t>
      </w:r>
      <w:r w:rsidR="002F1B85" w:rsidRPr="005109FE">
        <w:rPr>
          <w:rFonts w:ascii="Verdana" w:hAnsi="Verdana"/>
          <w:sz w:val="18"/>
          <w:szCs w:val="18"/>
          <w:lang w:val="nl-NL"/>
        </w:rPr>
        <w:t xml:space="preserve">, para. </w:t>
      </w:r>
      <w:r w:rsidR="002F1B85" w:rsidRPr="00DB5D96">
        <w:rPr>
          <w:rFonts w:ascii="Verdana" w:hAnsi="Verdana"/>
          <w:sz w:val="18"/>
          <w:szCs w:val="18"/>
          <w:lang w:val="nl-NL"/>
        </w:rPr>
        <w:t>17).</w:t>
      </w:r>
    </w:p>
    <w:p w:rsidR="001C0D8D" w:rsidRDefault="002F1B85" w:rsidP="001C0D8D">
      <w:pPr>
        <w:spacing w:line="360" w:lineRule="auto"/>
        <w:jc w:val="both"/>
        <w:rPr>
          <w:rFonts w:ascii="Verdana" w:hAnsi="Verdana"/>
          <w:sz w:val="18"/>
          <w:szCs w:val="18"/>
        </w:rPr>
      </w:pPr>
      <w:r>
        <w:rPr>
          <w:rFonts w:ascii="Verdana" w:hAnsi="Verdana"/>
          <w:sz w:val="18"/>
          <w:szCs w:val="18"/>
          <w:lang w:val="nl-NL"/>
        </w:rPr>
        <w:t xml:space="preserve">De voorstellen werden uitvoerig doorgesproken in de aanloop naar </w:t>
      </w:r>
      <w:r w:rsidR="00CB34EE">
        <w:rPr>
          <w:rFonts w:ascii="Verdana" w:hAnsi="Verdana"/>
          <w:sz w:val="18"/>
          <w:szCs w:val="18"/>
          <w:lang w:val="nl-NL"/>
        </w:rPr>
        <w:t xml:space="preserve">de </w:t>
      </w:r>
      <w:r w:rsidR="00CB34EE" w:rsidRPr="00CB34EE">
        <w:rPr>
          <w:rFonts w:ascii="Verdana" w:hAnsi="Verdana"/>
          <w:sz w:val="18"/>
          <w:szCs w:val="18"/>
          <w:lang w:val="nl-NL"/>
        </w:rPr>
        <w:t>ministeriële conferentie</w:t>
      </w:r>
      <w:r w:rsidR="00CB34EE">
        <w:rPr>
          <w:rFonts w:ascii="Verdana" w:hAnsi="Verdana"/>
          <w:sz w:val="18"/>
          <w:szCs w:val="18"/>
          <w:lang w:val="nl-NL"/>
        </w:rPr>
        <w:t xml:space="preserve"> die op 19 en 20 april 2012 plaatsvond in Brighton. Ook het Hof zelf </w:t>
      </w:r>
      <w:r w:rsidR="00F2476D">
        <w:rPr>
          <w:rFonts w:ascii="Verdana" w:hAnsi="Verdana"/>
          <w:sz w:val="18"/>
          <w:szCs w:val="18"/>
          <w:lang w:val="nl-NL"/>
        </w:rPr>
        <w:t>publiceerde</w:t>
      </w:r>
      <w:r w:rsidR="00CB34EE">
        <w:rPr>
          <w:rFonts w:ascii="Verdana" w:hAnsi="Verdana"/>
          <w:sz w:val="18"/>
          <w:szCs w:val="18"/>
          <w:lang w:val="nl-NL"/>
        </w:rPr>
        <w:t xml:space="preserve"> een </w:t>
      </w:r>
      <w:r w:rsidR="00F2476D">
        <w:rPr>
          <w:rFonts w:ascii="Verdana" w:hAnsi="Verdana"/>
          <w:sz w:val="18"/>
          <w:szCs w:val="18"/>
          <w:lang w:val="nl-NL"/>
        </w:rPr>
        <w:t>reflectiedocument over het voorstel (</w:t>
      </w:r>
      <w:proofErr w:type="spellStart"/>
      <w:r w:rsidR="00F2476D">
        <w:rPr>
          <w:rFonts w:ascii="Verdana" w:hAnsi="Verdana"/>
          <w:sz w:val="18"/>
          <w:szCs w:val="18"/>
          <w:lang w:val="nl-NL"/>
        </w:rPr>
        <w:t>doc</w:t>
      </w:r>
      <w:proofErr w:type="spellEnd"/>
      <w:r w:rsidR="00F2476D">
        <w:rPr>
          <w:rFonts w:ascii="Verdana" w:hAnsi="Verdana"/>
          <w:sz w:val="18"/>
          <w:szCs w:val="18"/>
          <w:lang w:val="nl-NL"/>
        </w:rPr>
        <w:t>. # 3853038, 20 februari 2012</w:t>
      </w:r>
      <w:r w:rsidR="007D3E7A">
        <w:rPr>
          <w:rFonts w:ascii="Verdana" w:hAnsi="Verdana"/>
          <w:sz w:val="18"/>
          <w:szCs w:val="18"/>
          <w:lang w:val="nl-NL"/>
        </w:rPr>
        <w:t xml:space="preserve">; </w:t>
      </w:r>
      <w:hyperlink r:id="rId9" w:history="1">
        <w:r w:rsidR="00031411" w:rsidRPr="001E103A">
          <w:rPr>
            <w:rStyle w:val="Hyperlink"/>
            <w:rFonts w:ascii="Verdana" w:hAnsi="Verdana"/>
            <w:sz w:val="18"/>
            <w:szCs w:val="18"/>
            <w:lang w:val="nl-NL"/>
          </w:rPr>
          <w:t>http://www.coe.int/t/dgi/brighton-conference/documents/Court-Advisory-opinions_en.pdf</w:t>
        </w:r>
      </w:hyperlink>
      <w:r w:rsidR="00F2476D">
        <w:rPr>
          <w:rFonts w:ascii="Verdana" w:hAnsi="Verdana"/>
          <w:sz w:val="18"/>
          <w:szCs w:val="18"/>
          <w:lang w:val="nl-NL"/>
        </w:rPr>
        <w:t xml:space="preserve">) waarin </w:t>
      </w:r>
      <w:r w:rsidR="005C1483">
        <w:rPr>
          <w:rFonts w:ascii="Verdana" w:hAnsi="Verdana"/>
          <w:sz w:val="18"/>
          <w:szCs w:val="18"/>
          <w:lang w:val="nl-NL"/>
        </w:rPr>
        <w:t xml:space="preserve">het Hof </w:t>
      </w:r>
      <w:r w:rsidR="00F2476D">
        <w:rPr>
          <w:rFonts w:ascii="Verdana" w:hAnsi="Verdana"/>
          <w:sz w:val="18"/>
          <w:szCs w:val="18"/>
          <w:lang w:val="nl-NL"/>
        </w:rPr>
        <w:t xml:space="preserve">overwegend positief reageerde. </w:t>
      </w:r>
      <w:r w:rsidR="00F16136" w:rsidRPr="000D0695">
        <w:rPr>
          <w:rFonts w:ascii="Verdana" w:hAnsi="Verdana"/>
          <w:sz w:val="18"/>
          <w:szCs w:val="18"/>
          <w:lang w:val="nl-NL"/>
        </w:rPr>
        <w:t>Op 23 mei 2012 is de Verklaring</w:t>
      </w:r>
      <w:r w:rsidR="00486B4D">
        <w:rPr>
          <w:rFonts w:ascii="Verdana" w:hAnsi="Verdana"/>
          <w:sz w:val="18"/>
          <w:szCs w:val="18"/>
          <w:lang w:val="nl-NL"/>
        </w:rPr>
        <w:t xml:space="preserve"> van Brighton</w:t>
      </w:r>
      <w:r w:rsidR="00F16136" w:rsidRPr="000D0695">
        <w:rPr>
          <w:rFonts w:ascii="Verdana" w:hAnsi="Verdana"/>
          <w:sz w:val="18"/>
          <w:szCs w:val="18"/>
          <w:lang w:val="nl-NL"/>
        </w:rPr>
        <w:t xml:space="preserve"> </w:t>
      </w:r>
      <w:r w:rsidR="00F16136" w:rsidRPr="000D0695">
        <w:rPr>
          <w:rFonts w:ascii="Verdana" w:hAnsi="Verdana"/>
          <w:sz w:val="18"/>
          <w:szCs w:val="18"/>
          <w:lang w:val="nl-NL"/>
        </w:rPr>
        <w:lastRenderedPageBreak/>
        <w:t xml:space="preserve">inzake de rol en toekomst van het Hof formeel vastgesteld door het Comité van Ministers. Bij brief van 11 mei 2012 heeft de </w:t>
      </w:r>
      <w:r w:rsidR="00C72BF6">
        <w:rPr>
          <w:rFonts w:ascii="Verdana" w:hAnsi="Verdana"/>
          <w:sz w:val="18"/>
          <w:szCs w:val="18"/>
          <w:lang w:val="nl-NL"/>
        </w:rPr>
        <w:t>M</w:t>
      </w:r>
      <w:r w:rsidR="00F16136" w:rsidRPr="000D0695">
        <w:rPr>
          <w:rFonts w:ascii="Verdana" w:hAnsi="Verdana"/>
          <w:sz w:val="18"/>
          <w:szCs w:val="18"/>
          <w:lang w:val="nl-NL"/>
        </w:rPr>
        <w:t xml:space="preserve">inister van Veiligheid en Justitie, mede namens </w:t>
      </w:r>
      <w:r w:rsidR="00235C32">
        <w:rPr>
          <w:rFonts w:ascii="Verdana" w:hAnsi="Verdana"/>
          <w:sz w:val="18"/>
          <w:szCs w:val="18"/>
          <w:lang w:val="nl-NL"/>
        </w:rPr>
        <w:t xml:space="preserve">de </w:t>
      </w:r>
      <w:r w:rsidR="00C72BF6">
        <w:rPr>
          <w:rFonts w:ascii="Verdana" w:hAnsi="Verdana"/>
          <w:sz w:val="18"/>
          <w:szCs w:val="18"/>
          <w:lang w:val="nl-NL"/>
        </w:rPr>
        <w:t>M</w:t>
      </w:r>
      <w:r w:rsidR="00235C32">
        <w:rPr>
          <w:rFonts w:ascii="Verdana" w:hAnsi="Verdana"/>
          <w:sz w:val="18"/>
          <w:szCs w:val="18"/>
          <w:lang w:val="nl-NL"/>
        </w:rPr>
        <w:t>inister</w:t>
      </w:r>
      <w:r w:rsidR="00F16136" w:rsidRPr="000D0695">
        <w:rPr>
          <w:rFonts w:ascii="Verdana" w:hAnsi="Verdana"/>
          <w:sz w:val="18"/>
          <w:szCs w:val="18"/>
          <w:lang w:val="nl-NL"/>
        </w:rPr>
        <w:t xml:space="preserve"> van Buitenlandse Zaken, de </w:t>
      </w:r>
      <w:r w:rsidR="007C4749" w:rsidRPr="000D0695">
        <w:rPr>
          <w:rFonts w:ascii="Verdana" w:hAnsi="Verdana"/>
          <w:sz w:val="18"/>
          <w:szCs w:val="18"/>
          <w:lang w:val="nl-NL"/>
        </w:rPr>
        <w:t xml:space="preserve">Verklaring van </w:t>
      </w:r>
      <w:r w:rsidR="00F16136" w:rsidRPr="000D0695">
        <w:rPr>
          <w:rFonts w:ascii="Verdana" w:hAnsi="Verdana"/>
          <w:sz w:val="18"/>
          <w:szCs w:val="18"/>
          <w:lang w:val="nl-NL"/>
        </w:rPr>
        <w:t xml:space="preserve">Brighton aan de </w:t>
      </w:r>
      <w:r w:rsidR="00813F13">
        <w:rPr>
          <w:rFonts w:ascii="Verdana" w:hAnsi="Verdana"/>
          <w:sz w:val="18"/>
          <w:szCs w:val="18"/>
          <w:lang w:val="nl-NL"/>
        </w:rPr>
        <w:t xml:space="preserve">Eerste </w:t>
      </w:r>
      <w:r w:rsidR="00F2476D">
        <w:rPr>
          <w:rFonts w:ascii="Verdana" w:hAnsi="Verdana"/>
          <w:sz w:val="18"/>
          <w:szCs w:val="18"/>
          <w:lang w:val="nl-NL"/>
        </w:rPr>
        <w:t xml:space="preserve">en Tweede </w:t>
      </w:r>
      <w:r w:rsidR="00F16136" w:rsidRPr="000D0695">
        <w:rPr>
          <w:rFonts w:ascii="Verdana" w:hAnsi="Verdana"/>
          <w:sz w:val="18"/>
          <w:szCs w:val="18"/>
          <w:lang w:val="nl-NL"/>
        </w:rPr>
        <w:t>Kamer aangeboden</w:t>
      </w:r>
      <w:r w:rsidR="007C4749" w:rsidRPr="000D0695">
        <w:rPr>
          <w:rFonts w:ascii="Verdana" w:hAnsi="Verdana"/>
          <w:sz w:val="18"/>
          <w:szCs w:val="18"/>
          <w:lang w:val="nl-NL"/>
        </w:rPr>
        <w:t xml:space="preserve"> (</w:t>
      </w:r>
      <w:r w:rsidR="00813F13">
        <w:rPr>
          <w:rFonts w:ascii="Verdana" w:hAnsi="Verdana"/>
          <w:sz w:val="18"/>
          <w:szCs w:val="18"/>
          <w:lang w:val="nl-NL"/>
        </w:rPr>
        <w:t xml:space="preserve">Kamerstukken I 2011/12, </w:t>
      </w:r>
      <w:r w:rsidR="007C4749" w:rsidRPr="000D0695">
        <w:rPr>
          <w:rFonts w:ascii="Verdana" w:hAnsi="Verdana"/>
          <w:sz w:val="18"/>
          <w:szCs w:val="18"/>
          <w:lang w:val="nl-NL"/>
        </w:rPr>
        <w:t>33 000 V, Y</w:t>
      </w:r>
      <w:r w:rsidR="00F2476D">
        <w:rPr>
          <w:rFonts w:ascii="Verdana" w:hAnsi="Verdana"/>
          <w:sz w:val="18"/>
          <w:szCs w:val="18"/>
          <w:lang w:val="nl-NL"/>
        </w:rPr>
        <w:t xml:space="preserve"> resp. </w:t>
      </w:r>
      <w:proofErr w:type="spellStart"/>
      <w:r w:rsidR="00F2476D" w:rsidRPr="003864B5">
        <w:rPr>
          <w:rFonts w:ascii="Verdana" w:hAnsi="Verdana"/>
          <w:sz w:val="18"/>
          <w:szCs w:val="18"/>
        </w:rPr>
        <w:t>Kamerstukken</w:t>
      </w:r>
      <w:proofErr w:type="spellEnd"/>
      <w:r w:rsidR="00F2476D" w:rsidRPr="003864B5">
        <w:rPr>
          <w:rFonts w:ascii="Verdana" w:hAnsi="Verdana"/>
          <w:sz w:val="18"/>
          <w:szCs w:val="18"/>
        </w:rPr>
        <w:t xml:space="preserve"> II 2011/12,</w:t>
      </w:r>
      <w:r w:rsidR="00F2476D" w:rsidRPr="00F2476D">
        <w:t xml:space="preserve"> </w:t>
      </w:r>
      <w:r w:rsidR="00F2476D" w:rsidRPr="003864B5">
        <w:rPr>
          <w:rFonts w:ascii="Verdana" w:hAnsi="Verdana"/>
          <w:sz w:val="18"/>
          <w:szCs w:val="18"/>
        </w:rPr>
        <w:t>30</w:t>
      </w:r>
      <w:r w:rsidR="008231A7" w:rsidRPr="003864B5">
        <w:rPr>
          <w:rFonts w:ascii="Verdana" w:hAnsi="Verdana"/>
          <w:sz w:val="18"/>
          <w:szCs w:val="18"/>
        </w:rPr>
        <w:t xml:space="preserve"> </w:t>
      </w:r>
      <w:r w:rsidR="00F2476D" w:rsidRPr="003864B5">
        <w:rPr>
          <w:rFonts w:ascii="Verdana" w:hAnsi="Verdana"/>
          <w:sz w:val="18"/>
          <w:szCs w:val="18"/>
        </w:rPr>
        <w:t>481</w:t>
      </w:r>
      <w:r w:rsidR="008231A7" w:rsidRPr="003864B5">
        <w:rPr>
          <w:rFonts w:ascii="Verdana" w:hAnsi="Verdana"/>
          <w:sz w:val="18"/>
          <w:szCs w:val="18"/>
        </w:rPr>
        <w:t>,</w:t>
      </w:r>
      <w:r w:rsidR="001C0D8D">
        <w:rPr>
          <w:rFonts w:ascii="Verdana" w:hAnsi="Verdana"/>
          <w:sz w:val="18"/>
          <w:szCs w:val="18"/>
        </w:rPr>
        <w:t xml:space="preserve"> </w:t>
      </w:r>
      <w:r w:rsidR="00F2476D" w:rsidRPr="003864B5">
        <w:rPr>
          <w:rFonts w:ascii="Verdana" w:hAnsi="Verdana"/>
          <w:sz w:val="18"/>
          <w:szCs w:val="18"/>
        </w:rPr>
        <w:t>nr. 9</w:t>
      </w:r>
      <w:r w:rsidR="007C4749" w:rsidRPr="003864B5">
        <w:rPr>
          <w:rFonts w:ascii="Verdana" w:hAnsi="Verdana"/>
          <w:sz w:val="18"/>
          <w:szCs w:val="18"/>
        </w:rPr>
        <w:t>).</w:t>
      </w:r>
      <w:r w:rsidR="00F16136" w:rsidRPr="003864B5">
        <w:rPr>
          <w:rFonts w:ascii="Verdana" w:hAnsi="Verdana"/>
          <w:sz w:val="18"/>
          <w:szCs w:val="18"/>
        </w:rPr>
        <w:t xml:space="preserve"> </w:t>
      </w:r>
      <w:r w:rsidR="008231A7" w:rsidRPr="003864B5">
        <w:rPr>
          <w:rFonts w:ascii="Verdana" w:hAnsi="Verdana"/>
          <w:sz w:val="18"/>
          <w:szCs w:val="18"/>
        </w:rPr>
        <w:t xml:space="preserve">In </w:t>
      </w:r>
      <w:proofErr w:type="spellStart"/>
      <w:r w:rsidR="008231A7" w:rsidRPr="003864B5">
        <w:rPr>
          <w:rFonts w:ascii="Verdana" w:hAnsi="Verdana"/>
          <w:sz w:val="18"/>
          <w:szCs w:val="18"/>
        </w:rPr>
        <w:t>deze</w:t>
      </w:r>
      <w:proofErr w:type="spellEnd"/>
      <w:r w:rsidR="008231A7" w:rsidRPr="003864B5">
        <w:rPr>
          <w:rFonts w:ascii="Verdana" w:hAnsi="Verdana"/>
          <w:sz w:val="18"/>
          <w:szCs w:val="18"/>
        </w:rPr>
        <w:t xml:space="preserve"> </w:t>
      </w:r>
      <w:proofErr w:type="spellStart"/>
      <w:r w:rsidR="008231A7" w:rsidRPr="003864B5">
        <w:rPr>
          <w:rFonts w:ascii="Verdana" w:hAnsi="Verdana"/>
          <w:sz w:val="18"/>
          <w:szCs w:val="18"/>
        </w:rPr>
        <w:t>Verklaring</w:t>
      </w:r>
      <w:proofErr w:type="spellEnd"/>
      <w:r w:rsidR="008231A7" w:rsidRPr="003864B5">
        <w:rPr>
          <w:rFonts w:ascii="Verdana" w:hAnsi="Verdana"/>
          <w:sz w:val="18"/>
          <w:szCs w:val="18"/>
        </w:rPr>
        <w:t xml:space="preserve"> is de </w:t>
      </w:r>
      <w:proofErr w:type="spellStart"/>
      <w:r w:rsidR="008231A7" w:rsidRPr="003864B5">
        <w:rPr>
          <w:rFonts w:ascii="Verdana" w:hAnsi="Verdana"/>
          <w:sz w:val="18"/>
          <w:szCs w:val="18"/>
        </w:rPr>
        <w:t>volgende</w:t>
      </w:r>
      <w:proofErr w:type="spellEnd"/>
      <w:r w:rsidR="008231A7" w:rsidRPr="003864B5">
        <w:rPr>
          <w:rFonts w:ascii="Verdana" w:hAnsi="Verdana"/>
          <w:sz w:val="18"/>
          <w:szCs w:val="18"/>
        </w:rPr>
        <w:t xml:space="preserve"> passage </w:t>
      </w:r>
      <w:proofErr w:type="spellStart"/>
      <w:r w:rsidR="008231A7" w:rsidRPr="003864B5">
        <w:rPr>
          <w:rFonts w:ascii="Verdana" w:hAnsi="Verdana"/>
          <w:sz w:val="18"/>
          <w:szCs w:val="18"/>
        </w:rPr>
        <w:t>opgenomen</w:t>
      </w:r>
      <w:proofErr w:type="spellEnd"/>
      <w:r w:rsidR="008231A7" w:rsidRPr="003864B5">
        <w:rPr>
          <w:rFonts w:ascii="Verdana" w:hAnsi="Verdana"/>
          <w:sz w:val="18"/>
          <w:szCs w:val="18"/>
        </w:rPr>
        <w:t xml:space="preserve">: </w:t>
      </w:r>
      <w:r w:rsidR="008231A7" w:rsidRPr="007D3E7A">
        <w:rPr>
          <w:rFonts w:ascii="Verdana" w:hAnsi="Verdana"/>
          <w:i/>
          <w:sz w:val="18"/>
          <w:szCs w:val="18"/>
        </w:rPr>
        <w:t>“[noting] that the interaction between the Court and national authorities could be strengthened by the introduction into the Convention of a further power of the Court, which States Parties could optionally accept, to deliver advisory opinions upon request on the interpretation of the Convention in the context of a specific case at domestic level, without prejudice to the non-binding character of the opinions for the other States Parties[, invited] the Committee of Ministers to draft the text of an optional protocol to the Convention with this effect by the end of 2013; and further invites the Committee of Ministers thereafter to decide whether to adopt it</w:t>
      </w:r>
      <w:r w:rsidR="008231A7" w:rsidRPr="003864B5">
        <w:rPr>
          <w:rFonts w:ascii="Verdana" w:hAnsi="Verdana"/>
          <w:sz w:val="18"/>
          <w:szCs w:val="18"/>
        </w:rPr>
        <w:t>”</w:t>
      </w:r>
      <w:r w:rsidR="00BB7830">
        <w:rPr>
          <w:rFonts w:ascii="Verdana" w:hAnsi="Verdana"/>
          <w:sz w:val="18"/>
          <w:szCs w:val="18"/>
        </w:rPr>
        <w:t xml:space="preserve"> (</w:t>
      </w:r>
      <w:proofErr w:type="spellStart"/>
      <w:r w:rsidR="00BB7830">
        <w:rPr>
          <w:rFonts w:ascii="Verdana" w:hAnsi="Verdana"/>
          <w:sz w:val="18"/>
          <w:szCs w:val="18"/>
        </w:rPr>
        <w:t>paragraaf</w:t>
      </w:r>
      <w:proofErr w:type="spellEnd"/>
      <w:r w:rsidR="00BB7830">
        <w:rPr>
          <w:rFonts w:ascii="Verdana" w:hAnsi="Verdana"/>
          <w:sz w:val="18"/>
          <w:szCs w:val="18"/>
        </w:rPr>
        <w:t xml:space="preserve"> 12 d)</w:t>
      </w:r>
      <w:r w:rsidR="008231A7" w:rsidRPr="003864B5">
        <w:rPr>
          <w:rFonts w:ascii="Verdana" w:hAnsi="Verdana"/>
          <w:sz w:val="18"/>
          <w:szCs w:val="18"/>
        </w:rPr>
        <w:t>.</w:t>
      </w:r>
      <w:r w:rsidR="001C0D8D">
        <w:rPr>
          <w:rFonts w:ascii="Verdana" w:hAnsi="Verdana"/>
          <w:sz w:val="18"/>
          <w:szCs w:val="18"/>
        </w:rPr>
        <w:t xml:space="preserve"> </w:t>
      </w:r>
    </w:p>
    <w:p w:rsidR="00376730" w:rsidRDefault="00F16136" w:rsidP="001C0D8D">
      <w:pPr>
        <w:spacing w:line="360" w:lineRule="auto"/>
        <w:jc w:val="both"/>
        <w:rPr>
          <w:rFonts w:ascii="Verdana" w:hAnsi="Verdana"/>
          <w:sz w:val="18"/>
          <w:szCs w:val="18"/>
          <w:lang w:val="nl-NL"/>
        </w:rPr>
      </w:pPr>
      <w:r w:rsidRPr="000D0695">
        <w:rPr>
          <w:rFonts w:ascii="Verdana" w:hAnsi="Verdana"/>
          <w:sz w:val="18"/>
          <w:szCs w:val="18"/>
          <w:lang w:val="nl-NL"/>
        </w:rPr>
        <w:t xml:space="preserve">Om uitvoering te geven aan </w:t>
      </w:r>
      <w:r w:rsidR="008231A7">
        <w:rPr>
          <w:rFonts w:ascii="Verdana" w:hAnsi="Verdana"/>
          <w:sz w:val="18"/>
          <w:szCs w:val="18"/>
          <w:lang w:val="nl-NL"/>
        </w:rPr>
        <w:t>deze overweging</w:t>
      </w:r>
      <w:r w:rsidRPr="000D0695">
        <w:rPr>
          <w:rFonts w:ascii="Verdana" w:hAnsi="Verdana"/>
          <w:sz w:val="18"/>
          <w:szCs w:val="18"/>
          <w:lang w:val="nl-NL"/>
        </w:rPr>
        <w:t xml:space="preserve"> in de </w:t>
      </w:r>
      <w:r w:rsidR="000D0695" w:rsidRPr="000D0695">
        <w:rPr>
          <w:rFonts w:ascii="Verdana" w:hAnsi="Verdana"/>
          <w:sz w:val="18"/>
          <w:szCs w:val="18"/>
          <w:lang w:val="nl-NL"/>
        </w:rPr>
        <w:t xml:space="preserve">Verklaring </w:t>
      </w:r>
      <w:r w:rsidR="000D0695">
        <w:rPr>
          <w:rFonts w:ascii="Verdana" w:hAnsi="Verdana"/>
          <w:sz w:val="18"/>
          <w:szCs w:val="18"/>
          <w:lang w:val="nl-NL"/>
        </w:rPr>
        <w:t xml:space="preserve">van </w:t>
      </w:r>
      <w:r w:rsidRPr="000D0695">
        <w:rPr>
          <w:rFonts w:ascii="Verdana" w:hAnsi="Verdana"/>
          <w:sz w:val="18"/>
          <w:szCs w:val="18"/>
          <w:lang w:val="nl-NL"/>
        </w:rPr>
        <w:t xml:space="preserve">Brighton heeft het Comité van Ministers </w:t>
      </w:r>
      <w:r w:rsidR="00235C32">
        <w:rPr>
          <w:rFonts w:ascii="Verdana" w:hAnsi="Verdana"/>
          <w:sz w:val="18"/>
          <w:szCs w:val="18"/>
          <w:lang w:val="nl-NL"/>
        </w:rPr>
        <w:t>het</w:t>
      </w:r>
      <w:r w:rsidRPr="000D0695">
        <w:rPr>
          <w:rFonts w:ascii="Verdana" w:hAnsi="Verdana"/>
          <w:sz w:val="18"/>
          <w:szCs w:val="18"/>
          <w:lang w:val="nl-NL"/>
        </w:rPr>
        <w:t xml:space="preserve"> CDDH geïnstrueerd een nieuw </w:t>
      </w:r>
      <w:r w:rsidR="00E219C2">
        <w:rPr>
          <w:rFonts w:ascii="Verdana" w:hAnsi="Verdana"/>
          <w:sz w:val="18"/>
          <w:szCs w:val="18"/>
          <w:lang w:val="nl-NL"/>
        </w:rPr>
        <w:t xml:space="preserve">facultatief </w:t>
      </w:r>
      <w:r w:rsidRPr="000D0695">
        <w:rPr>
          <w:rFonts w:ascii="Verdana" w:hAnsi="Verdana"/>
          <w:sz w:val="18"/>
          <w:szCs w:val="18"/>
          <w:lang w:val="nl-NL"/>
        </w:rPr>
        <w:t xml:space="preserve">protocol bij het EVRM op te stellen. </w:t>
      </w:r>
      <w:r w:rsidR="00776BEB" w:rsidRPr="000D0695">
        <w:rPr>
          <w:rFonts w:ascii="Verdana" w:hAnsi="Verdana"/>
          <w:sz w:val="18"/>
          <w:szCs w:val="18"/>
          <w:lang w:val="nl-NL"/>
        </w:rPr>
        <w:t>Protocol nr. 1</w:t>
      </w:r>
      <w:r w:rsidR="008231A7">
        <w:rPr>
          <w:rFonts w:ascii="Verdana" w:hAnsi="Verdana"/>
          <w:sz w:val="18"/>
          <w:szCs w:val="18"/>
          <w:lang w:val="nl-NL"/>
        </w:rPr>
        <w:t>6</w:t>
      </w:r>
      <w:r w:rsidR="00776BEB" w:rsidRPr="000D0695">
        <w:rPr>
          <w:rFonts w:ascii="Verdana" w:hAnsi="Verdana"/>
          <w:sz w:val="18"/>
          <w:szCs w:val="18"/>
          <w:lang w:val="nl-NL"/>
        </w:rPr>
        <w:t xml:space="preserve"> en het toelichtende rapport van de Raad van Eur</w:t>
      </w:r>
      <w:r w:rsidR="001C0D8D">
        <w:rPr>
          <w:rFonts w:ascii="Verdana" w:hAnsi="Verdana"/>
          <w:sz w:val="18"/>
          <w:szCs w:val="18"/>
          <w:lang w:val="nl-NL"/>
        </w:rPr>
        <w:t xml:space="preserve">opa daarbij kunnen geraadpleegd </w:t>
      </w:r>
      <w:r w:rsidR="00776BEB" w:rsidRPr="000D0695">
        <w:rPr>
          <w:rFonts w:ascii="Verdana" w:hAnsi="Verdana"/>
          <w:sz w:val="18"/>
          <w:szCs w:val="18"/>
          <w:lang w:val="nl-NL"/>
        </w:rPr>
        <w:t>worden op internet</w:t>
      </w:r>
      <w:r w:rsidR="001C0D8D">
        <w:rPr>
          <w:rFonts w:ascii="Verdana" w:hAnsi="Verdana"/>
          <w:sz w:val="18"/>
          <w:szCs w:val="18"/>
          <w:lang w:val="nl-NL"/>
        </w:rPr>
        <w:t xml:space="preserve">: </w:t>
      </w:r>
    </w:p>
    <w:p w:rsidR="00305E98" w:rsidRDefault="00CA1BAF" w:rsidP="001C0D8D">
      <w:pPr>
        <w:spacing w:line="360" w:lineRule="auto"/>
        <w:jc w:val="both"/>
        <w:rPr>
          <w:rFonts w:ascii="Verdana" w:hAnsi="Verdana"/>
          <w:sz w:val="18"/>
          <w:szCs w:val="18"/>
          <w:lang w:val="nl-NL"/>
        </w:rPr>
      </w:pPr>
      <w:hyperlink r:id="rId10" w:history="1">
        <w:r w:rsidR="001C0D8D" w:rsidRPr="001E103A">
          <w:rPr>
            <w:rStyle w:val="Hyperlink"/>
            <w:rFonts w:ascii="Verdana" w:hAnsi="Verdana"/>
            <w:sz w:val="18"/>
            <w:szCs w:val="18"/>
            <w:lang w:val="nl-NL"/>
          </w:rPr>
          <w:t>http://conventions.coe.int/?pg=/Treaty/projets/Projets_en.asp</w:t>
        </w:r>
      </w:hyperlink>
      <w:r w:rsidR="00031411">
        <w:rPr>
          <w:rFonts w:ascii="Verdana" w:hAnsi="Verdana"/>
          <w:sz w:val="18"/>
          <w:szCs w:val="18"/>
          <w:lang w:val="nl-NL"/>
        </w:rPr>
        <w:t>.</w:t>
      </w:r>
    </w:p>
    <w:p w:rsidR="00796DFB" w:rsidRDefault="00796DFB" w:rsidP="001A68C4">
      <w:pPr>
        <w:spacing w:line="360" w:lineRule="auto"/>
        <w:jc w:val="both"/>
        <w:rPr>
          <w:rFonts w:ascii="Verdana" w:hAnsi="Verdana"/>
          <w:sz w:val="18"/>
          <w:szCs w:val="18"/>
          <w:lang w:val="nl-NL"/>
        </w:rPr>
      </w:pPr>
    </w:p>
    <w:p w:rsidR="00761D6E" w:rsidRPr="000D0695" w:rsidRDefault="00B87F91" w:rsidP="001A68C4">
      <w:pPr>
        <w:spacing w:line="360" w:lineRule="auto"/>
        <w:jc w:val="both"/>
        <w:rPr>
          <w:rFonts w:ascii="Verdana" w:hAnsi="Verdana"/>
          <w:b/>
          <w:sz w:val="18"/>
          <w:szCs w:val="18"/>
          <w:lang w:val="nl-NL"/>
        </w:rPr>
      </w:pPr>
      <w:r>
        <w:rPr>
          <w:rFonts w:ascii="Verdana" w:hAnsi="Verdana"/>
          <w:b/>
          <w:sz w:val="18"/>
          <w:szCs w:val="18"/>
          <w:lang w:val="nl-NL"/>
        </w:rPr>
        <w:t xml:space="preserve">2. </w:t>
      </w:r>
      <w:r w:rsidR="00B158AA">
        <w:rPr>
          <w:rFonts w:ascii="Verdana" w:hAnsi="Verdana"/>
          <w:b/>
          <w:sz w:val="18"/>
          <w:szCs w:val="18"/>
          <w:lang w:val="nl-NL"/>
        </w:rPr>
        <w:t>Algemene toelichting</w:t>
      </w:r>
    </w:p>
    <w:p w:rsidR="00C45925" w:rsidRPr="00C45925" w:rsidRDefault="002B5509" w:rsidP="001A68C4">
      <w:pPr>
        <w:spacing w:line="360" w:lineRule="auto"/>
        <w:jc w:val="both"/>
        <w:rPr>
          <w:rFonts w:ascii="Verdana" w:hAnsi="Verdana"/>
          <w:i/>
          <w:sz w:val="18"/>
          <w:szCs w:val="18"/>
          <w:lang w:val="nl-NL"/>
        </w:rPr>
      </w:pPr>
      <w:r>
        <w:rPr>
          <w:rFonts w:ascii="Verdana" w:hAnsi="Verdana"/>
          <w:i/>
          <w:sz w:val="18"/>
          <w:szCs w:val="18"/>
          <w:lang w:val="nl-NL"/>
        </w:rPr>
        <w:t>Doelstellingen</w:t>
      </w:r>
    </w:p>
    <w:p w:rsidR="00CC1D79" w:rsidRPr="00CC1D79" w:rsidRDefault="00CC1D79" w:rsidP="00826262">
      <w:pPr>
        <w:spacing w:line="360" w:lineRule="auto"/>
        <w:jc w:val="both"/>
        <w:rPr>
          <w:rFonts w:ascii="Verdana" w:hAnsi="Verdana"/>
          <w:sz w:val="18"/>
          <w:szCs w:val="18"/>
          <w:lang w:val="nl-NL"/>
        </w:rPr>
      </w:pPr>
      <w:r>
        <w:rPr>
          <w:rFonts w:ascii="Verdana" w:hAnsi="Verdana"/>
          <w:sz w:val="18"/>
          <w:szCs w:val="18"/>
          <w:lang w:val="nl-NL"/>
        </w:rPr>
        <w:t>I</w:t>
      </w:r>
      <w:r w:rsidR="002B5509">
        <w:rPr>
          <w:rFonts w:ascii="Verdana" w:hAnsi="Verdana"/>
          <w:sz w:val="18"/>
          <w:szCs w:val="18"/>
          <w:lang w:val="nl-NL"/>
        </w:rPr>
        <w:t xml:space="preserve">nvoering van een stelsel van </w:t>
      </w:r>
      <w:r w:rsidR="00486B4D">
        <w:rPr>
          <w:rFonts w:ascii="Verdana" w:hAnsi="Verdana"/>
          <w:sz w:val="18"/>
          <w:szCs w:val="18"/>
          <w:lang w:val="nl-NL"/>
        </w:rPr>
        <w:t>adviezen</w:t>
      </w:r>
      <w:r w:rsidR="002B5509">
        <w:rPr>
          <w:rFonts w:ascii="Verdana" w:hAnsi="Verdana"/>
          <w:sz w:val="18"/>
          <w:szCs w:val="18"/>
          <w:lang w:val="nl-NL"/>
        </w:rPr>
        <w:t xml:space="preserve"> </w:t>
      </w:r>
      <w:r>
        <w:rPr>
          <w:rFonts w:ascii="Verdana" w:hAnsi="Verdana"/>
          <w:sz w:val="18"/>
          <w:szCs w:val="18"/>
          <w:lang w:val="nl-NL"/>
        </w:rPr>
        <w:t xml:space="preserve">beoogt </w:t>
      </w:r>
      <w:r w:rsidR="002B5509">
        <w:rPr>
          <w:rFonts w:ascii="Verdana" w:hAnsi="Verdana"/>
          <w:sz w:val="18"/>
          <w:szCs w:val="18"/>
          <w:lang w:val="nl-NL"/>
        </w:rPr>
        <w:t xml:space="preserve">de </w:t>
      </w:r>
      <w:r w:rsidR="002B5509" w:rsidRPr="002B5509">
        <w:rPr>
          <w:rFonts w:ascii="Verdana" w:hAnsi="Verdana"/>
          <w:sz w:val="18"/>
          <w:szCs w:val="18"/>
          <w:lang w:val="nl-NL"/>
        </w:rPr>
        <w:t>dialoog tussen het Hof enerzijds en de nationale autoriteiten anderzijds</w:t>
      </w:r>
      <w:r>
        <w:rPr>
          <w:rFonts w:ascii="Verdana" w:hAnsi="Verdana"/>
          <w:sz w:val="18"/>
          <w:szCs w:val="18"/>
          <w:lang w:val="nl-NL"/>
        </w:rPr>
        <w:t xml:space="preserve"> te bevorderen</w:t>
      </w:r>
      <w:r w:rsidR="002B5509" w:rsidRPr="002B5509">
        <w:rPr>
          <w:rFonts w:ascii="Verdana" w:hAnsi="Verdana"/>
          <w:sz w:val="18"/>
          <w:szCs w:val="18"/>
          <w:lang w:val="nl-NL"/>
        </w:rPr>
        <w:t xml:space="preserve">. Na een </w:t>
      </w:r>
      <w:r w:rsidR="002B5509">
        <w:rPr>
          <w:rFonts w:ascii="Verdana" w:hAnsi="Verdana"/>
          <w:sz w:val="18"/>
          <w:szCs w:val="18"/>
          <w:lang w:val="nl-NL"/>
        </w:rPr>
        <w:t xml:space="preserve">door het Hof gegeven </w:t>
      </w:r>
      <w:r w:rsidR="00486B4D">
        <w:rPr>
          <w:rFonts w:ascii="Verdana" w:hAnsi="Verdana"/>
          <w:sz w:val="18"/>
          <w:szCs w:val="18"/>
          <w:lang w:val="nl-NL"/>
        </w:rPr>
        <w:t>advies</w:t>
      </w:r>
      <w:r w:rsidR="002B5509" w:rsidRPr="002B5509">
        <w:rPr>
          <w:rFonts w:ascii="Verdana" w:hAnsi="Verdana"/>
          <w:sz w:val="18"/>
          <w:szCs w:val="18"/>
          <w:lang w:val="nl-NL"/>
        </w:rPr>
        <w:t xml:space="preserve"> kan het nationale gerecht een correcte EVRM-interpretatie hanteren in de nationale jurisprudentie</w:t>
      </w:r>
      <w:r w:rsidR="00486B4D">
        <w:rPr>
          <w:rFonts w:ascii="Verdana" w:hAnsi="Verdana"/>
          <w:sz w:val="18"/>
          <w:szCs w:val="18"/>
          <w:lang w:val="nl-NL"/>
        </w:rPr>
        <w:t>,</w:t>
      </w:r>
      <w:r w:rsidR="002B5509" w:rsidRPr="002B5509">
        <w:rPr>
          <w:rFonts w:ascii="Verdana" w:hAnsi="Verdana"/>
          <w:sz w:val="18"/>
          <w:szCs w:val="18"/>
          <w:lang w:val="nl-NL"/>
        </w:rPr>
        <w:t xml:space="preserve"> rekening houdend met de juridische cultuur</w:t>
      </w:r>
      <w:r w:rsidR="00486B4D">
        <w:rPr>
          <w:rFonts w:ascii="Verdana" w:hAnsi="Verdana"/>
          <w:sz w:val="18"/>
          <w:szCs w:val="18"/>
          <w:lang w:val="nl-NL"/>
        </w:rPr>
        <w:t xml:space="preserve"> en de</w:t>
      </w:r>
      <w:r w:rsidR="002B5509" w:rsidRPr="002B5509">
        <w:rPr>
          <w:rFonts w:ascii="Verdana" w:hAnsi="Verdana"/>
          <w:sz w:val="18"/>
          <w:szCs w:val="18"/>
          <w:lang w:val="nl-NL"/>
        </w:rPr>
        <w:t xml:space="preserve"> sociaaleconomische en politieke achtergrond van het land in kwestie.</w:t>
      </w:r>
      <w:r w:rsidR="002B5509">
        <w:rPr>
          <w:rFonts w:ascii="Verdana" w:hAnsi="Verdana"/>
          <w:sz w:val="18"/>
          <w:szCs w:val="18"/>
          <w:lang w:val="nl-NL"/>
        </w:rPr>
        <w:t xml:space="preserve"> Op deze wijze wordt het in het Verdrag verankerde </w:t>
      </w:r>
      <w:r w:rsidR="002B5509" w:rsidRPr="002B5509">
        <w:rPr>
          <w:rFonts w:ascii="Verdana" w:hAnsi="Verdana"/>
          <w:sz w:val="18"/>
          <w:szCs w:val="18"/>
          <w:lang w:val="nl-NL"/>
        </w:rPr>
        <w:t xml:space="preserve">beginsel van subsidiariteit </w:t>
      </w:r>
      <w:r w:rsidR="002B5509">
        <w:rPr>
          <w:rFonts w:ascii="Verdana" w:hAnsi="Verdana"/>
          <w:sz w:val="18"/>
          <w:szCs w:val="18"/>
          <w:lang w:val="nl-NL"/>
        </w:rPr>
        <w:t xml:space="preserve">verder </w:t>
      </w:r>
      <w:r w:rsidR="002B5509" w:rsidRPr="002B5509">
        <w:rPr>
          <w:rFonts w:ascii="Verdana" w:hAnsi="Verdana"/>
          <w:sz w:val="18"/>
          <w:szCs w:val="18"/>
          <w:lang w:val="nl-NL"/>
        </w:rPr>
        <w:t xml:space="preserve">versterkt. </w:t>
      </w:r>
      <w:r w:rsidRPr="00CC1D79">
        <w:rPr>
          <w:rFonts w:ascii="Verdana" w:hAnsi="Verdana"/>
          <w:sz w:val="18"/>
          <w:szCs w:val="18"/>
          <w:lang w:val="nl-NL"/>
        </w:rPr>
        <w:t xml:space="preserve">Het </w:t>
      </w:r>
      <w:r>
        <w:rPr>
          <w:rFonts w:ascii="Verdana" w:hAnsi="Verdana"/>
          <w:sz w:val="18"/>
          <w:szCs w:val="18"/>
          <w:lang w:val="nl-NL"/>
        </w:rPr>
        <w:t xml:space="preserve">Verdrag beoogt immers </w:t>
      </w:r>
      <w:r w:rsidRPr="00CC1D79">
        <w:rPr>
          <w:rFonts w:ascii="Verdana" w:hAnsi="Verdana"/>
          <w:sz w:val="18"/>
          <w:szCs w:val="18"/>
          <w:lang w:val="nl-NL"/>
        </w:rPr>
        <w:t xml:space="preserve">een subsidiair mechanisme </w:t>
      </w:r>
      <w:r>
        <w:rPr>
          <w:rFonts w:ascii="Verdana" w:hAnsi="Verdana"/>
          <w:sz w:val="18"/>
          <w:szCs w:val="18"/>
          <w:lang w:val="nl-NL"/>
        </w:rPr>
        <w:t xml:space="preserve">te zijn </w:t>
      </w:r>
      <w:r w:rsidRPr="00CC1D79">
        <w:rPr>
          <w:rFonts w:ascii="Verdana" w:hAnsi="Verdana"/>
          <w:sz w:val="18"/>
          <w:szCs w:val="18"/>
          <w:lang w:val="nl-NL"/>
        </w:rPr>
        <w:t xml:space="preserve">in aanvulling op de mensenrechtelijke bescherming die primair op </w:t>
      </w:r>
      <w:r>
        <w:rPr>
          <w:rFonts w:ascii="Verdana" w:hAnsi="Verdana"/>
          <w:sz w:val="18"/>
          <w:szCs w:val="18"/>
          <w:lang w:val="nl-NL"/>
        </w:rPr>
        <w:t>nationaal niveau wordt geboden.</w:t>
      </w:r>
      <w:r w:rsidR="00110FC9">
        <w:rPr>
          <w:rFonts w:ascii="Verdana" w:hAnsi="Verdana"/>
          <w:sz w:val="18"/>
          <w:szCs w:val="18"/>
          <w:lang w:val="nl-NL"/>
        </w:rPr>
        <w:t xml:space="preserve"> </w:t>
      </w:r>
      <w:r w:rsidR="00754113">
        <w:rPr>
          <w:rFonts w:ascii="Verdana" w:hAnsi="Verdana"/>
          <w:sz w:val="18"/>
          <w:szCs w:val="18"/>
          <w:lang w:val="nl-NL"/>
        </w:rPr>
        <w:t xml:space="preserve">Bij de adviesaanvraag kan een nationaal gerecht </w:t>
      </w:r>
      <w:r w:rsidR="00754113" w:rsidRPr="00754113">
        <w:rPr>
          <w:rFonts w:ascii="Verdana" w:hAnsi="Verdana"/>
          <w:sz w:val="18"/>
          <w:szCs w:val="18"/>
          <w:lang w:val="nl-NL"/>
        </w:rPr>
        <w:t xml:space="preserve">een verklaring </w:t>
      </w:r>
      <w:r w:rsidR="00754113">
        <w:rPr>
          <w:rFonts w:ascii="Verdana" w:hAnsi="Verdana"/>
          <w:sz w:val="18"/>
          <w:szCs w:val="18"/>
          <w:lang w:val="nl-NL"/>
        </w:rPr>
        <w:t xml:space="preserve">afleggen </w:t>
      </w:r>
      <w:r w:rsidR="00754113" w:rsidRPr="00754113">
        <w:rPr>
          <w:rFonts w:ascii="Verdana" w:hAnsi="Verdana"/>
          <w:sz w:val="18"/>
          <w:szCs w:val="18"/>
          <w:lang w:val="nl-NL"/>
        </w:rPr>
        <w:t>inzake de analyse die het nationale gerecht zelf heeft gemaakt</w:t>
      </w:r>
      <w:r w:rsidR="00754113">
        <w:rPr>
          <w:rFonts w:ascii="Verdana" w:hAnsi="Verdana"/>
          <w:sz w:val="18"/>
          <w:szCs w:val="18"/>
          <w:lang w:val="nl-NL"/>
        </w:rPr>
        <w:t xml:space="preserve"> inzake de voorliggende materie vanuit EVRM-perspectief. Het kan daarbij in voorkomende gevallen er voor kiezen om aan te geven waarom het tegen bestaande jurisprudentielijnen van het Hof aanloopt of aangeven hoe het zelf de verplichtingen voortvloeiend uit het Verdrag interpreteert. Zodoende kan het EHRM beter dan voorheen kennis nemen van de gedachten van de hoogste nationale gerechten over de toepassing en interpretatie van het</w:t>
      </w:r>
      <w:r w:rsidR="00F50241">
        <w:rPr>
          <w:rFonts w:ascii="Verdana" w:hAnsi="Verdana"/>
          <w:sz w:val="18"/>
          <w:szCs w:val="18"/>
          <w:lang w:val="nl-NL"/>
        </w:rPr>
        <w:t xml:space="preserve"> Verdrag</w:t>
      </w:r>
      <w:r w:rsidR="00754113">
        <w:rPr>
          <w:rFonts w:ascii="Verdana" w:hAnsi="Verdana"/>
          <w:sz w:val="18"/>
          <w:szCs w:val="18"/>
          <w:lang w:val="nl-NL"/>
        </w:rPr>
        <w:t>. Het te geven advies stelt het EHRM in staat om te reageren en desgewenst een nadere verduidelijking op de jurisprudentie te geven dan wel bestaande jurisprudentielijnen te herzien. Dit advies geeft vervolgens de richtsnoeren weer voor het nationale gerecht bij de toepassing van het advies op een concrete casus</w:t>
      </w:r>
      <w:r w:rsidR="00492257">
        <w:rPr>
          <w:rFonts w:ascii="Verdana" w:hAnsi="Verdana"/>
          <w:sz w:val="18"/>
          <w:szCs w:val="18"/>
          <w:lang w:val="nl-NL"/>
        </w:rPr>
        <w:t xml:space="preserve">. Mocht een nationaal gerecht gemotiveerd </w:t>
      </w:r>
      <w:r w:rsidR="00573C3B">
        <w:rPr>
          <w:rFonts w:ascii="Verdana" w:hAnsi="Verdana"/>
          <w:sz w:val="18"/>
          <w:szCs w:val="18"/>
          <w:lang w:val="nl-NL"/>
        </w:rPr>
        <w:t>af</w:t>
      </w:r>
      <w:r w:rsidR="00492257">
        <w:rPr>
          <w:rFonts w:ascii="Verdana" w:hAnsi="Verdana"/>
          <w:sz w:val="18"/>
          <w:szCs w:val="18"/>
          <w:lang w:val="nl-NL"/>
        </w:rPr>
        <w:t xml:space="preserve">wijken van </w:t>
      </w:r>
      <w:r w:rsidR="00573C3B">
        <w:rPr>
          <w:rFonts w:ascii="Verdana" w:hAnsi="Verdana"/>
          <w:sz w:val="18"/>
          <w:szCs w:val="18"/>
          <w:lang w:val="nl-NL"/>
        </w:rPr>
        <w:t xml:space="preserve">de argumentatie in (een deel van) </w:t>
      </w:r>
      <w:r w:rsidR="00492257">
        <w:rPr>
          <w:rFonts w:ascii="Verdana" w:hAnsi="Verdana"/>
          <w:sz w:val="18"/>
          <w:szCs w:val="18"/>
          <w:lang w:val="nl-NL"/>
        </w:rPr>
        <w:t>het advies</w:t>
      </w:r>
      <w:r w:rsidR="00573C3B">
        <w:rPr>
          <w:rFonts w:ascii="Verdana" w:hAnsi="Verdana"/>
          <w:sz w:val="18"/>
          <w:szCs w:val="18"/>
          <w:lang w:val="nl-NL"/>
        </w:rPr>
        <w:t>, is niet ondenkbaar dat de</w:t>
      </w:r>
      <w:r w:rsidR="00F50241">
        <w:rPr>
          <w:rFonts w:ascii="Verdana" w:hAnsi="Verdana"/>
          <w:sz w:val="18"/>
          <w:szCs w:val="18"/>
          <w:lang w:val="nl-NL"/>
        </w:rPr>
        <w:t xml:space="preserve"> benadeelde</w:t>
      </w:r>
      <w:r w:rsidR="00573C3B">
        <w:rPr>
          <w:rFonts w:ascii="Verdana" w:hAnsi="Verdana"/>
          <w:sz w:val="18"/>
          <w:szCs w:val="18"/>
          <w:lang w:val="nl-NL"/>
        </w:rPr>
        <w:t xml:space="preserve"> procespartij een individueel verzoekschrift </w:t>
      </w:r>
      <w:r w:rsidR="00F50241">
        <w:rPr>
          <w:rFonts w:ascii="Verdana" w:hAnsi="Verdana"/>
          <w:sz w:val="18"/>
          <w:szCs w:val="18"/>
          <w:lang w:val="nl-NL"/>
        </w:rPr>
        <w:t xml:space="preserve">ingevolge </w:t>
      </w:r>
      <w:r w:rsidR="00573C3B">
        <w:rPr>
          <w:rFonts w:ascii="Verdana" w:hAnsi="Verdana"/>
          <w:sz w:val="18"/>
          <w:szCs w:val="18"/>
          <w:lang w:val="nl-NL"/>
        </w:rPr>
        <w:t xml:space="preserve">artikel 34 EVRM zal indienen bij het </w:t>
      </w:r>
      <w:r w:rsidR="00F50241">
        <w:rPr>
          <w:rFonts w:ascii="Verdana" w:hAnsi="Verdana"/>
          <w:sz w:val="18"/>
          <w:szCs w:val="18"/>
          <w:lang w:val="nl-NL"/>
        </w:rPr>
        <w:t>Hof</w:t>
      </w:r>
      <w:r w:rsidR="00573C3B">
        <w:rPr>
          <w:rFonts w:ascii="Verdana" w:hAnsi="Verdana"/>
          <w:sz w:val="18"/>
          <w:szCs w:val="18"/>
          <w:lang w:val="nl-NL"/>
        </w:rPr>
        <w:t xml:space="preserve">. In die zin blijft </w:t>
      </w:r>
      <w:r w:rsidR="00573C3B" w:rsidRPr="00573C3B">
        <w:rPr>
          <w:rFonts w:ascii="Verdana" w:hAnsi="Verdana"/>
          <w:sz w:val="18"/>
          <w:szCs w:val="18"/>
          <w:lang w:val="nl-NL"/>
        </w:rPr>
        <w:t xml:space="preserve">het </w:t>
      </w:r>
      <w:r w:rsidR="00F50241">
        <w:rPr>
          <w:rFonts w:ascii="Verdana" w:hAnsi="Verdana"/>
          <w:sz w:val="18"/>
          <w:szCs w:val="18"/>
          <w:lang w:val="nl-NL"/>
        </w:rPr>
        <w:t>Hof</w:t>
      </w:r>
      <w:r w:rsidR="00573C3B">
        <w:rPr>
          <w:rFonts w:ascii="Verdana" w:hAnsi="Verdana"/>
          <w:sz w:val="18"/>
          <w:szCs w:val="18"/>
          <w:lang w:val="nl-NL"/>
        </w:rPr>
        <w:t xml:space="preserve"> </w:t>
      </w:r>
      <w:r w:rsidR="00573C3B" w:rsidRPr="00573C3B">
        <w:rPr>
          <w:rFonts w:ascii="Verdana" w:hAnsi="Verdana"/>
          <w:sz w:val="18"/>
          <w:szCs w:val="18"/>
          <w:lang w:val="nl-NL"/>
        </w:rPr>
        <w:t>uiteindelijk de laatste instantie om het Verdrag gezaghebbend te interpreteren en toe te passen</w:t>
      </w:r>
      <w:r w:rsidR="00573C3B">
        <w:rPr>
          <w:rFonts w:ascii="Verdana" w:hAnsi="Verdana"/>
          <w:sz w:val="18"/>
          <w:szCs w:val="18"/>
          <w:lang w:val="nl-NL"/>
        </w:rPr>
        <w:t xml:space="preserve">, hetgeen een integraal </w:t>
      </w:r>
      <w:r w:rsidR="00573C3B">
        <w:rPr>
          <w:rFonts w:ascii="Verdana" w:hAnsi="Verdana"/>
          <w:sz w:val="18"/>
          <w:szCs w:val="18"/>
          <w:lang w:val="nl-NL"/>
        </w:rPr>
        <w:lastRenderedPageBreak/>
        <w:t xml:space="preserve">onderdeel vormt van het beginsel van subsidiariteit. Het door Protocol </w:t>
      </w:r>
      <w:r w:rsidR="00F50241">
        <w:rPr>
          <w:rFonts w:ascii="Verdana" w:hAnsi="Verdana"/>
          <w:sz w:val="18"/>
          <w:szCs w:val="18"/>
          <w:lang w:val="nl-NL"/>
        </w:rPr>
        <w:t xml:space="preserve">nr. </w:t>
      </w:r>
      <w:r w:rsidR="00573C3B">
        <w:rPr>
          <w:rFonts w:ascii="Verdana" w:hAnsi="Verdana"/>
          <w:sz w:val="18"/>
          <w:szCs w:val="18"/>
          <w:lang w:val="nl-NL"/>
        </w:rPr>
        <w:t xml:space="preserve">16 geïntroduceerde stelsel van adviezen creëert voor het EHRM een nieuwe mogelijkheid om deze rol te verwezenlijken op een zodanige wijze dat de nationale rechtsorde in een vroegtijdig stadium kan duiden welke verplichtingen uit het Verdrag voortvloeien. </w:t>
      </w:r>
      <w:r w:rsidR="00746E30" w:rsidRPr="00746E30">
        <w:rPr>
          <w:rFonts w:ascii="Verdana" w:hAnsi="Verdana"/>
          <w:sz w:val="18"/>
          <w:szCs w:val="18"/>
          <w:lang w:val="nl-NL"/>
        </w:rPr>
        <w:t>Daarbij moet wel worden bedacht dat het stelsel van adviezen slechts kan worden geactiveerd als is voldaan aan de voorwaarden van artikel 1 van Protocol nr. 16  (zie hierover meer uitgebreid de toelichting bij dit artikel).</w:t>
      </w:r>
    </w:p>
    <w:p w:rsidR="002B5509" w:rsidRDefault="00CC1D79" w:rsidP="000C6307">
      <w:pPr>
        <w:spacing w:line="360" w:lineRule="auto"/>
        <w:jc w:val="both"/>
        <w:rPr>
          <w:rFonts w:ascii="Verdana" w:hAnsi="Verdana"/>
          <w:sz w:val="18"/>
          <w:szCs w:val="18"/>
          <w:lang w:val="nl-NL"/>
        </w:rPr>
      </w:pPr>
      <w:r>
        <w:rPr>
          <w:rFonts w:ascii="Verdana" w:hAnsi="Verdana"/>
          <w:sz w:val="18"/>
          <w:szCs w:val="18"/>
          <w:lang w:val="nl-NL"/>
        </w:rPr>
        <w:t xml:space="preserve">Tegelijkertijd beoogt een stelsel van </w:t>
      </w:r>
      <w:r w:rsidR="00486B4D">
        <w:rPr>
          <w:rFonts w:ascii="Verdana" w:hAnsi="Verdana"/>
          <w:sz w:val="18"/>
          <w:szCs w:val="18"/>
          <w:lang w:val="nl-NL"/>
        </w:rPr>
        <w:t>adviezen</w:t>
      </w:r>
      <w:r>
        <w:rPr>
          <w:rFonts w:ascii="Verdana" w:hAnsi="Verdana"/>
          <w:sz w:val="18"/>
          <w:szCs w:val="18"/>
          <w:lang w:val="nl-NL"/>
        </w:rPr>
        <w:t xml:space="preserve"> op de middellange termijn de werklast van het Hof substantieel te verminderen. Uiteraard zal de werklast van het Hof toenemen door het verstrekken van adviezen, maar juist in geval van rechtsvragen die betrekking hebben op grote aantallen vergelijkbare zaken kunnen </w:t>
      </w:r>
      <w:r w:rsidR="002B5509" w:rsidRPr="002B5509">
        <w:rPr>
          <w:rFonts w:ascii="Verdana" w:hAnsi="Verdana"/>
          <w:sz w:val="18"/>
          <w:szCs w:val="18"/>
          <w:lang w:val="nl-NL"/>
        </w:rPr>
        <w:t xml:space="preserve">potentieel grote aantallen klachten worden ‘weggehouden’ van het EHRM. </w:t>
      </w:r>
      <w:r>
        <w:rPr>
          <w:rFonts w:ascii="Verdana" w:hAnsi="Verdana"/>
          <w:sz w:val="18"/>
          <w:szCs w:val="18"/>
          <w:lang w:val="nl-NL"/>
        </w:rPr>
        <w:t xml:space="preserve">De gedachte is dat </w:t>
      </w:r>
      <w:r w:rsidR="002B5509" w:rsidRPr="002B5509">
        <w:rPr>
          <w:rFonts w:ascii="Verdana" w:hAnsi="Verdana"/>
          <w:sz w:val="18"/>
          <w:szCs w:val="18"/>
          <w:lang w:val="nl-NL"/>
        </w:rPr>
        <w:t xml:space="preserve">een nationaal gerecht </w:t>
      </w:r>
      <w:r>
        <w:rPr>
          <w:rFonts w:ascii="Verdana" w:hAnsi="Verdana"/>
          <w:sz w:val="18"/>
          <w:szCs w:val="18"/>
          <w:lang w:val="nl-NL"/>
        </w:rPr>
        <w:t xml:space="preserve">dat </w:t>
      </w:r>
      <w:r w:rsidR="002B5509" w:rsidRPr="002B5509">
        <w:rPr>
          <w:rFonts w:ascii="Verdana" w:hAnsi="Verdana"/>
          <w:sz w:val="18"/>
          <w:szCs w:val="18"/>
          <w:lang w:val="nl-NL"/>
        </w:rPr>
        <w:t xml:space="preserve">geconfronteerd </w:t>
      </w:r>
      <w:r>
        <w:rPr>
          <w:rFonts w:ascii="Verdana" w:hAnsi="Verdana"/>
          <w:sz w:val="18"/>
          <w:szCs w:val="18"/>
          <w:lang w:val="nl-NL"/>
        </w:rPr>
        <w:t xml:space="preserve">wordt </w:t>
      </w:r>
      <w:r w:rsidR="002B5509" w:rsidRPr="002B5509">
        <w:rPr>
          <w:rFonts w:ascii="Verdana" w:hAnsi="Verdana"/>
          <w:sz w:val="18"/>
          <w:szCs w:val="18"/>
          <w:lang w:val="nl-NL"/>
        </w:rPr>
        <w:t xml:space="preserve">met een stelselmatig probleem </w:t>
      </w:r>
      <w:r>
        <w:rPr>
          <w:rFonts w:ascii="Verdana" w:hAnsi="Verdana"/>
          <w:sz w:val="18"/>
          <w:szCs w:val="18"/>
          <w:lang w:val="nl-NL"/>
        </w:rPr>
        <w:t>een</w:t>
      </w:r>
      <w:r w:rsidR="002B5509" w:rsidRPr="002B5509">
        <w:rPr>
          <w:rFonts w:ascii="Verdana" w:hAnsi="Verdana"/>
          <w:sz w:val="18"/>
          <w:szCs w:val="18"/>
          <w:lang w:val="nl-NL"/>
        </w:rPr>
        <w:t xml:space="preserve"> </w:t>
      </w:r>
      <w:r w:rsidR="00486B4D">
        <w:rPr>
          <w:rFonts w:ascii="Verdana" w:hAnsi="Verdana"/>
          <w:sz w:val="18"/>
          <w:szCs w:val="18"/>
          <w:lang w:val="nl-NL"/>
        </w:rPr>
        <w:t>advies</w:t>
      </w:r>
      <w:r w:rsidR="002B5509" w:rsidRPr="002B5509">
        <w:rPr>
          <w:rFonts w:ascii="Verdana" w:hAnsi="Verdana"/>
          <w:sz w:val="18"/>
          <w:szCs w:val="18"/>
          <w:lang w:val="nl-NL"/>
        </w:rPr>
        <w:t xml:space="preserve"> </w:t>
      </w:r>
      <w:r>
        <w:rPr>
          <w:rFonts w:ascii="Verdana" w:hAnsi="Verdana"/>
          <w:sz w:val="18"/>
          <w:szCs w:val="18"/>
          <w:lang w:val="nl-NL"/>
        </w:rPr>
        <w:t>kan</w:t>
      </w:r>
      <w:r w:rsidR="002B5509" w:rsidRPr="002B5509">
        <w:rPr>
          <w:rFonts w:ascii="Verdana" w:hAnsi="Verdana"/>
          <w:sz w:val="18"/>
          <w:szCs w:val="18"/>
          <w:lang w:val="nl-NL"/>
        </w:rPr>
        <w:t xml:space="preserve"> vragen aan het </w:t>
      </w:r>
      <w:r>
        <w:rPr>
          <w:rFonts w:ascii="Verdana" w:hAnsi="Verdana"/>
          <w:sz w:val="18"/>
          <w:szCs w:val="18"/>
          <w:lang w:val="nl-NL"/>
        </w:rPr>
        <w:t>Hof om vervolgens</w:t>
      </w:r>
      <w:r w:rsidR="002B5509" w:rsidRPr="002B5509">
        <w:rPr>
          <w:rFonts w:ascii="Verdana" w:hAnsi="Verdana"/>
          <w:sz w:val="18"/>
          <w:szCs w:val="18"/>
          <w:lang w:val="nl-NL"/>
        </w:rPr>
        <w:t xml:space="preserve"> met toepassing van de door het Hof gegeven interpretatie van het Verdrag </w:t>
      </w:r>
      <w:r>
        <w:rPr>
          <w:rFonts w:ascii="Verdana" w:hAnsi="Verdana"/>
          <w:sz w:val="18"/>
          <w:szCs w:val="18"/>
          <w:lang w:val="nl-NL"/>
        </w:rPr>
        <w:t xml:space="preserve">alle vergelijkbare </w:t>
      </w:r>
      <w:r w:rsidR="002B5509" w:rsidRPr="002B5509">
        <w:rPr>
          <w:rFonts w:ascii="Verdana" w:hAnsi="Verdana"/>
          <w:sz w:val="18"/>
          <w:szCs w:val="18"/>
          <w:lang w:val="nl-NL"/>
        </w:rPr>
        <w:t xml:space="preserve">dossiers nationaal </w:t>
      </w:r>
      <w:r>
        <w:rPr>
          <w:rFonts w:ascii="Verdana" w:hAnsi="Verdana"/>
          <w:sz w:val="18"/>
          <w:szCs w:val="18"/>
          <w:lang w:val="nl-NL"/>
        </w:rPr>
        <w:t xml:space="preserve">af te </w:t>
      </w:r>
      <w:r w:rsidR="002B5509" w:rsidRPr="002B5509">
        <w:rPr>
          <w:rFonts w:ascii="Verdana" w:hAnsi="Verdana"/>
          <w:sz w:val="18"/>
          <w:szCs w:val="18"/>
          <w:lang w:val="nl-NL"/>
        </w:rPr>
        <w:t>kunnen doen.</w:t>
      </w:r>
      <w:r w:rsidR="00C130F2">
        <w:rPr>
          <w:rFonts w:ascii="Verdana" w:hAnsi="Verdana"/>
          <w:sz w:val="18"/>
          <w:szCs w:val="18"/>
          <w:lang w:val="nl-NL"/>
        </w:rPr>
        <w:t xml:space="preserve"> De invoering van een stelsel van adviezen zal </w:t>
      </w:r>
      <w:r w:rsidR="0043552F">
        <w:rPr>
          <w:rFonts w:ascii="Verdana" w:hAnsi="Verdana"/>
          <w:sz w:val="18"/>
          <w:szCs w:val="18"/>
          <w:lang w:val="nl-NL"/>
        </w:rPr>
        <w:t xml:space="preserve">wellicht </w:t>
      </w:r>
      <w:r w:rsidR="00C130F2">
        <w:rPr>
          <w:rFonts w:ascii="Verdana" w:hAnsi="Verdana"/>
          <w:sz w:val="18"/>
          <w:szCs w:val="18"/>
          <w:lang w:val="nl-NL"/>
        </w:rPr>
        <w:t xml:space="preserve">weinig soelaas kunnen bieden bij de aanpak door het Hof van </w:t>
      </w:r>
      <w:r w:rsidR="0070114A">
        <w:rPr>
          <w:rFonts w:ascii="Verdana" w:hAnsi="Verdana"/>
          <w:sz w:val="18"/>
          <w:szCs w:val="18"/>
          <w:lang w:val="nl-NL"/>
        </w:rPr>
        <w:t>reeds bekende</w:t>
      </w:r>
      <w:r w:rsidR="00C130F2">
        <w:rPr>
          <w:rFonts w:ascii="Verdana" w:hAnsi="Verdana"/>
          <w:sz w:val="18"/>
          <w:szCs w:val="18"/>
          <w:lang w:val="nl-NL"/>
        </w:rPr>
        <w:t xml:space="preserve"> stelselmatige problemen van diverse lidstaten van de Raad van Europa, zoals het vereiste om rechtszaken binnen een redelijke termijn te beoordelen, gevangenisomstandigheden of tenuitvoerlegging van vonnissen</w:t>
      </w:r>
      <w:r w:rsidR="0043552F">
        <w:rPr>
          <w:rFonts w:ascii="Verdana" w:hAnsi="Verdana"/>
          <w:sz w:val="18"/>
          <w:szCs w:val="18"/>
          <w:lang w:val="nl-NL"/>
        </w:rPr>
        <w:t>, omwille van het feit dat de jurisprudentie van het EHRM reeds helder aangeeft welke verplichtingen op een desbetreffende lidstaat rusten</w:t>
      </w:r>
      <w:r w:rsidR="00C130F2">
        <w:rPr>
          <w:rFonts w:ascii="Verdana" w:hAnsi="Verdana"/>
          <w:sz w:val="18"/>
          <w:szCs w:val="18"/>
          <w:lang w:val="nl-NL"/>
        </w:rPr>
        <w:t>. Maar het kan wel soelaas bieden bij het weghouden van grote aantallen identieke klachten bij het EHRM over potentieel nieuwe stelselmatige problemen. Enkele jaren geleden had een grote groep klachten bij het EHRM betrekking op de vraag of artikel 3 van het Verdrag geschonden zou worden bij overdracht aan Griekenland onder de Dublin</w:t>
      </w:r>
      <w:r w:rsidR="00A955E1">
        <w:rPr>
          <w:rFonts w:ascii="Verdana" w:hAnsi="Verdana"/>
          <w:sz w:val="18"/>
          <w:szCs w:val="18"/>
          <w:lang w:val="nl-NL"/>
        </w:rPr>
        <w:t>v</w:t>
      </w:r>
      <w:r w:rsidR="00C130F2">
        <w:rPr>
          <w:rFonts w:ascii="Verdana" w:hAnsi="Verdana"/>
          <w:sz w:val="18"/>
          <w:szCs w:val="18"/>
          <w:lang w:val="nl-NL"/>
        </w:rPr>
        <w:t>erordening</w:t>
      </w:r>
      <w:r w:rsidR="00A955E1">
        <w:rPr>
          <w:rFonts w:ascii="Verdana" w:hAnsi="Verdana"/>
          <w:sz w:val="18"/>
          <w:szCs w:val="18"/>
          <w:lang w:val="nl-NL"/>
        </w:rPr>
        <w:t xml:space="preserve"> (343/2003/EG)</w:t>
      </w:r>
      <w:r w:rsidR="00C130F2">
        <w:rPr>
          <w:rFonts w:ascii="Verdana" w:hAnsi="Verdana"/>
          <w:sz w:val="18"/>
          <w:szCs w:val="18"/>
          <w:lang w:val="nl-NL"/>
        </w:rPr>
        <w:t>. Alleen al tegen Nederland waren honderden klachten aangespannen bij het EHRM die betrekking hadden op deze materie, terwijl de onderliggende rechtsvraag in al deze zaken identiek</w:t>
      </w:r>
      <w:r w:rsidR="00830F5D">
        <w:rPr>
          <w:rFonts w:ascii="Verdana" w:hAnsi="Verdana"/>
          <w:sz w:val="18"/>
          <w:szCs w:val="18"/>
          <w:lang w:val="nl-NL"/>
        </w:rPr>
        <w:t xml:space="preserve"> was. Zowel op Straatsburgs niveau als op nationaal niveau moest veel tijd en geld worden geïnvesteerd in al deze afzonderlijke procedures. De regering meent dat de Afdeling bestuursrechtspraak </w:t>
      </w:r>
      <w:r w:rsidR="003825BC">
        <w:rPr>
          <w:rFonts w:ascii="Verdana" w:hAnsi="Verdana"/>
          <w:sz w:val="18"/>
          <w:szCs w:val="18"/>
          <w:lang w:val="nl-NL"/>
        </w:rPr>
        <w:t xml:space="preserve">van de Raad van State </w:t>
      </w:r>
      <w:r w:rsidR="00830F5D">
        <w:rPr>
          <w:rFonts w:ascii="Verdana" w:hAnsi="Verdana"/>
          <w:sz w:val="18"/>
          <w:szCs w:val="18"/>
          <w:lang w:val="nl-NL"/>
        </w:rPr>
        <w:t xml:space="preserve">in een dergelijke situatie gebaat zou zijn geweest </w:t>
      </w:r>
      <w:r w:rsidR="0043552F">
        <w:rPr>
          <w:rFonts w:ascii="Verdana" w:hAnsi="Verdana"/>
          <w:sz w:val="18"/>
          <w:szCs w:val="18"/>
          <w:lang w:val="nl-NL"/>
        </w:rPr>
        <w:t>bij</w:t>
      </w:r>
      <w:r w:rsidR="00830F5D">
        <w:rPr>
          <w:rFonts w:ascii="Verdana" w:hAnsi="Verdana"/>
          <w:sz w:val="18"/>
          <w:szCs w:val="18"/>
          <w:lang w:val="nl-NL"/>
        </w:rPr>
        <w:t xml:space="preserve"> de mogelijkheid om één adviesaanvraag te richten tot het EHRM. Toepassing van een dergelijk advies door de nationale gerechten zal potentieel grote aantallen klachten weghouden van het EHRM aangezien verwacht mag worden dat een </w:t>
      </w:r>
      <w:r w:rsidR="000C6307">
        <w:rPr>
          <w:rFonts w:ascii="Verdana" w:hAnsi="Verdana"/>
          <w:sz w:val="18"/>
          <w:szCs w:val="18"/>
          <w:lang w:val="nl-NL"/>
        </w:rPr>
        <w:t>verzoek</w:t>
      </w:r>
      <w:r w:rsidR="00830F5D">
        <w:rPr>
          <w:rFonts w:ascii="Verdana" w:hAnsi="Verdana"/>
          <w:sz w:val="18"/>
          <w:szCs w:val="18"/>
          <w:lang w:val="nl-NL"/>
        </w:rPr>
        <w:t>schrift niet-ontvankelijk zal worden verklaard of van de rol zal worden geschrapt voor zover het nationale gerecht effect heeft gegeven aan het advies in de onderliggende nationale procedure</w:t>
      </w:r>
      <w:r w:rsidR="0043552F">
        <w:rPr>
          <w:rFonts w:ascii="Verdana" w:hAnsi="Verdana"/>
          <w:sz w:val="18"/>
          <w:szCs w:val="18"/>
          <w:lang w:val="nl-NL"/>
        </w:rPr>
        <w:t>(s)</w:t>
      </w:r>
      <w:r w:rsidR="00830F5D">
        <w:rPr>
          <w:rFonts w:ascii="Verdana" w:hAnsi="Verdana"/>
          <w:sz w:val="18"/>
          <w:szCs w:val="18"/>
          <w:lang w:val="nl-NL"/>
        </w:rPr>
        <w:t>. Deze verwachting is mede ingegeven door het standpunt</w:t>
      </w:r>
      <w:r w:rsidR="005636C6">
        <w:rPr>
          <w:rFonts w:ascii="Verdana" w:hAnsi="Verdana"/>
          <w:sz w:val="18"/>
          <w:szCs w:val="18"/>
          <w:lang w:val="nl-NL"/>
        </w:rPr>
        <w:t xml:space="preserve"> dat is</w:t>
      </w:r>
      <w:r w:rsidR="00830F5D">
        <w:rPr>
          <w:rFonts w:ascii="Verdana" w:hAnsi="Verdana"/>
          <w:sz w:val="18"/>
          <w:szCs w:val="18"/>
          <w:lang w:val="nl-NL"/>
        </w:rPr>
        <w:t xml:space="preserve"> ingenomen door vertegenwoordigers van het Hof tijdens de onderhandelingen over de totstandkoming van Protocol </w:t>
      </w:r>
      <w:r w:rsidR="005636C6">
        <w:rPr>
          <w:rFonts w:ascii="Verdana" w:hAnsi="Verdana"/>
          <w:sz w:val="18"/>
          <w:szCs w:val="18"/>
          <w:lang w:val="nl-NL"/>
        </w:rPr>
        <w:t xml:space="preserve">nr. </w:t>
      </w:r>
      <w:r w:rsidR="00830F5D">
        <w:rPr>
          <w:rFonts w:ascii="Verdana" w:hAnsi="Verdana"/>
          <w:sz w:val="18"/>
          <w:szCs w:val="18"/>
          <w:lang w:val="nl-NL"/>
        </w:rPr>
        <w:t>16.</w:t>
      </w:r>
    </w:p>
    <w:p w:rsidR="00EF4943" w:rsidRDefault="00EF4943" w:rsidP="000C6307">
      <w:pPr>
        <w:spacing w:line="360" w:lineRule="auto"/>
        <w:jc w:val="both"/>
        <w:rPr>
          <w:rFonts w:ascii="Verdana" w:hAnsi="Verdana"/>
          <w:sz w:val="18"/>
          <w:szCs w:val="18"/>
          <w:lang w:val="nl-NL"/>
        </w:rPr>
      </w:pPr>
      <w:r>
        <w:rPr>
          <w:rFonts w:ascii="Verdana" w:hAnsi="Verdana"/>
          <w:sz w:val="18"/>
          <w:szCs w:val="18"/>
          <w:lang w:val="nl-NL"/>
        </w:rPr>
        <w:t xml:space="preserve">Het effect van Protocol </w:t>
      </w:r>
      <w:r w:rsidR="005636C6">
        <w:rPr>
          <w:rFonts w:ascii="Verdana" w:hAnsi="Verdana"/>
          <w:sz w:val="18"/>
          <w:szCs w:val="18"/>
          <w:lang w:val="nl-NL"/>
        </w:rPr>
        <w:t xml:space="preserve">nr. </w:t>
      </w:r>
      <w:r>
        <w:rPr>
          <w:rFonts w:ascii="Verdana" w:hAnsi="Verdana"/>
          <w:sz w:val="18"/>
          <w:szCs w:val="18"/>
          <w:lang w:val="nl-NL"/>
        </w:rPr>
        <w:t xml:space="preserve">16 zal groter zijn naarmate meer lidstaten van de Raad van Europa dit </w:t>
      </w:r>
      <w:r w:rsidR="0043552F">
        <w:rPr>
          <w:rFonts w:ascii="Verdana" w:hAnsi="Verdana"/>
          <w:sz w:val="18"/>
          <w:szCs w:val="18"/>
          <w:lang w:val="nl-NL"/>
        </w:rPr>
        <w:t>facultatieve</w:t>
      </w:r>
      <w:r>
        <w:rPr>
          <w:rFonts w:ascii="Verdana" w:hAnsi="Verdana"/>
          <w:sz w:val="18"/>
          <w:szCs w:val="18"/>
          <w:lang w:val="nl-NL"/>
        </w:rPr>
        <w:t xml:space="preserve"> </w:t>
      </w:r>
      <w:r w:rsidR="000C6307">
        <w:rPr>
          <w:rFonts w:ascii="Verdana" w:hAnsi="Verdana"/>
          <w:sz w:val="18"/>
          <w:szCs w:val="18"/>
          <w:lang w:val="nl-NL"/>
        </w:rPr>
        <w:t>P</w:t>
      </w:r>
      <w:r>
        <w:rPr>
          <w:rFonts w:ascii="Verdana" w:hAnsi="Verdana"/>
          <w:sz w:val="18"/>
          <w:szCs w:val="18"/>
          <w:lang w:val="nl-NL"/>
        </w:rPr>
        <w:t xml:space="preserve">rotocol ondertekenen en ratificeren. Thans is het </w:t>
      </w:r>
      <w:r w:rsidR="000C6307">
        <w:rPr>
          <w:rFonts w:ascii="Verdana" w:hAnsi="Verdana"/>
          <w:sz w:val="18"/>
          <w:szCs w:val="18"/>
          <w:lang w:val="nl-NL"/>
        </w:rPr>
        <w:t>P</w:t>
      </w:r>
      <w:r>
        <w:rPr>
          <w:rFonts w:ascii="Verdana" w:hAnsi="Verdana"/>
          <w:sz w:val="18"/>
          <w:szCs w:val="18"/>
          <w:lang w:val="nl-NL"/>
        </w:rPr>
        <w:t xml:space="preserve">rotocol ondertekend door </w:t>
      </w:r>
      <w:r w:rsidR="009D6C87">
        <w:rPr>
          <w:rFonts w:ascii="Verdana" w:hAnsi="Verdana"/>
          <w:sz w:val="18"/>
          <w:szCs w:val="18"/>
          <w:lang w:val="nl-NL"/>
        </w:rPr>
        <w:t>zestien</w:t>
      </w:r>
      <w:r>
        <w:rPr>
          <w:rFonts w:ascii="Verdana" w:hAnsi="Verdana"/>
          <w:sz w:val="18"/>
          <w:szCs w:val="18"/>
          <w:lang w:val="nl-NL"/>
        </w:rPr>
        <w:t xml:space="preserve"> lidstaten, te weten </w:t>
      </w:r>
      <w:r w:rsidR="009D6C87">
        <w:rPr>
          <w:rFonts w:ascii="Verdana" w:hAnsi="Verdana"/>
          <w:sz w:val="18"/>
          <w:szCs w:val="18"/>
          <w:lang w:val="nl-NL"/>
        </w:rPr>
        <w:t xml:space="preserve">Albanië, </w:t>
      </w:r>
      <w:r>
        <w:rPr>
          <w:rFonts w:ascii="Verdana" w:hAnsi="Verdana"/>
          <w:sz w:val="18"/>
          <w:szCs w:val="18"/>
          <w:lang w:val="nl-NL"/>
        </w:rPr>
        <w:t xml:space="preserve">Armenië, Estland, Finland, Frankrijk, </w:t>
      </w:r>
      <w:r w:rsidR="000C6307">
        <w:rPr>
          <w:rFonts w:ascii="Verdana" w:hAnsi="Verdana"/>
          <w:sz w:val="18"/>
          <w:szCs w:val="18"/>
          <w:lang w:val="nl-NL"/>
        </w:rPr>
        <w:t xml:space="preserve">Georgië, </w:t>
      </w:r>
      <w:r>
        <w:rPr>
          <w:rFonts w:ascii="Verdana" w:hAnsi="Verdana"/>
          <w:sz w:val="18"/>
          <w:szCs w:val="18"/>
          <w:lang w:val="nl-NL"/>
        </w:rPr>
        <w:t xml:space="preserve">Italië, </w:t>
      </w:r>
      <w:r w:rsidR="000C6307">
        <w:rPr>
          <w:rFonts w:ascii="Verdana" w:hAnsi="Verdana"/>
          <w:sz w:val="18"/>
          <w:szCs w:val="18"/>
          <w:lang w:val="nl-NL"/>
        </w:rPr>
        <w:t xml:space="preserve">Litouwen, </w:t>
      </w:r>
      <w:r>
        <w:rPr>
          <w:rFonts w:ascii="Verdana" w:hAnsi="Verdana"/>
          <w:sz w:val="18"/>
          <w:szCs w:val="18"/>
          <w:lang w:val="nl-NL"/>
        </w:rPr>
        <w:t xml:space="preserve">Nederland, </w:t>
      </w:r>
      <w:r w:rsidR="000C28F0">
        <w:rPr>
          <w:rFonts w:ascii="Verdana" w:hAnsi="Verdana"/>
          <w:sz w:val="18"/>
          <w:szCs w:val="18"/>
          <w:lang w:val="nl-NL"/>
        </w:rPr>
        <w:t xml:space="preserve">Noorwegen, </w:t>
      </w:r>
      <w:r w:rsidR="000C6307">
        <w:rPr>
          <w:rFonts w:ascii="Verdana" w:hAnsi="Verdana"/>
          <w:sz w:val="18"/>
          <w:szCs w:val="18"/>
          <w:lang w:val="nl-NL"/>
        </w:rPr>
        <w:t xml:space="preserve">Oekraïne, </w:t>
      </w:r>
      <w:r w:rsidR="009D6C87">
        <w:rPr>
          <w:rFonts w:ascii="Verdana" w:hAnsi="Verdana"/>
          <w:sz w:val="18"/>
          <w:szCs w:val="18"/>
          <w:lang w:val="nl-NL"/>
        </w:rPr>
        <w:t xml:space="preserve">Roemenië, </w:t>
      </w:r>
      <w:r>
        <w:rPr>
          <w:rFonts w:ascii="Verdana" w:hAnsi="Verdana"/>
          <w:sz w:val="18"/>
          <w:szCs w:val="18"/>
          <w:lang w:val="nl-NL"/>
        </w:rPr>
        <w:t xml:space="preserve">San Marino, </w:t>
      </w:r>
      <w:r w:rsidR="000C6307">
        <w:rPr>
          <w:rFonts w:ascii="Verdana" w:hAnsi="Verdana"/>
          <w:sz w:val="18"/>
          <w:szCs w:val="18"/>
          <w:lang w:val="nl-NL"/>
        </w:rPr>
        <w:t xml:space="preserve">Slovenië, </w:t>
      </w:r>
      <w:r>
        <w:rPr>
          <w:rFonts w:ascii="Verdana" w:hAnsi="Verdana"/>
          <w:sz w:val="18"/>
          <w:szCs w:val="18"/>
          <w:lang w:val="nl-NL"/>
        </w:rPr>
        <w:t xml:space="preserve">Slowakije en Turkije. </w:t>
      </w:r>
      <w:r w:rsidR="009D6C87">
        <w:rPr>
          <w:rFonts w:ascii="Verdana" w:hAnsi="Verdana"/>
          <w:sz w:val="18"/>
          <w:szCs w:val="18"/>
          <w:lang w:val="nl-NL"/>
        </w:rPr>
        <w:t>San Marino</w:t>
      </w:r>
      <w:r w:rsidR="00FC128B">
        <w:rPr>
          <w:rFonts w:ascii="Verdana" w:hAnsi="Verdana"/>
          <w:sz w:val="18"/>
          <w:szCs w:val="18"/>
          <w:lang w:val="nl-NL"/>
        </w:rPr>
        <w:t xml:space="preserve"> en Slovenië hebben</w:t>
      </w:r>
      <w:r w:rsidR="009D6C87">
        <w:rPr>
          <w:rFonts w:ascii="Verdana" w:hAnsi="Verdana"/>
          <w:sz w:val="18"/>
          <w:szCs w:val="18"/>
          <w:lang w:val="nl-NL"/>
        </w:rPr>
        <w:t xml:space="preserve"> het Protocol reeds geratificeerd. </w:t>
      </w:r>
      <w:r w:rsidR="00A55539">
        <w:rPr>
          <w:rFonts w:ascii="Verdana" w:hAnsi="Verdana"/>
          <w:sz w:val="18"/>
          <w:szCs w:val="18"/>
          <w:lang w:val="nl-NL"/>
        </w:rPr>
        <w:t xml:space="preserve">Nederland </w:t>
      </w:r>
      <w:r w:rsidR="00A55539">
        <w:rPr>
          <w:rFonts w:ascii="Verdana" w:hAnsi="Verdana"/>
          <w:sz w:val="18"/>
          <w:szCs w:val="18"/>
          <w:lang w:val="nl-NL"/>
        </w:rPr>
        <w:lastRenderedPageBreak/>
        <w:t xml:space="preserve">verwelkomt het feit dat ook landen die verantwoordelijk zijn voor een aanzienlijk deel van de werklast van het Hof het </w:t>
      </w:r>
      <w:r w:rsidR="000C6307">
        <w:rPr>
          <w:rFonts w:ascii="Verdana" w:hAnsi="Verdana"/>
          <w:sz w:val="18"/>
          <w:szCs w:val="18"/>
          <w:lang w:val="nl-NL"/>
        </w:rPr>
        <w:t>P</w:t>
      </w:r>
      <w:r w:rsidR="00A55539">
        <w:rPr>
          <w:rFonts w:ascii="Verdana" w:hAnsi="Verdana"/>
          <w:sz w:val="18"/>
          <w:szCs w:val="18"/>
          <w:lang w:val="nl-NL"/>
        </w:rPr>
        <w:t xml:space="preserve">rotocol hebben ondertekend en zal andere lidstaten van de Raad van Europa waar mogelijk aansporen het </w:t>
      </w:r>
      <w:r w:rsidR="000C6307">
        <w:rPr>
          <w:rFonts w:ascii="Verdana" w:hAnsi="Verdana"/>
          <w:sz w:val="18"/>
          <w:szCs w:val="18"/>
          <w:lang w:val="nl-NL"/>
        </w:rPr>
        <w:t>P</w:t>
      </w:r>
      <w:r w:rsidR="00A55539">
        <w:rPr>
          <w:rFonts w:ascii="Verdana" w:hAnsi="Verdana"/>
          <w:sz w:val="18"/>
          <w:szCs w:val="18"/>
          <w:lang w:val="nl-NL"/>
        </w:rPr>
        <w:t>rotocol eveneens te ondertekenen en ratificeren.</w:t>
      </w:r>
    </w:p>
    <w:p w:rsidR="002B5509" w:rsidRDefault="002B5509" w:rsidP="001A68C4">
      <w:pPr>
        <w:spacing w:line="360" w:lineRule="auto"/>
        <w:jc w:val="both"/>
        <w:rPr>
          <w:rFonts w:ascii="Verdana" w:hAnsi="Verdana"/>
          <w:sz w:val="18"/>
          <w:szCs w:val="18"/>
          <w:lang w:val="nl-NL"/>
        </w:rPr>
      </w:pPr>
    </w:p>
    <w:p w:rsidR="003864B5" w:rsidRDefault="003864B5" w:rsidP="001A68C4">
      <w:pPr>
        <w:spacing w:line="360" w:lineRule="auto"/>
        <w:jc w:val="both"/>
        <w:rPr>
          <w:rFonts w:ascii="Verdana" w:hAnsi="Verdana"/>
          <w:sz w:val="18"/>
          <w:szCs w:val="18"/>
          <w:lang w:val="nl-NL"/>
        </w:rPr>
      </w:pPr>
      <w:r>
        <w:rPr>
          <w:rFonts w:ascii="Verdana" w:hAnsi="Verdana"/>
          <w:i/>
          <w:sz w:val="18"/>
          <w:szCs w:val="18"/>
          <w:lang w:val="nl-NL"/>
        </w:rPr>
        <w:t>Nederlandse</w:t>
      </w:r>
      <w:r w:rsidR="002B5509">
        <w:rPr>
          <w:rFonts w:ascii="Verdana" w:hAnsi="Verdana"/>
          <w:i/>
          <w:sz w:val="18"/>
          <w:szCs w:val="18"/>
          <w:lang w:val="nl-NL"/>
        </w:rPr>
        <w:t xml:space="preserve"> positie</w:t>
      </w:r>
    </w:p>
    <w:p w:rsidR="00C45925" w:rsidRDefault="0039659E" w:rsidP="001A68C4">
      <w:pPr>
        <w:spacing w:line="360" w:lineRule="auto"/>
        <w:jc w:val="both"/>
        <w:rPr>
          <w:rFonts w:ascii="Verdana" w:hAnsi="Verdana"/>
          <w:sz w:val="18"/>
          <w:szCs w:val="18"/>
          <w:lang w:val="nl-NL"/>
        </w:rPr>
      </w:pPr>
      <w:r>
        <w:rPr>
          <w:rFonts w:ascii="Verdana" w:hAnsi="Verdana"/>
          <w:sz w:val="18"/>
          <w:szCs w:val="18"/>
          <w:lang w:val="nl-NL"/>
        </w:rPr>
        <w:t>O</w:t>
      </w:r>
      <w:r w:rsidR="00CC1D79">
        <w:rPr>
          <w:rFonts w:ascii="Verdana" w:hAnsi="Verdana"/>
          <w:sz w:val="18"/>
          <w:szCs w:val="18"/>
          <w:lang w:val="nl-NL"/>
        </w:rPr>
        <w:t xml:space="preserve">m bovengenoemde redenen heeft de Nederlandse regering zich altijd voorstander getoond van </w:t>
      </w:r>
      <w:r w:rsidR="002B5509" w:rsidRPr="002B5509">
        <w:rPr>
          <w:rFonts w:ascii="Verdana" w:hAnsi="Verdana"/>
          <w:sz w:val="18"/>
          <w:szCs w:val="18"/>
          <w:lang w:val="nl-NL"/>
        </w:rPr>
        <w:t xml:space="preserve">invoering van </w:t>
      </w:r>
      <w:r w:rsidR="00486B4D">
        <w:rPr>
          <w:rFonts w:ascii="Verdana" w:hAnsi="Verdana"/>
          <w:sz w:val="18"/>
          <w:szCs w:val="18"/>
          <w:lang w:val="nl-NL"/>
        </w:rPr>
        <w:t>adviezen</w:t>
      </w:r>
      <w:r w:rsidR="00CC1D79">
        <w:rPr>
          <w:rFonts w:ascii="Verdana" w:hAnsi="Verdana"/>
          <w:sz w:val="18"/>
          <w:szCs w:val="18"/>
          <w:lang w:val="nl-NL"/>
        </w:rPr>
        <w:t xml:space="preserve"> (zie ook </w:t>
      </w:r>
      <w:r w:rsidR="00BA5C58">
        <w:rPr>
          <w:rFonts w:ascii="Verdana" w:hAnsi="Verdana"/>
          <w:sz w:val="18"/>
          <w:szCs w:val="18"/>
          <w:lang w:val="nl-NL"/>
        </w:rPr>
        <w:t xml:space="preserve">de brief van de Minister van Veiligheid en Justitie van 3 oktober 2011 aangaande het Kabinetsstandpunt inzake de hervormingen van het Europees Hof voor de Rechten van de Mens en de toetreding van de Europese Unie tot het Europees Verdrag tot bescherming van de rechten van de mens; </w:t>
      </w:r>
      <w:r w:rsidR="00AE3687" w:rsidRPr="00AE3687">
        <w:rPr>
          <w:rFonts w:ascii="Verdana" w:hAnsi="Verdana"/>
          <w:sz w:val="18"/>
          <w:szCs w:val="18"/>
          <w:lang w:val="nl-NL"/>
        </w:rPr>
        <w:t>Kamerstukken I 201</w:t>
      </w:r>
      <w:r w:rsidR="00AE3687">
        <w:rPr>
          <w:rFonts w:ascii="Verdana" w:hAnsi="Verdana"/>
          <w:sz w:val="18"/>
          <w:szCs w:val="18"/>
          <w:lang w:val="nl-NL"/>
        </w:rPr>
        <w:t>0</w:t>
      </w:r>
      <w:r w:rsidR="00AE3687" w:rsidRPr="00AE3687">
        <w:rPr>
          <w:rFonts w:ascii="Verdana" w:hAnsi="Verdana"/>
          <w:sz w:val="18"/>
          <w:szCs w:val="18"/>
          <w:lang w:val="nl-NL"/>
        </w:rPr>
        <w:t>/1</w:t>
      </w:r>
      <w:r w:rsidR="00AE3687">
        <w:rPr>
          <w:rFonts w:ascii="Verdana" w:hAnsi="Verdana"/>
          <w:sz w:val="18"/>
          <w:szCs w:val="18"/>
          <w:lang w:val="nl-NL"/>
        </w:rPr>
        <w:t>1</w:t>
      </w:r>
      <w:r w:rsidR="00AE3687" w:rsidRPr="00AE3687">
        <w:rPr>
          <w:rFonts w:ascii="Verdana" w:hAnsi="Verdana"/>
          <w:sz w:val="18"/>
          <w:szCs w:val="18"/>
          <w:lang w:val="nl-NL"/>
        </w:rPr>
        <w:t>, 3</w:t>
      </w:r>
      <w:r w:rsidR="00AE3687">
        <w:rPr>
          <w:rFonts w:ascii="Verdana" w:hAnsi="Verdana"/>
          <w:sz w:val="18"/>
          <w:szCs w:val="18"/>
          <w:lang w:val="nl-NL"/>
        </w:rPr>
        <w:t>2</w:t>
      </w:r>
      <w:r w:rsidR="00AE3687" w:rsidRPr="00AE3687">
        <w:rPr>
          <w:rFonts w:ascii="Verdana" w:hAnsi="Verdana"/>
          <w:sz w:val="18"/>
          <w:szCs w:val="18"/>
          <w:lang w:val="nl-NL"/>
        </w:rPr>
        <w:t xml:space="preserve"> </w:t>
      </w:r>
      <w:r w:rsidR="00AE3687">
        <w:rPr>
          <w:rFonts w:ascii="Verdana" w:hAnsi="Verdana"/>
          <w:sz w:val="18"/>
          <w:szCs w:val="18"/>
          <w:lang w:val="nl-NL"/>
        </w:rPr>
        <w:t>5</w:t>
      </w:r>
      <w:r w:rsidR="00AE3687" w:rsidRPr="00AE3687">
        <w:rPr>
          <w:rFonts w:ascii="Verdana" w:hAnsi="Verdana"/>
          <w:sz w:val="18"/>
          <w:szCs w:val="18"/>
          <w:lang w:val="nl-NL"/>
        </w:rPr>
        <w:t>00 V, Y</w:t>
      </w:r>
      <w:r w:rsidR="00AE3687">
        <w:rPr>
          <w:rFonts w:ascii="Verdana" w:hAnsi="Verdana"/>
          <w:sz w:val="18"/>
          <w:szCs w:val="18"/>
          <w:lang w:val="nl-NL"/>
        </w:rPr>
        <w:t>, p. 6 resp. Kamerstukken II 2011-2012, 32 735, nr. 32, p. 6</w:t>
      </w:r>
      <w:r w:rsidR="00BA5C58">
        <w:rPr>
          <w:rFonts w:ascii="Verdana" w:hAnsi="Verdana"/>
          <w:sz w:val="18"/>
          <w:szCs w:val="18"/>
          <w:lang w:val="nl-NL"/>
        </w:rPr>
        <w:t>)</w:t>
      </w:r>
      <w:r>
        <w:rPr>
          <w:rFonts w:ascii="Verdana" w:hAnsi="Verdana"/>
          <w:sz w:val="18"/>
          <w:szCs w:val="18"/>
          <w:lang w:val="nl-NL"/>
        </w:rPr>
        <w:t xml:space="preserve">, </w:t>
      </w:r>
      <w:r w:rsidR="007B1EE9">
        <w:rPr>
          <w:rFonts w:ascii="Verdana" w:hAnsi="Verdana"/>
          <w:sz w:val="18"/>
          <w:szCs w:val="18"/>
          <w:lang w:val="nl-NL"/>
        </w:rPr>
        <w:t xml:space="preserve">zoals ook door de </w:t>
      </w:r>
      <w:r w:rsidR="00101699">
        <w:rPr>
          <w:rFonts w:ascii="Verdana" w:hAnsi="Verdana"/>
          <w:sz w:val="18"/>
          <w:szCs w:val="18"/>
          <w:lang w:val="nl-NL"/>
        </w:rPr>
        <w:t>M</w:t>
      </w:r>
      <w:r w:rsidR="007B1EE9">
        <w:rPr>
          <w:rFonts w:ascii="Verdana" w:hAnsi="Verdana"/>
          <w:sz w:val="18"/>
          <w:szCs w:val="18"/>
          <w:lang w:val="nl-NL"/>
        </w:rPr>
        <w:t>inister van Veiligheid en Justitie tot uitdrukking is gebracht in zijn interventie tijdens de ministeriële conferentie in Brighton (</w:t>
      </w:r>
      <w:r w:rsidR="003D39BC">
        <w:rPr>
          <w:rFonts w:ascii="Verdana" w:hAnsi="Verdana"/>
          <w:sz w:val="18"/>
          <w:szCs w:val="18"/>
          <w:lang w:val="nl-NL"/>
        </w:rPr>
        <w:t xml:space="preserve">bij brief van 1 juni 2012 van de </w:t>
      </w:r>
      <w:r w:rsidR="00C72BF6">
        <w:rPr>
          <w:rFonts w:ascii="Verdana" w:hAnsi="Verdana"/>
          <w:sz w:val="18"/>
          <w:szCs w:val="18"/>
          <w:lang w:val="nl-NL"/>
        </w:rPr>
        <w:t>M</w:t>
      </w:r>
      <w:r w:rsidR="003D39BC">
        <w:rPr>
          <w:rFonts w:ascii="Verdana" w:hAnsi="Verdana"/>
          <w:sz w:val="18"/>
          <w:szCs w:val="18"/>
          <w:lang w:val="nl-NL"/>
        </w:rPr>
        <w:t xml:space="preserve">inister van Veiligheid en Justitie is de tekst van de speech aangeboden aan de Eerste Kamer; zie de bijlage bij Kamerstuk 33 000 V, nr. AC). Op </w:t>
      </w:r>
      <w:r>
        <w:rPr>
          <w:rFonts w:ascii="Verdana" w:hAnsi="Verdana"/>
          <w:sz w:val="18"/>
          <w:szCs w:val="18"/>
          <w:lang w:val="nl-NL"/>
        </w:rPr>
        <w:t xml:space="preserve">ambtelijk niveau </w:t>
      </w:r>
      <w:r w:rsidR="003D39BC">
        <w:rPr>
          <w:rFonts w:ascii="Verdana" w:hAnsi="Verdana"/>
          <w:sz w:val="18"/>
          <w:szCs w:val="18"/>
          <w:lang w:val="nl-NL"/>
        </w:rPr>
        <w:t xml:space="preserve">is Nederland, tezamen met Noorwegen, actief betrokken geweest </w:t>
      </w:r>
      <w:r>
        <w:rPr>
          <w:rFonts w:ascii="Verdana" w:hAnsi="Verdana"/>
          <w:sz w:val="18"/>
          <w:szCs w:val="18"/>
          <w:lang w:val="nl-NL"/>
        </w:rPr>
        <w:t xml:space="preserve">bij de totstandkoming van dit </w:t>
      </w:r>
      <w:r w:rsidR="0024200A">
        <w:rPr>
          <w:rFonts w:ascii="Verdana" w:hAnsi="Verdana"/>
          <w:sz w:val="18"/>
          <w:szCs w:val="18"/>
          <w:lang w:val="nl-NL"/>
        </w:rPr>
        <w:t>P</w:t>
      </w:r>
      <w:r>
        <w:rPr>
          <w:rFonts w:ascii="Verdana" w:hAnsi="Verdana"/>
          <w:sz w:val="18"/>
          <w:szCs w:val="18"/>
          <w:lang w:val="nl-NL"/>
        </w:rPr>
        <w:t>rotocol.</w:t>
      </w:r>
    </w:p>
    <w:p w:rsidR="002B5509" w:rsidRDefault="002B5509" w:rsidP="001A68C4">
      <w:pPr>
        <w:spacing w:line="360" w:lineRule="auto"/>
        <w:jc w:val="both"/>
        <w:rPr>
          <w:rFonts w:ascii="Verdana" w:hAnsi="Verdana"/>
          <w:sz w:val="18"/>
          <w:szCs w:val="18"/>
          <w:lang w:val="nl-NL"/>
        </w:rPr>
      </w:pPr>
    </w:p>
    <w:p w:rsidR="00C45925" w:rsidRPr="00C45925" w:rsidRDefault="00C45925" w:rsidP="001A68C4">
      <w:pPr>
        <w:spacing w:line="360" w:lineRule="auto"/>
        <w:jc w:val="both"/>
        <w:rPr>
          <w:rFonts w:ascii="Verdana" w:hAnsi="Verdana"/>
          <w:i/>
          <w:sz w:val="18"/>
          <w:szCs w:val="18"/>
          <w:lang w:val="nl-NL"/>
        </w:rPr>
      </w:pPr>
      <w:r>
        <w:rPr>
          <w:rFonts w:ascii="Verdana" w:hAnsi="Verdana"/>
          <w:i/>
          <w:sz w:val="18"/>
          <w:szCs w:val="18"/>
          <w:lang w:val="nl-NL"/>
        </w:rPr>
        <w:t>Verhouding met reeds bestaande instrumenten</w:t>
      </w:r>
    </w:p>
    <w:p w:rsidR="0039659E" w:rsidRPr="00C3123A" w:rsidRDefault="0039659E" w:rsidP="000C6307">
      <w:pPr>
        <w:spacing w:line="360" w:lineRule="auto"/>
        <w:jc w:val="both"/>
        <w:rPr>
          <w:rFonts w:ascii="Verdana" w:hAnsi="Verdana"/>
          <w:sz w:val="18"/>
          <w:szCs w:val="18"/>
          <w:lang w:val="nl-NL"/>
        </w:rPr>
      </w:pPr>
      <w:r w:rsidRPr="0039659E">
        <w:rPr>
          <w:rFonts w:ascii="Verdana" w:hAnsi="Verdana"/>
          <w:sz w:val="18"/>
          <w:szCs w:val="18"/>
          <w:lang w:val="nl-NL"/>
        </w:rPr>
        <w:t xml:space="preserve">Er is bewust voor gekozen om het voorstel </w:t>
      </w:r>
      <w:r w:rsidRPr="003D39BC">
        <w:rPr>
          <w:rFonts w:ascii="Verdana" w:hAnsi="Verdana"/>
          <w:i/>
          <w:sz w:val="18"/>
          <w:szCs w:val="18"/>
          <w:lang w:val="nl-NL"/>
        </w:rPr>
        <w:t>niet</w:t>
      </w:r>
      <w:r w:rsidRPr="0039659E">
        <w:rPr>
          <w:rFonts w:ascii="Verdana" w:hAnsi="Verdana"/>
          <w:sz w:val="18"/>
          <w:szCs w:val="18"/>
          <w:lang w:val="nl-NL"/>
        </w:rPr>
        <w:t xml:space="preserve"> in grote lijnen te</w:t>
      </w:r>
      <w:r>
        <w:rPr>
          <w:rFonts w:ascii="Verdana" w:hAnsi="Verdana"/>
          <w:sz w:val="18"/>
          <w:szCs w:val="18"/>
          <w:lang w:val="nl-NL"/>
        </w:rPr>
        <w:t xml:space="preserve"> </w:t>
      </w:r>
      <w:r w:rsidRPr="0039659E">
        <w:rPr>
          <w:rFonts w:ascii="Verdana" w:hAnsi="Verdana"/>
          <w:sz w:val="18"/>
          <w:szCs w:val="18"/>
          <w:lang w:val="nl-NL"/>
        </w:rPr>
        <w:t>baseren op de prejudiciële procedure, zoals die bestaat bij het Hof</w:t>
      </w:r>
      <w:r>
        <w:rPr>
          <w:rFonts w:ascii="Verdana" w:hAnsi="Verdana"/>
          <w:sz w:val="18"/>
          <w:szCs w:val="18"/>
          <w:lang w:val="nl-NL"/>
        </w:rPr>
        <w:t xml:space="preserve"> </w:t>
      </w:r>
      <w:r w:rsidRPr="0039659E">
        <w:rPr>
          <w:rFonts w:ascii="Verdana" w:hAnsi="Verdana"/>
          <w:sz w:val="18"/>
          <w:szCs w:val="18"/>
          <w:lang w:val="nl-NL"/>
        </w:rPr>
        <w:t>van Justitie</w:t>
      </w:r>
      <w:r w:rsidR="009635F4">
        <w:rPr>
          <w:rFonts w:ascii="Verdana" w:hAnsi="Verdana"/>
          <w:sz w:val="18"/>
          <w:szCs w:val="18"/>
          <w:lang w:val="nl-NL"/>
        </w:rPr>
        <w:t xml:space="preserve"> van de Europese Unie</w:t>
      </w:r>
      <w:r w:rsidRPr="0039659E">
        <w:rPr>
          <w:rFonts w:ascii="Verdana" w:hAnsi="Verdana"/>
          <w:sz w:val="18"/>
          <w:szCs w:val="18"/>
          <w:lang w:val="nl-NL"/>
        </w:rPr>
        <w:t xml:space="preserve">. </w:t>
      </w:r>
      <w:r w:rsidR="009635F4">
        <w:rPr>
          <w:rFonts w:ascii="Verdana" w:hAnsi="Verdana"/>
          <w:sz w:val="18"/>
          <w:szCs w:val="18"/>
          <w:lang w:val="nl-NL"/>
        </w:rPr>
        <w:t xml:space="preserve">Dit geldt met name waar die procedure </w:t>
      </w:r>
      <w:r w:rsidRPr="0039659E">
        <w:rPr>
          <w:rFonts w:ascii="Verdana" w:hAnsi="Verdana"/>
          <w:sz w:val="18"/>
          <w:szCs w:val="18"/>
          <w:lang w:val="nl-NL"/>
        </w:rPr>
        <w:t>de hoogste nationaal</w:t>
      </w:r>
      <w:r w:rsidR="009B6BF8">
        <w:rPr>
          <w:rFonts w:ascii="Verdana" w:hAnsi="Verdana"/>
          <w:sz w:val="18"/>
          <w:szCs w:val="18"/>
          <w:lang w:val="nl-NL"/>
        </w:rPr>
        <w:t xml:space="preserve"> </w:t>
      </w:r>
      <w:r w:rsidRPr="0039659E">
        <w:rPr>
          <w:rFonts w:ascii="Verdana" w:hAnsi="Verdana"/>
          <w:sz w:val="18"/>
          <w:szCs w:val="18"/>
          <w:lang w:val="nl-NL"/>
        </w:rPr>
        <w:t>rechterlijke</w:t>
      </w:r>
      <w:r>
        <w:rPr>
          <w:rFonts w:ascii="Verdana" w:hAnsi="Verdana"/>
          <w:sz w:val="18"/>
          <w:szCs w:val="18"/>
          <w:lang w:val="nl-NL"/>
        </w:rPr>
        <w:t xml:space="preserve"> </w:t>
      </w:r>
      <w:r w:rsidRPr="0039659E">
        <w:rPr>
          <w:rFonts w:ascii="Verdana" w:hAnsi="Verdana"/>
          <w:sz w:val="18"/>
          <w:szCs w:val="18"/>
          <w:lang w:val="nl-NL"/>
        </w:rPr>
        <w:t xml:space="preserve">instanties </w:t>
      </w:r>
      <w:r w:rsidR="009635F4" w:rsidRPr="007D3E7A">
        <w:rPr>
          <w:rFonts w:ascii="Verdana" w:hAnsi="Verdana"/>
          <w:sz w:val="18"/>
          <w:szCs w:val="18"/>
          <w:lang w:val="nl-NL"/>
        </w:rPr>
        <w:t>de plicht oplegt</w:t>
      </w:r>
      <w:r w:rsidR="009635F4" w:rsidRPr="0039659E">
        <w:rPr>
          <w:rFonts w:ascii="Verdana" w:hAnsi="Verdana"/>
          <w:sz w:val="18"/>
          <w:szCs w:val="18"/>
          <w:lang w:val="nl-NL"/>
        </w:rPr>
        <w:t xml:space="preserve"> </w:t>
      </w:r>
      <w:r w:rsidRPr="0039659E">
        <w:rPr>
          <w:rFonts w:ascii="Verdana" w:hAnsi="Verdana"/>
          <w:sz w:val="18"/>
          <w:szCs w:val="18"/>
          <w:lang w:val="nl-NL"/>
        </w:rPr>
        <w:t xml:space="preserve">om een vraag voor te leggen aan </w:t>
      </w:r>
      <w:r w:rsidR="009635F4">
        <w:rPr>
          <w:rFonts w:ascii="Verdana" w:hAnsi="Verdana"/>
          <w:sz w:val="18"/>
          <w:szCs w:val="18"/>
          <w:lang w:val="nl-NL"/>
        </w:rPr>
        <w:t>dat Hof</w:t>
      </w:r>
      <w:r w:rsidRPr="0039659E">
        <w:rPr>
          <w:rFonts w:ascii="Verdana" w:hAnsi="Verdana"/>
          <w:sz w:val="18"/>
          <w:szCs w:val="18"/>
          <w:lang w:val="nl-NL"/>
        </w:rPr>
        <w:t>. Nog afgezien van</w:t>
      </w:r>
      <w:r>
        <w:rPr>
          <w:rFonts w:ascii="Verdana" w:hAnsi="Verdana"/>
          <w:sz w:val="18"/>
          <w:szCs w:val="18"/>
          <w:lang w:val="nl-NL"/>
        </w:rPr>
        <w:t xml:space="preserve"> </w:t>
      </w:r>
      <w:r w:rsidRPr="0039659E">
        <w:rPr>
          <w:rFonts w:ascii="Verdana" w:hAnsi="Verdana"/>
          <w:sz w:val="18"/>
          <w:szCs w:val="18"/>
          <w:lang w:val="nl-NL"/>
        </w:rPr>
        <w:t>de politieke haalbaarheid van een dergelijk voorstel, zou dit onvermijdelijk leiden</w:t>
      </w:r>
      <w:r>
        <w:rPr>
          <w:rFonts w:ascii="Verdana" w:hAnsi="Verdana"/>
          <w:sz w:val="18"/>
          <w:szCs w:val="18"/>
          <w:lang w:val="nl-NL"/>
        </w:rPr>
        <w:t xml:space="preserve"> </w:t>
      </w:r>
      <w:r w:rsidRPr="0039659E">
        <w:rPr>
          <w:rFonts w:ascii="Verdana" w:hAnsi="Verdana"/>
          <w:sz w:val="18"/>
          <w:szCs w:val="18"/>
          <w:lang w:val="nl-NL"/>
        </w:rPr>
        <w:t xml:space="preserve">tot een drastische wijziging van het bestaande mechanisme. Bovendien </w:t>
      </w:r>
      <w:r w:rsidR="0024200A">
        <w:rPr>
          <w:rFonts w:ascii="Verdana" w:hAnsi="Verdana"/>
          <w:sz w:val="18"/>
          <w:szCs w:val="18"/>
          <w:lang w:val="nl-NL"/>
        </w:rPr>
        <w:t xml:space="preserve">is </w:t>
      </w:r>
      <w:r w:rsidRPr="0039659E">
        <w:rPr>
          <w:rFonts w:ascii="Verdana" w:hAnsi="Verdana"/>
          <w:sz w:val="18"/>
          <w:szCs w:val="18"/>
          <w:lang w:val="nl-NL"/>
        </w:rPr>
        <w:t xml:space="preserve">de directe toegang van een individuele rechtzoekende </w:t>
      </w:r>
      <w:r w:rsidR="009635F4">
        <w:rPr>
          <w:rFonts w:ascii="Verdana" w:hAnsi="Verdana"/>
          <w:sz w:val="18"/>
          <w:szCs w:val="18"/>
          <w:lang w:val="nl-NL"/>
        </w:rPr>
        <w:t>tot</w:t>
      </w:r>
      <w:r w:rsidRPr="0039659E">
        <w:rPr>
          <w:rFonts w:ascii="Verdana" w:hAnsi="Verdana"/>
          <w:sz w:val="18"/>
          <w:szCs w:val="18"/>
          <w:lang w:val="nl-NL"/>
        </w:rPr>
        <w:t xml:space="preserve"> het Hof</w:t>
      </w:r>
      <w:r>
        <w:rPr>
          <w:rFonts w:ascii="Verdana" w:hAnsi="Verdana"/>
          <w:sz w:val="18"/>
          <w:szCs w:val="18"/>
          <w:lang w:val="nl-NL"/>
        </w:rPr>
        <w:t xml:space="preserve"> </w:t>
      </w:r>
      <w:r w:rsidRPr="0039659E">
        <w:rPr>
          <w:rFonts w:ascii="Verdana" w:hAnsi="Verdana"/>
          <w:sz w:val="18"/>
          <w:szCs w:val="18"/>
          <w:lang w:val="nl-NL"/>
        </w:rPr>
        <w:t xml:space="preserve">van Justitie </w:t>
      </w:r>
      <w:r w:rsidR="009B6BF8">
        <w:rPr>
          <w:rFonts w:ascii="Verdana" w:hAnsi="Verdana"/>
          <w:sz w:val="18"/>
          <w:szCs w:val="18"/>
          <w:lang w:val="nl-NL"/>
        </w:rPr>
        <w:t>van de Europese Unie</w:t>
      </w:r>
      <w:r w:rsidR="009B6BF8" w:rsidRPr="0039659E">
        <w:rPr>
          <w:rFonts w:ascii="Verdana" w:hAnsi="Verdana"/>
          <w:sz w:val="18"/>
          <w:szCs w:val="18"/>
          <w:lang w:val="nl-NL"/>
        </w:rPr>
        <w:t xml:space="preserve"> </w:t>
      </w:r>
      <w:r w:rsidRPr="0039659E">
        <w:rPr>
          <w:rFonts w:ascii="Verdana" w:hAnsi="Verdana"/>
          <w:sz w:val="18"/>
          <w:szCs w:val="18"/>
          <w:lang w:val="nl-NL"/>
        </w:rPr>
        <w:t>veel beperkter dan bij het EHRM. Dat is één van de redenen</w:t>
      </w:r>
      <w:r>
        <w:rPr>
          <w:rFonts w:ascii="Verdana" w:hAnsi="Verdana"/>
          <w:sz w:val="18"/>
          <w:szCs w:val="18"/>
          <w:lang w:val="nl-NL"/>
        </w:rPr>
        <w:t xml:space="preserve"> </w:t>
      </w:r>
      <w:r w:rsidRPr="0039659E">
        <w:rPr>
          <w:rFonts w:ascii="Verdana" w:hAnsi="Verdana"/>
          <w:sz w:val="18"/>
          <w:szCs w:val="18"/>
          <w:lang w:val="nl-NL"/>
        </w:rPr>
        <w:t xml:space="preserve">waarom een prejudiciële procedure bij het Hof van Justitie </w:t>
      </w:r>
      <w:r w:rsidR="0024200A">
        <w:rPr>
          <w:rFonts w:ascii="Verdana" w:hAnsi="Verdana"/>
          <w:sz w:val="18"/>
          <w:szCs w:val="18"/>
          <w:lang w:val="nl-NL"/>
        </w:rPr>
        <w:t>van de Europese Unie</w:t>
      </w:r>
      <w:r w:rsidR="0024200A" w:rsidRPr="0039659E">
        <w:rPr>
          <w:rFonts w:ascii="Verdana" w:hAnsi="Verdana"/>
          <w:sz w:val="18"/>
          <w:szCs w:val="18"/>
          <w:lang w:val="nl-NL"/>
        </w:rPr>
        <w:t xml:space="preserve"> </w:t>
      </w:r>
      <w:r w:rsidRPr="0039659E">
        <w:rPr>
          <w:rFonts w:ascii="Verdana" w:hAnsi="Verdana"/>
          <w:sz w:val="18"/>
          <w:szCs w:val="18"/>
          <w:lang w:val="nl-NL"/>
        </w:rPr>
        <w:t>meer aangewezen is.</w:t>
      </w:r>
      <w:r>
        <w:rPr>
          <w:rFonts w:ascii="Verdana" w:hAnsi="Verdana"/>
          <w:sz w:val="18"/>
          <w:szCs w:val="18"/>
          <w:lang w:val="nl-NL"/>
        </w:rPr>
        <w:t xml:space="preserve"> </w:t>
      </w:r>
      <w:r w:rsidRPr="0039659E">
        <w:rPr>
          <w:rFonts w:ascii="Verdana" w:hAnsi="Verdana"/>
          <w:sz w:val="18"/>
          <w:szCs w:val="18"/>
          <w:lang w:val="nl-NL"/>
        </w:rPr>
        <w:t>Bij een EHRM met een laagdrempelig individueel klachtrecht zou een aanvullend</w:t>
      </w:r>
      <w:r>
        <w:rPr>
          <w:rFonts w:ascii="Verdana" w:hAnsi="Verdana"/>
          <w:sz w:val="18"/>
          <w:szCs w:val="18"/>
          <w:lang w:val="nl-NL"/>
        </w:rPr>
        <w:t xml:space="preserve"> </w:t>
      </w:r>
      <w:r w:rsidRPr="0039659E">
        <w:rPr>
          <w:rFonts w:ascii="Verdana" w:hAnsi="Verdana"/>
          <w:sz w:val="18"/>
          <w:szCs w:val="18"/>
          <w:lang w:val="nl-NL"/>
        </w:rPr>
        <w:t>mechanisme om prejudiciële vragen te stellen, leiden tot een aanzienlijke</w:t>
      </w:r>
      <w:r>
        <w:rPr>
          <w:rFonts w:ascii="Verdana" w:hAnsi="Verdana"/>
          <w:sz w:val="18"/>
          <w:szCs w:val="18"/>
          <w:lang w:val="nl-NL"/>
        </w:rPr>
        <w:t xml:space="preserve"> </w:t>
      </w:r>
      <w:r w:rsidRPr="0039659E">
        <w:rPr>
          <w:rFonts w:ascii="Verdana" w:hAnsi="Verdana"/>
          <w:sz w:val="18"/>
          <w:szCs w:val="18"/>
          <w:lang w:val="nl-NL"/>
        </w:rPr>
        <w:t>werklastverzwaring</w:t>
      </w:r>
      <w:r w:rsidR="00653F89">
        <w:rPr>
          <w:rFonts w:ascii="Verdana" w:hAnsi="Verdana"/>
          <w:sz w:val="18"/>
          <w:szCs w:val="18"/>
          <w:lang w:val="nl-NL"/>
        </w:rPr>
        <w:t xml:space="preserve"> (zie eveneens de brief van de </w:t>
      </w:r>
      <w:r w:rsidR="00C72BF6">
        <w:rPr>
          <w:rFonts w:ascii="Verdana" w:hAnsi="Verdana"/>
          <w:sz w:val="18"/>
          <w:szCs w:val="18"/>
          <w:lang w:val="nl-NL"/>
        </w:rPr>
        <w:t>M</w:t>
      </w:r>
      <w:r w:rsidR="00653F89">
        <w:rPr>
          <w:rFonts w:ascii="Verdana" w:hAnsi="Verdana"/>
          <w:sz w:val="18"/>
          <w:szCs w:val="18"/>
          <w:lang w:val="nl-NL"/>
        </w:rPr>
        <w:t>inister van Veiligheid en Justitie van 5 maart 2012 aan de Eerste Kamer; Kamerstukken I 2011-2012, 33 000 V, M, p. 19)</w:t>
      </w:r>
      <w:r w:rsidRPr="0039659E">
        <w:rPr>
          <w:rFonts w:ascii="Verdana" w:hAnsi="Verdana"/>
          <w:sz w:val="18"/>
          <w:szCs w:val="18"/>
          <w:lang w:val="nl-NL"/>
        </w:rPr>
        <w:t>.</w:t>
      </w:r>
      <w:r w:rsidR="00C3123A">
        <w:rPr>
          <w:rFonts w:ascii="Verdana" w:hAnsi="Verdana"/>
          <w:sz w:val="18"/>
          <w:szCs w:val="18"/>
          <w:lang w:val="nl-NL"/>
        </w:rPr>
        <w:t xml:space="preserve"> De mogelijkheid voor de aangewezen gerechten om op grond van </w:t>
      </w:r>
      <w:r w:rsidR="000C6307">
        <w:rPr>
          <w:rFonts w:ascii="Verdana" w:hAnsi="Verdana"/>
          <w:sz w:val="18"/>
          <w:szCs w:val="18"/>
          <w:lang w:val="nl-NL"/>
        </w:rPr>
        <w:t>P</w:t>
      </w:r>
      <w:r w:rsidR="00C3123A">
        <w:rPr>
          <w:rFonts w:ascii="Verdana" w:hAnsi="Verdana"/>
          <w:sz w:val="18"/>
          <w:szCs w:val="18"/>
          <w:lang w:val="nl-NL"/>
        </w:rPr>
        <w:t>rotocol</w:t>
      </w:r>
      <w:r w:rsidR="000C6307">
        <w:rPr>
          <w:rFonts w:ascii="Verdana" w:hAnsi="Verdana"/>
          <w:sz w:val="18"/>
          <w:szCs w:val="18"/>
          <w:lang w:val="nl-NL"/>
        </w:rPr>
        <w:t xml:space="preserve"> nr. 16</w:t>
      </w:r>
      <w:r w:rsidR="00C3123A">
        <w:rPr>
          <w:rFonts w:ascii="Verdana" w:hAnsi="Verdana"/>
          <w:sz w:val="18"/>
          <w:szCs w:val="18"/>
          <w:lang w:val="nl-NL"/>
        </w:rPr>
        <w:t xml:space="preserve"> een adviesaanvraag te richten aan het EHRM kan in bepaalde gevallen samenlopen met de verplichting om prejudiciële vragen te stellen aan het Hof van Justitie van de Europese Unie. Dat zal bijvoorbeeld het geval zijn indien een bepaald grondrecht in geding is dat zowel onder het EVRM als onder het EU-Handvest gewaarborgd is én sprake is van het </w:t>
      </w:r>
      <w:r w:rsidR="00C3123A" w:rsidRPr="00C3123A">
        <w:rPr>
          <w:rFonts w:ascii="Verdana" w:hAnsi="Verdana"/>
          <w:sz w:val="18"/>
          <w:szCs w:val="18"/>
          <w:lang w:val="nl-NL"/>
        </w:rPr>
        <w:t>‘ten uitvoer brengen van Unierecht’</w:t>
      </w:r>
      <w:r w:rsidR="00C3123A">
        <w:rPr>
          <w:rFonts w:ascii="Verdana" w:hAnsi="Verdana"/>
          <w:sz w:val="18"/>
          <w:szCs w:val="18"/>
          <w:lang w:val="nl-NL"/>
        </w:rPr>
        <w:t xml:space="preserve"> (artikel 51, eerste lid, EU-Handvest). Ondanks het feit dat het doorgaans onwenselijk zal zijn als een gerecht bij twee instanties tegelijk om nadere uitleg van de bepalingen vraagt, is de regering van mening dat het primair aan de nationale rechter is om te bepalen hoe in een specifieke casus moet worden omgegaan met deze samenloop van beide procedures.</w:t>
      </w:r>
      <w:r w:rsidR="00804A78">
        <w:rPr>
          <w:rFonts w:ascii="Verdana" w:hAnsi="Verdana"/>
          <w:sz w:val="18"/>
          <w:szCs w:val="18"/>
          <w:lang w:val="nl-NL"/>
        </w:rPr>
        <w:t xml:space="preserve"> </w:t>
      </w:r>
      <w:r w:rsidR="00B6720C" w:rsidRPr="00B6720C">
        <w:rPr>
          <w:rFonts w:ascii="Verdana" w:hAnsi="Verdana"/>
          <w:sz w:val="18"/>
          <w:szCs w:val="18"/>
          <w:lang w:val="nl-NL"/>
        </w:rPr>
        <w:t xml:space="preserve">Daarbij verdient het aanbeveling rekening te houden met de punten 196 tot en met 199 van advies 2/13 van het Hof van Justitie van de Europese Unie van 18 december </w:t>
      </w:r>
      <w:r w:rsidR="00B6720C" w:rsidRPr="00B6720C">
        <w:rPr>
          <w:rFonts w:ascii="Verdana" w:hAnsi="Verdana"/>
          <w:sz w:val="18"/>
          <w:szCs w:val="18"/>
          <w:lang w:val="nl-NL"/>
        </w:rPr>
        <w:lastRenderedPageBreak/>
        <w:t>2014, ECLI:EU:C:2014:2454, waarin dit Hof ingaat op de onderlinge verhouding tussen de procedure van Protocol nr. 16 en de prejudiciële procedure als bedoel in artikel 267 van het Verdrag betreffende de werking van de Europese Unie. De regering meent bovendien dat ook vóór de toetreding van de Europese Unie tot het EVRM een vraag van uitleg van het EU-Handvest die raakt aan het Unierecht moet worden voorgelegd aan het Hof van Justitie, ook als het desbetreffende grondrecht overeenkom</w:t>
      </w:r>
      <w:r w:rsidR="00B6720C">
        <w:rPr>
          <w:rFonts w:ascii="Verdana" w:hAnsi="Verdana"/>
          <w:sz w:val="18"/>
          <w:szCs w:val="18"/>
          <w:lang w:val="nl-NL"/>
        </w:rPr>
        <w:t>t met een bepaling in het EVRM.</w:t>
      </w:r>
      <w:r w:rsidR="00B6720C" w:rsidRPr="00B6720C">
        <w:rPr>
          <w:rFonts w:ascii="Verdana" w:hAnsi="Verdana"/>
          <w:sz w:val="18"/>
          <w:szCs w:val="18"/>
          <w:lang w:val="nl-NL"/>
        </w:rPr>
        <w:t xml:space="preserve"> </w:t>
      </w:r>
      <w:r w:rsidR="00804A78">
        <w:rPr>
          <w:rFonts w:ascii="Verdana" w:hAnsi="Verdana"/>
          <w:sz w:val="18"/>
          <w:szCs w:val="18"/>
          <w:lang w:val="nl-NL"/>
        </w:rPr>
        <w:t>Bovendien moet worden bedacht dat het ook in de huidige situatie niet is uitgesloten dat beide Europese hoven min of meer gelijktijdig zich buigen over dezelfde materie en rechtsvragen.</w:t>
      </w:r>
      <w:r w:rsidR="00C3123A">
        <w:rPr>
          <w:rFonts w:ascii="Verdana" w:hAnsi="Verdana"/>
          <w:sz w:val="18"/>
          <w:szCs w:val="18"/>
          <w:lang w:val="nl-NL"/>
        </w:rPr>
        <w:t xml:space="preserve"> </w:t>
      </w:r>
      <w:r w:rsidR="00804A78">
        <w:rPr>
          <w:rFonts w:ascii="Verdana" w:hAnsi="Verdana"/>
          <w:sz w:val="18"/>
          <w:szCs w:val="18"/>
          <w:lang w:val="nl-NL"/>
        </w:rPr>
        <w:t xml:space="preserve">Ten slotte </w:t>
      </w:r>
      <w:r w:rsidR="00C3123A">
        <w:rPr>
          <w:rFonts w:ascii="Verdana" w:hAnsi="Verdana"/>
          <w:sz w:val="18"/>
          <w:szCs w:val="18"/>
          <w:lang w:val="nl-NL"/>
        </w:rPr>
        <w:t xml:space="preserve">merkt de regering op dat nimmer de situatie kan ontstaan dat een nationale rechter </w:t>
      </w:r>
      <w:r w:rsidR="00C3123A">
        <w:rPr>
          <w:rFonts w:ascii="Verdana" w:hAnsi="Verdana"/>
          <w:i/>
          <w:sz w:val="18"/>
          <w:szCs w:val="18"/>
          <w:lang w:val="nl-NL"/>
        </w:rPr>
        <w:t>verplicht</w:t>
      </w:r>
      <w:r w:rsidR="00C3123A">
        <w:rPr>
          <w:rFonts w:ascii="Verdana" w:hAnsi="Verdana"/>
          <w:sz w:val="18"/>
          <w:szCs w:val="18"/>
          <w:lang w:val="nl-NL"/>
        </w:rPr>
        <w:t xml:space="preserve"> zou zijn om beide procedures te doorlopen aangezien de adviesaanvraag onder </w:t>
      </w:r>
      <w:r w:rsidR="000C6307">
        <w:rPr>
          <w:rFonts w:ascii="Verdana" w:hAnsi="Verdana"/>
          <w:sz w:val="18"/>
          <w:szCs w:val="18"/>
          <w:lang w:val="nl-NL"/>
        </w:rPr>
        <w:t>P</w:t>
      </w:r>
      <w:r w:rsidR="00C3123A">
        <w:rPr>
          <w:rFonts w:ascii="Verdana" w:hAnsi="Verdana"/>
          <w:sz w:val="18"/>
          <w:szCs w:val="18"/>
          <w:lang w:val="nl-NL"/>
        </w:rPr>
        <w:t>rotocol</w:t>
      </w:r>
      <w:r w:rsidR="000C6307">
        <w:rPr>
          <w:rFonts w:ascii="Verdana" w:hAnsi="Verdana"/>
          <w:sz w:val="18"/>
          <w:szCs w:val="18"/>
          <w:lang w:val="nl-NL"/>
        </w:rPr>
        <w:t xml:space="preserve"> nr. 16</w:t>
      </w:r>
      <w:r w:rsidR="00C3123A">
        <w:rPr>
          <w:rFonts w:ascii="Verdana" w:hAnsi="Verdana"/>
          <w:sz w:val="18"/>
          <w:szCs w:val="18"/>
          <w:lang w:val="nl-NL"/>
        </w:rPr>
        <w:t xml:space="preserve"> een </w:t>
      </w:r>
      <w:r w:rsidR="0043552F">
        <w:rPr>
          <w:rFonts w:ascii="Verdana" w:hAnsi="Verdana"/>
          <w:sz w:val="18"/>
          <w:szCs w:val="18"/>
          <w:lang w:val="nl-NL"/>
        </w:rPr>
        <w:t>facultatief</w:t>
      </w:r>
      <w:r w:rsidR="00C3123A">
        <w:rPr>
          <w:rFonts w:ascii="Verdana" w:hAnsi="Verdana"/>
          <w:sz w:val="18"/>
          <w:szCs w:val="18"/>
          <w:lang w:val="nl-NL"/>
        </w:rPr>
        <w:t xml:space="preserve"> karakter draagt.</w:t>
      </w:r>
    </w:p>
    <w:p w:rsidR="006F73A9" w:rsidRDefault="006F73A9" w:rsidP="001A68C4">
      <w:pPr>
        <w:spacing w:line="360" w:lineRule="auto"/>
        <w:jc w:val="both"/>
        <w:rPr>
          <w:rFonts w:ascii="Verdana" w:hAnsi="Verdana"/>
          <w:sz w:val="18"/>
          <w:szCs w:val="18"/>
          <w:lang w:val="nl-NL"/>
        </w:rPr>
      </w:pPr>
      <w:r>
        <w:rPr>
          <w:rFonts w:ascii="Verdana" w:hAnsi="Verdana"/>
          <w:sz w:val="18"/>
          <w:szCs w:val="18"/>
          <w:lang w:val="nl-NL"/>
        </w:rPr>
        <w:t xml:space="preserve">De bevoegdheid die is neergelegd in Protocol </w:t>
      </w:r>
      <w:r w:rsidR="008E7D80">
        <w:rPr>
          <w:rFonts w:ascii="Verdana" w:hAnsi="Verdana"/>
          <w:sz w:val="18"/>
          <w:szCs w:val="18"/>
          <w:lang w:val="nl-NL"/>
        </w:rPr>
        <w:t xml:space="preserve">nr. </w:t>
      </w:r>
      <w:r>
        <w:rPr>
          <w:rFonts w:ascii="Verdana" w:hAnsi="Verdana"/>
          <w:sz w:val="18"/>
          <w:szCs w:val="18"/>
          <w:lang w:val="nl-NL"/>
        </w:rPr>
        <w:t xml:space="preserve">16 komt in aanvulling op de </w:t>
      </w:r>
      <w:r w:rsidR="009635F4">
        <w:rPr>
          <w:rFonts w:ascii="Verdana" w:hAnsi="Verdana"/>
          <w:sz w:val="18"/>
          <w:szCs w:val="18"/>
          <w:lang w:val="nl-NL"/>
        </w:rPr>
        <w:t>advies</w:t>
      </w:r>
      <w:r>
        <w:rPr>
          <w:rFonts w:ascii="Verdana" w:hAnsi="Verdana"/>
          <w:sz w:val="18"/>
          <w:szCs w:val="18"/>
          <w:lang w:val="nl-NL"/>
        </w:rPr>
        <w:t xml:space="preserve">bevoegdheid van het Hof die is neergelegd in artikelen 47 t/m 49 van het Verdrag, en waarvan in de praktijk </w:t>
      </w:r>
      <w:r w:rsidR="009635F4">
        <w:rPr>
          <w:rFonts w:ascii="Verdana" w:hAnsi="Verdana"/>
          <w:sz w:val="18"/>
          <w:szCs w:val="18"/>
          <w:lang w:val="nl-NL"/>
        </w:rPr>
        <w:t xml:space="preserve">spaarzaam </w:t>
      </w:r>
      <w:r>
        <w:rPr>
          <w:rFonts w:ascii="Verdana" w:hAnsi="Verdana"/>
          <w:sz w:val="18"/>
          <w:szCs w:val="18"/>
          <w:lang w:val="nl-NL"/>
        </w:rPr>
        <w:t xml:space="preserve">gebruik </w:t>
      </w:r>
      <w:r w:rsidR="009635F4">
        <w:rPr>
          <w:rFonts w:ascii="Verdana" w:hAnsi="Verdana"/>
          <w:sz w:val="18"/>
          <w:szCs w:val="18"/>
          <w:lang w:val="nl-NL"/>
        </w:rPr>
        <w:t>wordt</w:t>
      </w:r>
      <w:r>
        <w:rPr>
          <w:rFonts w:ascii="Verdana" w:hAnsi="Verdana"/>
          <w:sz w:val="18"/>
          <w:szCs w:val="18"/>
          <w:lang w:val="nl-NL"/>
        </w:rPr>
        <w:t xml:space="preserve"> gemaakt. Artikel 47 EVRM bepaalt dat het Hof, </w:t>
      </w:r>
      <w:r w:rsidRPr="006F73A9">
        <w:rPr>
          <w:rFonts w:ascii="Verdana" w:hAnsi="Verdana"/>
          <w:sz w:val="18"/>
          <w:szCs w:val="18"/>
          <w:lang w:val="nl-NL"/>
        </w:rPr>
        <w:t>op verzoek van het Comité van Ministers,</w:t>
      </w:r>
      <w:r>
        <w:rPr>
          <w:rFonts w:ascii="Verdana" w:hAnsi="Verdana"/>
          <w:sz w:val="18"/>
          <w:szCs w:val="18"/>
          <w:lang w:val="nl-NL"/>
        </w:rPr>
        <w:t xml:space="preserve"> </w:t>
      </w:r>
      <w:r w:rsidRPr="006F73A9">
        <w:rPr>
          <w:rFonts w:ascii="Verdana" w:hAnsi="Verdana"/>
          <w:sz w:val="18"/>
          <w:szCs w:val="18"/>
          <w:lang w:val="nl-NL"/>
        </w:rPr>
        <w:t xml:space="preserve">adviezen </w:t>
      </w:r>
      <w:r>
        <w:rPr>
          <w:rFonts w:ascii="Verdana" w:hAnsi="Verdana"/>
          <w:sz w:val="18"/>
          <w:szCs w:val="18"/>
          <w:lang w:val="nl-NL"/>
        </w:rPr>
        <w:t xml:space="preserve">kan </w:t>
      </w:r>
      <w:r w:rsidRPr="006F73A9">
        <w:rPr>
          <w:rFonts w:ascii="Verdana" w:hAnsi="Verdana"/>
          <w:sz w:val="18"/>
          <w:szCs w:val="18"/>
          <w:lang w:val="nl-NL"/>
        </w:rPr>
        <w:t>uitbrengen over rechtsvragen betreffende de interpretatie</w:t>
      </w:r>
      <w:r>
        <w:rPr>
          <w:rFonts w:ascii="Verdana" w:hAnsi="Verdana"/>
          <w:sz w:val="18"/>
          <w:szCs w:val="18"/>
          <w:lang w:val="nl-NL"/>
        </w:rPr>
        <w:t xml:space="preserve"> </w:t>
      </w:r>
      <w:r w:rsidRPr="006F73A9">
        <w:rPr>
          <w:rFonts w:ascii="Verdana" w:hAnsi="Verdana"/>
          <w:sz w:val="18"/>
          <w:szCs w:val="18"/>
          <w:lang w:val="nl-NL"/>
        </w:rPr>
        <w:t>van het Verdrag en de Protocollen daarbij.</w:t>
      </w:r>
      <w:r>
        <w:rPr>
          <w:rFonts w:ascii="Verdana" w:hAnsi="Verdana"/>
          <w:sz w:val="18"/>
          <w:szCs w:val="18"/>
          <w:lang w:val="nl-NL"/>
        </w:rPr>
        <w:t xml:space="preserve"> Echter, deze </w:t>
      </w:r>
      <w:r w:rsidRPr="006F73A9">
        <w:rPr>
          <w:rFonts w:ascii="Verdana" w:hAnsi="Verdana"/>
          <w:sz w:val="18"/>
          <w:szCs w:val="18"/>
          <w:lang w:val="nl-NL"/>
        </w:rPr>
        <w:t xml:space="preserve">adviezen mogen </w:t>
      </w:r>
      <w:r w:rsidRPr="006F73A9">
        <w:rPr>
          <w:rFonts w:ascii="Verdana" w:hAnsi="Verdana"/>
          <w:i/>
          <w:sz w:val="18"/>
          <w:szCs w:val="18"/>
          <w:lang w:val="nl-NL"/>
        </w:rPr>
        <w:t>geen</w:t>
      </w:r>
      <w:r w:rsidRPr="006F73A9">
        <w:rPr>
          <w:rFonts w:ascii="Verdana" w:hAnsi="Verdana"/>
          <w:sz w:val="18"/>
          <w:szCs w:val="18"/>
          <w:lang w:val="nl-NL"/>
        </w:rPr>
        <w:t xml:space="preserve"> betrekking hebben op vragen</w:t>
      </w:r>
      <w:r>
        <w:rPr>
          <w:rFonts w:ascii="Verdana" w:hAnsi="Verdana"/>
          <w:sz w:val="18"/>
          <w:szCs w:val="18"/>
          <w:lang w:val="nl-NL"/>
        </w:rPr>
        <w:t xml:space="preserve"> </w:t>
      </w:r>
      <w:r w:rsidRPr="006F73A9">
        <w:rPr>
          <w:rFonts w:ascii="Verdana" w:hAnsi="Verdana"/>
          <w:sz w:val="18"/>
          <w:szCs w:val="18"/>
          <w:lang w:val="nl-NL"/>
        </w:rPr>
        <w:t>die verband houden met de inhoud of strekking van de in Titel I</w:t>
      </w:r>
      <w:r>
        <w:rPr>
          <w:rFonts w:ascii="Verdana" w:hAnsi="Verdana"/>
          <w:sz w:val="18"/>
          <w:szCs w:val="18"/>
          <w:lang w:val="nl-NL"/>
        </w:rPr>
        <w:t xml:space="preserve"> </w:t>
      </w:r>
      <w:r w:rsidRPr="006F73A9">
        <w:rPr>
          <w:rFonts w:ascii="Verdana" w:hAnsi="Verdana"/>
          <w:sz w:val="18"/>
          <w:szCs w:val="18"/>
          <w:lang w:val="nl-NL"/>
        </w:rPr>
        <w:t>van het Verdrag en de Protocollen daarbij omschreven rechten en</w:t>
      </w:r>
      <w:r>
        <w:rPr>
          <w:rFonts w:ascii="Verdana" w:hAnsi="Verdana"/>
          <w:sz w:val="18"/>
          <w:szCs w:val="18"/>
          <w:lang w:val="nl-NL"/>
        </w:rPr>
        <w:t xml:space="preserve"> </w:t>
      </w:r>
      <w:r w:rsidRPr="006F73A9">
        <w:rPr>
          <w:rFonts w:ascii="Verdana" w:hAnsi="Verdana"/>
          <w:sz w:val="18"/>
          <w:szCs w:val="18"/>
          <w:lang w:val="nl-NL"/>
        </w:rPr>
        <w:t>vrijheden, noch op andere vragen waarvan het Hof of het Comité</w:t>
      </w:r>
      <w:r>
        <w:rPr>
          <w:rFonts w:ascii="Verdana" w:hAnsi="Verdana"/>
          <w:sz w:val="18"/>
          <w:szCs w:val="18"/>
          <w:lang w:val="nl-NL"/>
        </w:rPr>
        <w:t xml:space="preserve"> </w:t>
      </w:r>
      <w:r w:rsidRPr="006F73A9">
        <w:rPr>
          <w:rFonts w:ascii="Verdana" w:hAnsi="Verdana"/>
          <w:sz w:val="18"/>
          <w:szCs w:val="18"/>
          <w:lang w:val="nl-NL"/>
        </w:rPr>
        <w:t>van Ministers kennis zou moeten kunnen nemen ten gevolge van</w:t>
      </w:r>
      <w:r>
        <w:rPr>
          <w:rFonts w:ascii="Verdana" w:hAnsi="Verdana"/>
          <w:sz w:val="18"/>
          <w:szCs w:val="18"/>
          <w:lang w:val="nl-NL"/>
        </w:rPr>
        <w:t xml:space="preserve"> </w:t>
      </w:r>
      <w:r w:rsidRPr="006F73A9">
        <w:rPr>
          <w:rFonts w:ascii="Verdana" w:hAnsi="Verdana"/>
          <w:sz w:val="18"/>
          <w:szCs w:val="18"/>
          <w:lang w:val="nl-NL"/>
        </w:rPr>
        <w:t>het instellen van een procedure overeenkomstig het Verdrag.</w:t>
      </w:r>
      <w:r>
        <w:rPr>
          <w:rFonts w:ascii="Verdana" w:hAnsi="Verdana"/>
          <w:sz w:val="18"/>
          <w:szCs w:val="18"/>
          <w:lang w:val="nl-NL"/>
        </w:rPr>
        <w:t xml:space="preserve"> Protocol </w:t>
      </w:r>
      <w:r w:rsidR="008E7D80">
        <w:rPr>
          <w:rFonts w:ascii="Verdana" w:hAnsi="Verdana"/>
          <w:sz w:val="18"/>
          <w:szCs w:val="18"/>
          <w:lang w:val="nl-NL"/>
        </w:rPr>
        <w:t xml:space="preserve">nr. </w:t>
      </w:r>
      <w:r>
        <w:rPr>
          <w:rFonts w:ascii="Verdana" w:hAnsi="Verdana"/>
          <w:sz w:val="18"/>
          <w:szCs w:val="18"/>
          <w:lang w:val="nl-NL"/>
        </w:rPr>
        <w:t xml:space="preserve">16 wijst dus niet alleen een andere </w:t>
      </w:r>
      <w:proofErr w:type="spellStart"/>
      <w:r>
        <w:rPr>
          <w:rFonts w:ascii="Verdana" w:hAnsi="Verdana"/>
          <w:sz w:val="18"/>
          <w:szCs w:val="18"/>
          <w:lang w:val="nl-NL"/>
        </w:rPr>
        <w:t>adviesaanvragende</w:t>
      </w:r>
      <w:proofErr w:type="spellEnd"/>
      <w:r>
        <w:rPr>
          <w:rFonts w:ascii="Verdana" w:hAnsi="Verdana"/>
          <w:sz w:val="18"/>
          <w:szCs w:val="18"/>
          <w:lang w:val="nl-NL"/>
        </w:rPr>
        <w:t xml:space="preserve"> instantie aan, maar ziet ook op </w:t>
      </w:r>
      <w:r w:rsidR="00BB7830">
        <w:rPr>
          <w:rFonts w:ascii="Verdana" w:hAnsi="Verdana"/>
          <w:sz w:val="18"/>
          <w:szCs w:val="18"/>
          <w:lang w:val="nl-NL"/>
        </w:rPr>
        <w:t>andersoortige</w:t>
      </w:r>
      <w:r>
        <w:rPr>
          <w:rFonts w:ascii="Verdana" w:hAnsi="Verdana"/>
          <w:sz w:val="18"/>
          <w:szCs w:val="18"/>
          <w:lang w:val="nl-NL"/>
        </w:rPr>
        <w:t xml:space="preserve"> adviezen</w:t>
      </w:r>
      <w:r w:rsidR="009635F4">
        <w:rPr>
          <w:rFonts w:ascii="Verdana" w:hAnsi="Verdana"/>
          <w:sz w:val="18"/>
          <w:szCs w:val="18"/>
          <w:lang w:val="nl-NL"/>
        </w:rPr>
        <w:t>,</w:t>
      </w:r>
      <w:r>
        <w:rPr>
          <w:rFonts w:ascii="Verdana" w:hAnsi="Verdana"/>
          <w:sz w:val="18"/>
          <w:szCs w:val="18"/>
          <w:lang w:val="nl-NL"/>
        </w:rPr>
        <w:t xml:space="preserve"> die juist wél betrekking hebben op de nadere interpretatie van rechten en vrijheden neergelegd in het Verdrag of de Protocollen daarbij.</w:t>
      </w:r>
    </w:p>
    <w:p w:rsidR="006F73A9" w:rsidRPr="003965F0" w:rsidRDefault="006F73A9" w:rsidP="000C6307">
      <w:pPr>
        <w:spacing w:line="360" w:lineRule="auto"/>
        <w:jc w:val="both"/>
        <w:rPr>
          <w:rFonts w:ascii="Verdana" w:hAnsi="Verdana"/>
          <w:sz w:val="18"/>
          <w:szCs w:val="18"/>
          <w:lang w:val="nl-NL"/>
        </w:rPr>
      </w:pPr>
      <w:r>
        <w:rPr>
          <w:rFonts w:ascii="Verdana" w:hAnsi="Verdana"/>
          <w:sz w:val="18"/>
          <w:szCs w:val="18"/>
          <w:lang w:val="nl-NL"/>
        </w:rPr>
        <w:t>Verder is, in aanloop naar de  conferentie</w:t>
      </w:r>
      <w:r w:rsidR="005636C6">
        <w:rPr>
          <w:rFonts w:ascii="Verdana" w:hAnsi="Verdana"/>
          <w:sz w:val="18"/>
          <w:szCs w:val="18"/>
          <w:lang w:val="nl-NL"/>
        </w:rPr>
        <w:t xml:space="preserve"> in Brighton</w:t>
      </w:r>
      <w:r>
        <w:rPr>
          <w:rFonts w:ascii="Verdana" w:hAnsi="Verdana"/>
          <w:sz w:val="18"/>
          <w:szCs w:val="18"/>
          <w:lang w:val="nl-NL"/>
        </w:rPr>
        <w:t xml:space="preserve">, nog wel eens een vergelijking gemaakt met de </w:t>
      </w:r>
      <w:r>
        <w:rPr>
          <w:rFonts w:ascii="Verdana" w:hAnsi="Verdana"/>
          <w:i/>
          <w:sz w:val="18"/>
          <w:szCs w:val="18"/>
          <w:lang w:val="nl-NL"/>
        </w:rPr>
        <w:t xml:space="preserve">pilot </w:t>
      </w:r>
      <w:proofErr w:type="spellStart"/>
      <w:r>
        <w:rPr>
          <w:rFonts w:ascii="Verdana" w:hAnsi="Verdana"/>
          <w:i/>
          <w:sz w:val="18"/>
          <w:szCs w:val="18"/>
          <w:lang w:val="nl-NL"/>
        </w:rPr>
        <w:t>judgment</w:t>
      </w:r>
      <w:proofErr w:type="spellEnd"/>
      <w:r>
        <w:rPr>
          <w:rFonts w:ascii="Verdana" w:hAnsi="Verdana"/>
          <w:sz w:val="18"/>
          <w:szCs w:val="18"/>
          <w:lang w:val="nl-NL"/>
        </w:rPr>
        <w:t xml:space="preserve"> procedure die het Hof hanteert in geval het Hof geconfronteerd wordt met grote aantallen vergelijkbare </w:t>
      </w:r>
      <w:r w:rsidR="000C6307">
        <w:rPr>
          <w:rFonts w:ascii="Verdana" w:hAnsi="Verdana"/>
          <w:sz w:val="18"/>
          <w:szCs w:val="18"/>
          <w:lang w:val="nl-NL"/>
        </w:rPr>
        <w:t>verzoek</w:t>
      </w:r>
      <w:r>
        <w:rPr>
          <w:rFonts w:ascii="Verdana" w:hAnsi="Verdana"/>
          <w:sz w:val="18"/>
          <w:szCs w:val="18"/>
          <w:lang w:val="nl-NL"/>
        </w:rPr>
        <w:t>schriften waaraan één identieke rechtsvraag ten grondslag ligt. De vergelijking gaat echter in meerdere opzichten niet op. Het belangrijkste verschil is dat</w:t>
      </w:r>
      <w:r w:rsidR="005636C6">
        <w:rPr>
          <w:rFonts w:ascii="Verdana" w:hAnsi="Verdana"/>
          <w:sz w:val="18"/>
          <w:szCs w:val="18"/>
          <w:lang w:val="nl-NL"/>
        </w:rPr>
        <w:t xml:space="preserve"> bij een adviesaanvraag</w:t>
      </w:r>
      <w:r>
        <w:rPr>
          <w:rFonts w:ascii="Verdana" w:hAnsi="Verdana"/>
          <w:sz w:val="18"/>
          <w:szCs w:val="18"/>
          <w:lang w:val="nl-NL"/>
        </w:rPr>
        <w:t xml:space="preserve"> </w:t>
      </w:r>
      <w:r w:rsidR="003965F0">
        <w:rPr>
          <w:rFonts w:ascii="Verdana" w:hAnsi="Verdana"/>
          <w:sz w:val="18"/>
          <w:szCs w:val="18"/>
          <w:lang w:val="nl-NL"/>
        </w:rPr>
        <w:t xml:space="preserve">rechtsvragen betreffende de interpretatie en toepassing van in het EVRM verankerde rechten in een veel eerdere fase beantwoord worden door het Hof. De betreffende rechtszaken verlaten niet de nationale rechtsorde, </w:t>
      </w:r>
      <w:r w:rsidR="009635F4">
        <w:rPr>
          <w:rFonts w:ascii="Verdana" w:hAnsi="Verdana"/>
          <w:sz w:val="18"/>
          <w:szCs w:val="18"/>
          <w:lang w:val="nl-NL"/>
        </w:rPr>
        <w:t xml:space="preserve">verzoekschriften </w:t>
      </w:r>
      <w:r w:rsidR="003965F0">
        <w:rPr>
          <w:rFonts w:ascii="Verdana" w:hAnsi="Verdana"/>
          <w:sz w:val="18"/>
          <w:szCs w:val="18"/>
          <w:lang w:val="nl-NL"/>
        </w:rPr>
        <w:t xml:space="preserve">hoeven niet te worden ingediend bij het EHRM, hetgeen ook vanuit een proceseconomisch standpunt gunstig is voor rechtzoekenden. Bij een </w:t>
      </w:r>
      <w:r w:rsidR="003965F0">
        <w:rPr>
          <w:rFonts w:ascii="Verdana" w:hAnsi="Verdana"/>
          <w:i/>
          <w:sz w:val="18"/>
          <w:szCs w:val="18"/>
          <w:lang w:val="nl-NL"/>
        </w:rPr>
        <w:t xml:space="preserve">pilot </w:t>
      </w:r>
      <w:proofErr w:type="spellStart"/>
      <w:r w:rsidR="003965F0">
        <w:rPr>
          <w:rFonts w:ascii="Verdana" w:hAnsi="Verdana"/>
          <w:i/>
          <w:sz w:val="18"/>
          <w:szCs w:val="18"/>
          <w:lang w:val="nl-NL"/>
        </w:rPr>
        <w:t>judgment</w:t>
      </w:r>
      <w:proofErr w:type="spellEnd"/>
      <w:r w:rsidR="003965F0">
        <w:rPr>
          <w:rFonts w:ascii="Verdana" w:hAnsi="Verdana"/>
          <w:sz w:val="18"/>
          <w:szCs w:val="18"/>
          <w:lang w:val="nl-NL"/>
        </w:rPr>
        <w:t xml:space="preserve"> procedure doet een internationaal </w:t>
      </w:r>
      <w:r w:rsidR="009635F4">
        <w:rPr>
          <w:rFonts w:ascii="Verdana" w:hAnsi="Verdana"/>
          <w:sz w:val="18"/>
          <w:szCs w:val="18"/>
          <w:lang w:val="nl-NL"/>
        </w:rPr>
        <w:t xml:space="preserve">gerecht </w:t>
      </w:r>
      <w:r w:rsidR="003965F0">
        <w:rPr>
          <w:rFonts w:ascii="Verdana" w:hAnsi="Verdana"/>
          <w:sz w:val="18"/>
          <w:szCs w:val="18"/>
          <w:lang w:val="nl-NL"/>
        </w:rPr>
        <w:t xml:space="preserve">uitspraak, bij een </w:t>
      </w:r>
      <w:r w:rsidR="009635F4">
        <w:rPr>
          <w:rFonts w:ascii="Verdana" w:hAnsi="Verdana"/>
          <w:i/>
          <w:sz w:val="18"/>
          <w:szCs w:val="18"/>
          <w:lang w:val="nl-NL"/>
        </w:rPr>
        <w:t>advies</w:t>
      </w:r>
      <w:r w:rsidR="003965F0">
        <w:rPr>
          <w:rFonts w:ascii="Verdana" w:hAnsi="Verdana"/>
          <w:sz w:val="18"/>
          <w:szCs w:val="18"/>
          <w:lang w:val="nl-NL"/>
        </w:rPr>
        <w:t xml:space="preserve">procedure doet het nationale gerecht de zaak af met inachtneming van het advies van een internationaal </w:t>
      </w:r>
      <w:r w:rsidR="009635F4">
        <w:rPr>
          <w:rFonts w:ascii="Verdana" w:hAnsi="Verdana"/>
          <w:sz w:val="18"/>
          <w:szCs w:val="18"/>
          <w:lang w:val="nl-NL"/>
        </w:rPr>
        <w:t>gerecht</w:t>
      </w:r>
      <w:r w:rsidR="003965F0">
        <w:rPr>
          <w:rFonts w:ascii="Verdana" w:hAnsi="Verdana"/>
          <w:sz w:val="18"/>
          <w:szCs w:val="18"/>
          <w:lang w:val="nl-NL"/>
        </w:rPr>
        <w:t>.</w:t>
      </w:r>
    </w:p>
    <w:p w:rsidR="00255704" w:rsidRPr="009747FE" w:rsidRDefault="00255704" w:rsidP="001A68C4">
      <w:pPr>
        <w:spacing w:line="360" w:lineRule="auto"/>
        <w:jc w:val="both"/>
        <w:rPr>
          <w:rFonts w:ascii="Verdana" w:hAnsi="Verdana"/>
          <w:sz w:val="18"/>
          <w:szCs w:val="18"/>
          <w:lang w:val="nl-NL"/>
        </w:rPr>
      </w:pPr>
    </w:p>
    <w:p w:rsidR="00761D6E" w:rsidRPr="000D0695" w:rsidRDefault="00B87F91" w:rsidP="001A68C4">
      <w:pPr>
        <w:spacing w:line="360" w:lineRule="auto"/>
        <w:jc w:val="both"/>
        <w:rPr>
          <w:rFonts w:ascii="Verdana" w:hAnsi="Verdana"/>
          <w:b/>
          <w:sz w:val="18"/>
          <w:szCs w:val="18"/>
          <w:lang w:val="nl-NL"/>
        </w:rPr>
      </w:pPr>
      <w:r>
        <w:rPr>
          <w:rFonts w:ascii="Verdana" w:hAnsi="Verdana"/>
          <w:b/>
          <w:sz w:val="18"/>
          <w:szCs w:val="18"/>
          <w:lang w:val="nl-NL"/>
        </w:rPr>
        <w:t xml:space="preserve">3. </w:t>
      </w:r>
      <w:r w:rsidR="00761D6E" w:rsidRPr="000D0695">
        <w:rPr>
          <w:rFonts w:ascii="Verdana" w:hAnsi="Verdana"/>
          <w:b/>
          <w:sz w:val="18"/>
          <w:szCs w:val="18"/>
          <w:lang w:val="nl-NL"/>
        </w:rPr>
        <w:t>Artikelsgewijze toelichting</w:t>
      </w:r>
    </w:p>
    <w:p w:rsidR="009352F7" w:rsidRPr="000D0695" w:rsidRDefault="009352F7" w:rsidP="001A68C4">
      <w:pPr>
        <w:spacing w:line="360" w:lineRule="auto"/>
        <w:jc w:val="both"/>
        <w:rPr>
          <w:rFonts w:ascii="Verdana" w:hAnsi="Verdana"/>
          <w:sz w:val="18"/>
          <w:szCs w:val="18"/>
          <w:lang w:val="nl-NL"/>
        </w:rPr>
      </w:pPr>
    </w:p>
    <w:p w:rsidR="000772AB" w:rsidRPr="000D0695" w:rsidRDefault="000772AB" w:rsidP="001A68C4">
      <w:pPr>
        <w:spacing w:line="360" w:lineRule="auto"/>
        <w:jc w:val="both"/>
        <w:rPr>
          <w:rFonts w:ascii="Verdana" w:hAnsi="Verdana"/>
          <w:b/>
          <w:sz w:val="18"/>
          <w:szCs w:val="18"/>
          <w:lang w:val="nl-NL"/>
        </w:rPr>
      </w:pPr>
      <w:r w:rsidRPr="000D0695">
        <w:rPr>
          <w:rFonts w:ascii="Verdana" w:hAnsi="Verdana"/>
          <w:b/>
          <w:sz w:val="18"/>
          <w:szCs w:val="18"/>
          <w:lang w:val="nl-NL"/>
        </w:rPr>
        <w:t>Artikel 1</w:t>
      </w:r>
    </w:p>
    <w:p w:rsidR="00B6720C" w:rsidRDefault="00B6720C">
      <w:pPr>
        <w:rPr>
          <w:rFonts w:ascii="Verdana" w:hAnsi="Verdana"/>
          <w:i/>
          <w:sz w:val="18"/>
          <w:szCs w:val="18"/>
          <w:lang w:val="nl-NL"/>
        </w:rPr>
      </w:pPr>
      <w:r>
        <w:rPr>
          <w:rFonts w:ascii="Verdana" w:hAnsi="Verdana"/>
          <w:i/>
          <w:sz w:val="18"/>
          <w:szCs w:val="18"/>
          <w:lang w:val="nl-NL"/>
        </w:rPr>
        <w:br w:type="page"/>
      </w:r>
    </w:p>
    <w:p w:rsidR="00653F89" w:rsidRPr="009747FE" w:rsidRDefault="009747FE" w:rsidP="001A68C4">
      <w:pPr>
        <w:spacing w:line="360" w:lineRule="auto"/>
        <w:jc w:val="both"/>
        <w:rPr>
          <w:rFonts w:ascii="Verdana" w:hAnsi="Verdana"/>
          <w:i/>
          <w:sz w:val="18"/>
          <w:szCs w:val="18"/>
          <w:lang w:val="nl-NL"/>
        </w:rPr>
      </w:pPr>
      <w:r>
        <w:rPr>
          <w:rFonts w:ascii="Verdana" w:hAnsi="Verdana"/>
          <w:i/>
          <w:sz w:val="18"/>
          <w:szCs w:val="18"/>
          <w:lang w:val="nl-NL"/>
        </w:rPr>
        <w:lastRenderedPageBreak/>
        <w:t>Lid 1</w:t>
      </w:r>
    </w:p>
    <w:p w:rsidR="009747FE" w:rsidRPr="00FC5A34" w:rsidRDefault="009747FE" w:rsidP="001A68C4">
      <w:pPr>
        <w:spacing w:line="360" w:lineRule="auto"/>
        <w:jc w:val="both"/>
        <w:rPr>
          <w:rFonts w:ascii="Verdana" w:hAnsi="Verdana"/>
          <w:sz w:val="18"/>
          <w:szCs w:val="18"/>
          <w:lang w:val="nl-NL"/>
        </w:rPr>
      </w:pPr>
      <w:r w:rsidRPr="00C163B7">
        <w:rPr>
          <w:rFonts w:ascii="Verdana" w:hAnsi="Verdana"/>
          <w:sz w:val="18"/>
          <w:szCs w:val="18"/>
          <w:lang w:val="nl-NL"/>
        </w:rPr>
        <w:t xml:space="preserve">Het eerste lid van artikel 1 bepaalt drie belangrijke </w:t>
      </w:r>
      <w:r w:rsidR="00DB5D96" w:rsidRPr="00FC5A34">
        <w:rPr>
          <w:rFonts w:ascii="Verdana" w:hAnsi="Verdana"/>
          <w:sz w:val="18"/>
          <w:szCs w:val="18"/>
          <w:lang w:val="nl-NL"/>
        </w:rPr>
        <w:t>randvoorwaarden</w:t>
      </w:r>
      <w:r w:rsidRPr="003D31D7">
        <w:rPr>
          <w:rFonts w:ascii="Verdana" w:hAnsi="Verdana"/>
          <w:sz w:val="18"/>
          <w:szCs w:val="18"/>
          <w:lang w:val="nl-NL"/>
        </w:rPr>
        <w:t xml:space="preserve"> van het voorstel: (a) wie een </w:t>
      </w:r>
      <w:r w:rsidR="00C163B7" w:rsidRPr="007D3E7A">
        <w:rPr>
          <w:rFonts w:ascii="Verdana" w:hAnsi="Verdana"/>
          <w:sz w:val="18"/>
          <w:szCs w:val="18"/>
          <w:lang w:val="nl-NL"/>
        </w:rPr>
        <w:t>advies</w:t>
      </w:r>
      <w:r w:rsidRPr="00C163B7">
        <w:rPr>
          <w:rFonts w:ascii="Verdana" w:hAnsi="Verdana"/>
          <w:sz w:val="18"/>
          <w:szCs w:val="18"/>
          <w:lang w:val="nl-NL"/>
        </w:rPr>
        <w:t xml:space="preserve"> mag vragen, (b) waarover een </w:t>
      </w:r>
      <w:r w:rsidR="00C163B7" w:rsidRPr="007D3E7A">
        <w:rPr>
          <w:rFonts w:ascii="Verdana" w:hAnsi="Verdana"/>
          <w:sz w:val="18"/>
          <w:szCs w:val="18"/>
          <w:lang w:val="nl-NL"/>
        </w:rPr>
        <w:t>advies</w:t>
      </w:r>
      <w:r w:rsidRPr="007D3E7A">
        <w:rPr>
          <w:rFonts w:ascii="Verdana" w:hAnsi="Verdana"/>
          <w:sz w:val="18"/>
          <w:szCs w:val="18"/>
          <w:lang w:val="nl-NL"/>
        </w:rPr>
        <w:t xml:space="preserve"> </w:t>
      </w:r>
      <w:r w:rsidRPr="00C163B7">
        <w:rPr>
          <w:rFonts w:ascii="Verdana" w:hAnsi="Verdana"/>
          <w:sz w:val="18"/>
          <w:szCs w:val="18"/>
          <w:lang w:val="nl-NL"/>
        </w:rPr>
        <w:t xml:space="preserve">kan worden gevraagd, en (c) het </w:t>
      </w:r>
      <w:r w:rsidR="00804A78">
        <w:rPr>
          <w:rFonts w:ascii="Verdana" w:hAnsi="Verdana"/>
          <w:sz w:val="18"/>
          <w:szCs w:val="18"/>
          <w:lang w:val="nl-NL"/>
        </w:rPr>
        <w:t>facultatief</w:t>
      </w:r>
      <w:r w:rsidR="00804A78" w:rsidRPr="00C163B7">
        <w:rPr>
          <w:rFonts w:ascii="Verdana" w:hAnsi="Verdana"/>
          <w:sz w:val="18"/>
          <w:szCs w:val="18"/>
          <w:lang w:val="nl-NL"/>
        </w:rPr>
        <w:t xml:space="preserve"> </w:t>
      </w:r>
      <w:r w:rsidRPr="00C163B7">
        <w:rPr>
          <w:rFonts w:ascii="Verdana" w:hAnsi="Verdana"/>
          <w:sz w:val="18"/>
          <w:szCs w:val="18"/>
          <w:lang w:val="nl-NL"/>
        </w:rPr>
        <w:t xml:space="preserve">karakter van het vragen van een </w:t>
      </w:r>
      <w:r w:rsidR="00C163B7" w:rsidRPr="007D3E7A">
        <w:rPr>
          <w:rFonts w:ascii="Verdana" w:hAnsi="Verdana"/>
          <w:sz w:val="18"/>
          <w:szCs w:val="18"/>
          <w:lang w:val="nl-NL"/>
        </w:rPr>
        <w:t>advies</w:t>
      </w:r>
      <w:r w:rsidRPr="00C163B7">
        <w:rPr>
          <w:rFonts w:ascii="Verdana" w:hAnsi="Verdana"/>
          <w:sz w:val="18"/>
          <w:szCs w:val="18"/>
          <w:lang w:val="nl-NL"/>
        </w:rPr>
        <w:t>.</w:t>
      </w:r>
    </w:p>
    <w:p w:rsidR="009747FE" w:rsidRPr="009747FE" w:rsidRDefault="009747FE" w:rsidP="001A68C4">
      <w:pPr>
        <w:spacing w:line="360" w:lineRule="auto"/>
        <w:jc w:val="both"/>
        <w:rPr>
          <w:rFonts w:ascii="Verdana" w:hAnsi="Verdana"/>
          <w:sz w:val="18"/>
          <w:szCs w:val="18"/>
          <w:lang w:val="nl-NL"/>
        </w:rPr>
      </w:pPr>
    </w:p>
    <w:p w:rsidR="00B6720C" w:rsidRDefault="009747FE" w:rsidP="000C6307">
      <w:pPr>
        <w:spacing w:line="360" w:lineRule="auto"/>
        <w:jc w:val="both"/>
        <w:rPr>
          <w:rFonts w:ascii="Verdana" w:hAnsi="Verdana"/>
          <w:sz w:val="18"/>
          <w:szCs w:val="18"/>
          <w:lang w:val="nl-NL"/>
        </w:rPr>
      </w:pPr>
      <w:r>
        <w:rPr>
          <w:rFonts w:ascii="Verdana" w:hAnsi="Verdana"/>
          <w:sz w:val="18"/>
          <w:szCs w:val="18"/>
          <w:lang w:val="nl-NL"/>
        </w:rPr>
        <w:t xml:space="preserve">Een advies kan </w:t>
      </w:r>
      <w:r w:rsidR="00B52342">
        <w:rPr>
          <w:rFonts w:ascii="Verdana" w:hAnsi="Verdana"/>
          <w:sz w:val="18"/>
          <w:szCs w:val="18"/>
          <w:lang w:val="nl-NL"/>
        </w:rPr>
        <w:t xml:space="preserve">worden </w:t>
      </w:r>
      <w:r>
        <w:rPr>
          <w:rFonts w:ascii="Verdana" w:hAnsi="Verdana"/>
          <w:sz w:val="18"/>
          <w:szCs w:val="18"/>
          <w:lang w:val="nl-NL"/>
        </w:rPr>
        <w:t xml:space="preserve">gevraagd door </w:t>
      </w:r>
      <w:r w:rsidR="00653F89" w:rsidRPr="00653F89">
        <w:rPr>
          <w:rFonts w:ascii="Verdana" w:hAnsi="Verdana"/>
          <w:sz w:val="18"/>
          <w:szCs w:val="18"/>
          <w:lang w:val="nl-NL"/>
        </w:rPr>
        <w:t>hoogste nationale gerechten</w:t>
      </w:r>
      <w:r>
        <w:rPr>
          <w:rFonts w:ascii="Verdana" w:hAnsi="Verdana"/>
          <w:sz w:val="18"/>
          <w:szCs w:val="18"/>
          <w:lang w:val="nl-NL"/>
        </w:rPr>
        <w:t xml:space="preserve"> die hiervoor zijn aangewezen door de Verdragsluitende Partij conform het bepaalde in artikel 10 van het Protocol</w:t>
      </w:r>
      <w:r w:rsidR="00653F89" w:rsidRPr="00653F89">
        <w:rPr>
          <w:rFonts w:ascii="Verdana" w:hAnsi="Verdana"/>
          <w:sz w:val="18"/>
          <w:szCs w:val="18"/>
          <w:lang w:val="nl-NL"/>
        </w:rPr>
        <w:t xml:space="preserve">. </w:t>
      </w:r>
      <w:r w:rsidR="00B45FC8" w:rsidRPr="00B45FC8">
        <w:rPr>
          <w:rFonts w:ascii="Verdana" w:hAnsi="Verdana"/>
          <w:sz w:val="18"/>
          <w:szCs w:val="18"/>
          <w:lang w:val="nl-NL"/>
        </w:rPr>
        <w:t xml:space="preserve">De </w:t>
      </w:r>
      <w:r w:rsidR="00B45FC8">
        <w:rPr>
          <w:rFonts w:ascii="Verdana" w:hAnsi="Verdana"/>
          <w:sz w:val="18"/>
          <w:szCs w:val="18"/>
          <w:lang w:val="nl-NL"/>
        </w:rPr>
        <w:t>staat</w:t>
      </w:r>
      <w:r w:rsidR="00B45FC8" w:rsidRPr="00B45FC8">
        <w:rPr>
          <w:rFonts w:ascii="Verdana" w:hAnsi="Verdana"/>
          <w:sz w:val="18"/>
          <w:szCs w:val="18"/>
          <w:lang w:val="nl-NL"/>
        </w:rPr>
        <w:t xml:space="preserve"> wijst deze gerechten </w:t>
      </w:r>
      <w:r w:rsidR="00B45FC8">
        <w:rPr>
          <w:rFonts w:ascii="Verdana" w:hAnsi="Verdana"/>
          <w:sz w:val="18"/>
          <w:szCs w:val="18"/>
          <w:lang w:val="nl-NL"/>
        </w:rPr>
        <w:t xml:space="preserve">zelf </w:t>
      </w:r>
      <w:r w:rsidR="00B45FC8" w:rsidRPr="00B45FC8">
        <w:rPr>
          <w:rFonts w:ascii="Verdana" w:hAnsi="Verdana"/>
          <w:sz w:val="18"/>
          <w:szCs w:val="18"/>
          <w:lang w:val="nl-NL"/>
        </w:rPr>
        <w:t xml:space="preserve">aan om tegemoet te komen aan de </w:t>
      </w:r>
      <w:r w:rsidR="00B45FC8">
        <w:rPr>
          <w:rFonts w:ascii="Verdana" w:hAnsi="Verdana"/>
          <w:sz w:val="18"/>
          <w:szCs w:val="18"/>
          <w:lang w:val="nl-NL"/>
        </w:rPr>
        <w:t xml:space="preserve">grote </w:t>
      </w:r>
      <w:r w:rsidR="00B45FC8" w:rsidRPr="00B45FC8">
        <w:rPr>
          <w:rFonts w:ascii="Verdana" w:hAnsi="Verdana"/>
          <w:sz w:val="18"/>
          <w:szCs w:val="18"/>
          <w:lang w:val="nl-NL"/>
        </w:rPr>
        <w:t>diversiteit van rechtsstelsels binnen de Raad van Europa</w:t>
      </w:r>
      <w:r w:rsidR="00B45FC8">
        <w:rPr>
          <w:rFonts w:ascii="Verdana" w:hAnsi="Verdana"/>
          <w:sz w:val="18"/>
          <w:szCs w:val="18"/>
          <w:lang w:val="nl-NL"/>
        </w:rPr>
        <w:t>, waarbij tevens kan worden gewezen op de gelaagdheid van gerechten in staten met een federaal karakter</w:t>
      </w:r>
      <w:r w:rsidR="00B45FC8" w:rsidRPr="00B45FC8">
        <w:rPr>
          <w:rFonts w:ascii="Verdana" w:hAnsi="Verdana"/>
          <w:sz w:val="18"/>
          <w:szCs w:val="18"/>
          <w:lang w:val="nl-NL"/>
        </w:rPr>
        <w:t>.</w:t>
      </w:r>
      <w:r w:rsidR="00B45FC8">
        <w:rPr>
          <w:rFonts w:ascii="Verdana" w:hAnsi="Verdana"/>
          <w:sz w:val="18"/>
          <w:szCs w:val="18"/>
          <w:lang w:val="nl-NL"/>
        </w:rPr>
        <w:t xml:space="preserve"> Enerzijds is bij de totstandkoming van Protocol </w:t>
      </w:r>
      <w:r w:rsidR="008E7D80">
        <w:rPr>
          <w:rFonts w:ascii="Verdana" w:hAnsi="Verdana"/>
          <w:sz w:val="18"/>
          <w:szCs w:val="18"/>
          <w:lang w:val="nl-NL"/>
        </w:rPr>
        <w:t xml:space="preserve">nr. </w:t>
      </w:r>
      <w:r w:rsidR="00B45FC8">
        <w:rPr>
          <w:rFonts w:ascii="Verdana" w:hAnsi="Verdana"/>
          <w:sz w:val="18"/>
          <w:szCs w:val="18"/>
          <w:lang w:val="nl-NL"/>
        </w:rPr>
        <w:t xml:space="preserve">16 benadrukt dat slechts een beperkt aantal gerechten per lidstaat dient te worden aangewezen. Anderzijds werd benadrukt dat enige flexibiliteit betracht moet worden in geval een bepaald gerecht tot de top van de gerechtelijke structuur behoort en het hoogste nationale gerecht is voor een bepaalde categorie rechtszaken. </w:t>
      </w:r>
      <w:r>
        <w:rPr>
          <w:rFonts w:ascii="Verdana" w:hAnsi="Verdana"/>
          <w:sz w:val="18"/>
          <w:szCs w:val="18"/>
          <w:lang w:val="nl-NL"/>
        </w:rPr>
        <w:t>Artikel 10 bepaalt dat de gerechten gespecificeerd dienen te worden bij de ondertekening van het Protocol dan wel bij de neerlegging van het instrument ter ratificatie</w:t>
      </w:r>
      <w:r w:rsidR="00A74BD4">
        <w:rPr>
          <w:rFonts w:ascii="Verdana" w:hAnsi="Verdana"/>
          <w:sz w:val="18"/>
          <w:szCs w:val="18"/>
          <w:lang w:val="nl-NL"/>
        </w:rPr>
        <w:t>, maar dat het een staat vrijstaat om deze aanwijzing op een later tijdstip te herzien</w:t>
      </w:r>
      <w:r>
        <w:rPr>
          <w:rFonts w:ascii="Verdana" w:hAnsi="Verdana"/>
          <w:sz w:val="18"/>
          <w:szCs w:val="18"/>
          <w:lang w:val="nl-NL"/>
        </w:rPr>
        <w:t xml:space="preserve">. </w:t>
      </w:r>
      <w:r w:rsidR="009B6BF8">
        <w:rPr>
          <w:rFonts w:ascii="Verdana" w:hAnsi="Verdana"/>
          <w:sz w:val="18"/>
          <w:szCs w:val="18"/>
          <w:lang w:val="nl-NL"/>
        </w:rPr>
        <w:t>De regering</w:t>
      </w:r>
      <w:r>
        <w:rPr>
          <w:rFonts w:ascii="Verdana" w:hAnsi="Verdana"/>
          <w:sz w:val="18"/>
          <w:szCs w:val="18"/>
          <w:lang w:val="nl-NL"/>
        </w:rPr>
        <w:t xml:space="preserve"> stelt voor om </w:t>
      </w:r>
      <w:r w:rsidR="00B45FC8">
        <w:rPr>
          <w:rFonts w:ascii="Verdana" w:hAnsi="Verdana"/>
          <w:sz w:val="18"/>
          <w:szCs w:val="18"/>
          <w:lang w:val="nl-NL"/>
        </w:rPr>
        <w:t xml:space="preserve">de Hoge Raad der Nederlanden, de Afdeling </w:t>
      </w:r>
      <w:r w:rsidR="00CA2292">
        <w:rPr>
          <w:rFonts w:ascii="Verdana" w:hAnsi="Verdana"/>
          <w:sz w:val="18"/>
          <w:szCs w:val="18"/>
          <w:lang w:val="nl-NL"/>
        </w:rPr>
        <w:t>b</w:t>
      </w:r>
      <w:r w:rsidR="00B45FC8">
        <w:rPr>
          <w:rFonts w:ascii="Verdana" w:hAnsi="Verdana"/>
          <w:sz w:val="18"/>
          <w:szCs w:val="18"/>
          <w:lang w:val="nl-NL"/>
        </w:rPr>
        <w:t xml:space="preserve">estuursrechtspraak van de Raad van State, de Centrale Raad van Beroep, het </w:t>
      </w:r>
      <w:r w:rsidR="00B45FC8" w:rsidRPr="00B45FC8">
        <w:rPr>
          <w:rFonts w:ascii="Verdana" w:hAnsi="Verdana"/>
          <w:sz w:val="18"/>
          <w:szCs w:val="18"/>
          <w:lang w:val="nl-NL"/>
        </w:rPr>
        <w:t xml:space="preserve">College van Beroep voor het </w:t>
      </w:r>
      <w:r w:rsidR="007D3E7A">
        <w:rPr>
          <w:rFonts w:ascii="Verdana" w:hAnsi="Verdana"/>
          <w:sz w:val="18"/>
          <w:szCs w:val="18"/>
          <w:lang w:val="nl-NL"/>
        </w:rPr>
        <w:t>b</w:t>
      </w:r>
      <w:r w:rsidR="00B45FC8" w:rsidRPr="00B45FC8">
        <w:rPr>
          <w:rFonts w:ascii="Verdana" w:hAnsi="Verdana"/>
          <w:sz w:val="18"/>
          <w:szCs w:val="18"/>
          <w:lang w:val="nl-NL"/>
        </w:rPr>
        <w:t>edrijfsleven</w:t>
      </w:r>
      <w:r w:rsidR="00B45FC8">
        <w:rPr>
          <w:rFonts w:ascii="Verdana" w:hAnsi="Verdana"/>
          <w:sz w:val="18"/>
          <w:szCs w:val="18"/>
          <w:lang w:val="nl-NL"/>
        </w:rPr>
        <w:t xml:space="preserve"> en het </w:t>
      </w:r>
      <w:r w:rsidR="00B45FC8" w:rsidRPr="00B45FC8">
        <w:rPr>
          <w:rFonts w:ascii="Verdana" w:hAnsi="Verdana"/>
          <w:sz w:val="18"/>
          <w:szCs w:val="18"/>
          <w:lang w:val="nl-NL"/>
        </w:rPr>
        <w:t xml:space="preserve">Gemeenschappelijk Hof van Justitie van Aruba, Curaçao, Sint Maarten en van Bonaire, Sint </w:t>
      </w:r>
      <w:proofErr w:type="spellStart"/>
      <w:r w:rsidR="00B45FC8" w:rsidRPr="00B45FC8">
        <w:rPr>
          <w:rFonts w:ascii="Verdana" w:hAnsi="Verdana"/>
          <w:sz w:val="18"/>
          <w:szCs w:val="18"/>
          <w:lang w:val="nl-NL"/>
        </w:rPr>
        <w:t>Eustatius</w:t>
      </w:r>
      <w:proofErr w:type="spellEnd"/>
      <w:r w:rsidR="00B45FC8" w:rsidRPr="00B45FC8">
        <w:rPr>
          <w:rFonts w:ascii="Verdana" w:hAnsi="Verdana"/>
          <w:sz w:val="18"/>
          <w:szCs w:val="18"/>
          <w:lang w:val="nl-NL"/>
        </w:rPr>
        <w:t xml:space="preserve"> en Saba</w:t>
      </w:r>
      <w:r w:rsidR="00B45FC8">
        <w:rPr>
          <w:rFonts w:ascii="Verdana" w:hAnsi="Verdana"/>
          <w:sz w:val="18"/>
          <w:szCs w:val="18"/>
          <w:lang w:val="nl-NL"/>
        </w:rPr>
        <w:t xml:space="preserve"> aan te wijzen.</w:t>
      </w:r>
      <w:r w:rsidR="00B52342">
        <w:rPr>
          <w:rFonts w:ascii="Verdana" w:hAnsi="Verdana"/>
          <w:sz w:val="18"/>
          <w:szCs w:val="18"/>
          <w:lang w:val="nl-NL"/>
        </w:rPr>
        <w:t xml:space="preserve"> </w:t>
      </w:r>
      <w:r w:rsidR="00314E78">
        <w:rPr>
          <w:rFonts w:ascii="Verdana" w:hAnsi="Verdana"/>
          <w:sz w:val="18"/>
          <w:szCs w:val="18"/>
          <w:lang w:val="nl-NL"/>
        </w:rPr>
        <w:t xml:space="preserve">Bij deze aanwijzing zal de regering een verklaring afleggen inhoudende dat de bevoegdheid voortvloeiende uit dit </w:t>
      </w:r>
      <w:r w:rsidR="00E043B8">
        <w:rPr>
          <w:rFonts w:ascii="Verdana" w:hAnsi="Verdana"/>
          <w:sz w:val="18"/>
          <w:szCs w:val="18"/>
          <w:lang w:val="nl-NL"/>
        </w:rPr>
        <w:t>P</w:t>
      </w:r>
      <w:r w:rsidR="00314E78">
        <w:rPr>
          <w:rFonts w:ascii="Verdana" w:hAnsi="Verdana"/>
          <w:sz w:val="18"/>
          <w:szCs w:val="18"/>
          <w:lang w:val="nl-NL"/>
        </w:rPr>
        <w:t xml:space="preserve">rotocol niet toekomt aan een van de aangewezen gerechten indien en voor zover in een voorkomend geval de Hoge Raad der Nederlanden in laatste instantie recht kan spreken. Deze omstandigheid kan zich immers naar geldend recht voordoen bij de Centrale Raad van Beroep, </w:t>
      </w:r>
      <w:r w:rsidR="00314E78" w:rsidRPr="00314E78">
        <w:rPr>
          <w:rFonts w:ascii="Verdana" w:hAnsi="Verdana"/>
          <w:sz w:val="18"/>
          <w:szCs w:val="18"/>
          <w:lang w:val="nl-NL"/>
        </w:rPr>
        <w:t xml:space="preserve">het College van Beroep voor het bedrijfsleven en het Gemeenschappelijk Hof van Justitie van Aruba, Curaçao, Sint Maarten en van Bonaire, Sint </w:t>
      </w:r>
      <w:proofErr w:type="spellStart"/>
      <w:r w:rsidR="00314E78" w:rsidRPr="00314E78">
        <w:rPr>
          <w:rFonts w:ascii="Verdana" w:hAnsi="Verdana"/>
          <w:sz w:val="18"/>
          <w:szCs w:val="18"/>
          <w:lang w:val="nl-NL"/>
        </w:rPr>
        <w:t>Eustatius</w:t>
      </w:r>
      <w:proofErr w:type="spellEnd"/>
      <w:r w:rsidR="00314E78" w:rsidRPr="00314E78">
        <w:rPr>
          <w:rFonts w:ascii="Verdana" w:hAnsi="Verdana"/>
          <w:sz w:val="18"/>
          <w:szCs w:val="18"/>
          <w:lang w:val="nl-NL"/>
        </w:rPr>
        <w:t xml:space="preserve"> en Saba</w:t>
      </w:r>
      <w:r w:rsidR="00314E78">
        <w:rPr>
          <w:rFonts w:ascii="Verdana" w:hAnsi="Verdana"/>
          <w:sz w:val="18"/>
          <w:szCs w:val="18"/>
          <w:lang w:val="nl-NL"/>
        </w:rPr>
        <w:t>.</w:t>
      </w:r>
      <w:r w:rsidR="00314E78" w:rsidRPr="00314E78">
        <w:rPr>
          <w:rFonts w:ascii="Verdana" w:hAnsi="Verdana"/>
          <w:sz w:val="18"/>
          <w:szCs w:val="18"/>
          <w:lang w:val="nl-NL"/>
        </w:rPr>
        <w:t xml:space="preserve"> </w:t>
      </w:r>
      <w:r w:rsidR="000C28F0">
        <w:rPr>
          <w:rFonts w:ascii="Verdana" w:hAnsi="Verdana"/>
          <w:sz w:val="18"/>
          <w:szCs w:val="18"/>
          <w:lang w:val="nl-NL"/>
        </w:rPr>
        <w:t xml:space="preserve">De regering heeft met deze gerechten contact opgenomen teneinde </w:t>
      </w:r>
      <w:r w:rsidR="000C6307">
        <w:rPr>
          <w:rFonts w:ascii="Verdana" w:hAnsi="Verdana"/>
          <w:sz w:val="18"/>
          <w:szCs w:val="18"/>
          <w:lang w:val="nl-NL"/>
        </w:rPr>
        <w:t>hen te informeren</w:t>
      </w:r>
      <w:r w:rsidR="000C28F0">
        <w:rPr>
          <w:rFonts w:ascii="Verdana" w:hAnsi="Verdana"/>
          <w:sz w:val="18"/>
          <w:szCs w:val="18"/>
          <w:lang w:val="nl-NL"/>
        </w:rPr>
        <w:t xml:space="preserve"> over het </w:t>
      </w:r>
      <w:r w:rsidR="000C6307">
        <w:rPr>
          <w:rFonts w:ascii="Verdana" w:hAnsi="Verdana"/>
          <w:sz w:val="18"/>
          <w:szCs w:val="18"/>
          <w:lang w:val="nl-NL"/>
        </w:rPr>
        <w:t>P</w:t>
      </w:r>
      <w:r w:rsidR="000C28F0">
        <w:rPr>
          <w:rFonts w:ascii="Verdana" w:hAnsi="Verdana"/>
          <w:sz w:val="18"/>
          <w:szCs w:val="18"/>
          <w:lang w:val="nl-NL"/>
        </w:rPr>
        <w:t xml:space="preserve">rotocol en hun inzichten te vernemen. </w:t>
      </w:r>
      <w:r w:rsidR="000C6307">
        <w:rPr>
          <w:rFonts w:ascii="Verdana" w:hAnsi="Verdana"/>
          <w:sz w:val="18"/>
          <w:szCs w:val="18"/>
          <w:lang w:val="nl-NL"/>
        </w:rPr>
        <w:t>B</w:t>
      </w:r>
      <w:r w:rsidR="000C28F0">
        <w:rPr>
          <w:rFonts w:ascii="Verdana" w:hAnsi="Verdana"/>
          <w:sz w:val="18"/>
          <w:szCs w:val="18"/>
          <w:lang w:val="nl-NL"/>
        </w:rPr>
        <w:t>ijeenkomsten hebben inmiddels plaatsgevonden met</w:t>
      </w:r>
      <w:r w:rsidR="000C28F0" w:rsidRPr="0075757A">
        <w:rPr>
          <w:lang w:val="nl-NL"/>
        </w:rPr>
        <w:t xml:space="preserve"> </w:t>
      </w:r>
      <w:r w:rsidR="000C28F0" w:rsidRPr="000C28F0">
        <w:rPr>
          <w:rFonts w:ascii="Verdana" w:hAnsi="Verdana"/>
          <w:sz w:val="18"/>
          <w:szCs w:val="18"/>
          <w:lang w:val="nl-NL"/>
        </w:rPr>
        <w:t xml:space="preserve">de </w:t>
      </w:r>
      <w:r w:rsidR="00804A78">
        <w:rPr>
          <w:rFonts w:ascii="Verdana" w:hAnsi="Verdana"/>
          <w:sz w:val="18"/>
          <w:szCs w:val="18"/>
          <w:lang w:val="nl-NL"/>
        </w:rPr>
        <w:t xml:space="preserve">Hoge Raad der Nederlanden, de </w:t>
      </w:r>
      <w:r w:rsidR="000C28F0" w:rsidRPr="000C28F0">
        <w:rPr>
          <w:rFonts w:ascii="Verdana" w:hAnsi="Verdana"/>
          <w:sz w:val="18"/>
          <w:szCs w:val="18"/>
          <w:lang w:val="nl-NL"/>
        </w:rPr>
        <w:t>Afdeling bestuursrechtspraak, de Centrale Raad van Beroep</w:t>
      </w:r>
      <w:r w:rsidR="000C28F0">
        <w:rPr>
          <w:rFonts w:ascii="Verdana" w:hAnsi="Verdana"/>
          <w:sz w:val="18"/>
          <w:szCs w:val="18"/>
          <w:lang w:val="nl-NL"/>
        </w:rPr>
        <w:t xml:space="preserve"> en</w:t>
      </w:r>
      <w:r w:rsidR="000C28F0" w:rsidRPr="000C28F0">
        <w:rPr>
          <w:rFonts w:ascii="Verdana" w:hAnsi="Verdana"/>
          <w:sz w:val="18"/>
          <w:szCs w:val="18"/>
          <w:lang w:val="nl-NL"/>
        </w:rPr>
        <w:t xml:space="preserve"> het College van Beroep voor het bedrijfsleven</w:t>
      </w:r>
      <w:r w:rsidR="000C28F0">
        <w:rPr>
          <w:rFonts w:ascii="Verdana" w:hAnsi="Verdana"/>
          <w:sz w:val="18"/>
          <w:szCs w:val="18"/>
          <w:lang w:val="nl-NL"/>
        </w:rPr>
        <w:t xml:space="preserve">. Van geen van de vijf gerechten </w:t>
      </w:r>
      <w:r w:rsidR="000C6307">
        <w:rPr>
          <w:rFonts w:ascii="Verdana" w:hAnsi="Verdana"/>
          <w:sz w:val="18"/>
          <w:szCs w:val="18"/>
          <w:lang w:val="nl-NL"/>
        </w:rPr>
        <w:t>zijn</w:t>
      </w:r>
      <w:r w:rsidR="000C28F0">
        <w:rPr>
          <w:rFonts w:ascii="Verdana" w:hAnsi="Verdana"/>
          <w:sz w:val="18"/>
          <w:szCs w:val="18"/>
          <w:lang w:val="nl-NL"/>
        </w:rPr>
        <w:t xml:space="preserve"> bezwaren tegen aanwijzing</w:t>
      </w:r>
      <w:r w:rsidR="000C6307">
        <w:rPr>
          <w:rFonts w:ascii="Verdana" w:hAnsi="Verdana"/>
          <w:sz w:val="18"/>
          <w:szCs w:val="18"/>
          <w:lang w:val="nl-NL"/>
        </w:rPr>
        <w:t xml:space="preserve"> vernomen</w:t>
      </w:r>
      <w:r w:rsidR="000C28F0">
        <w:rPr>
          <w:rFonts w:ascii="Verdana" w:hAnsi="Verdana"/>
          <w:sz w:val="18"/>
          <w:szCs w:val="18"/>
          <w:lang w:val="nl-NL"/>
        </w:rPr>
        <w:t xml:space="preserve">. Onder verwijzing naar de brief </w:t>
      </w:r>
      <w:r w:rsidR="00217C4D">
        <w:rPr>
          <w:rFonts w:ascii="Verdana" w:hAnsi="Verdana"/>
          <w:sz w:val="18"/>
          <w:szCs w:val="18"/>
          <w:lang w:val="nl-NL"/>
        </w:rPr>
        <w:t xml:space="preserve">van de ministers van Binnenlandse Zaken en Koninkrijksrelaties en van Veiligheid en Justitie </w:t>
      </w:r>
      <w:r w:rsidR="000C28F0">
        <w:rPr>
          <w:rFonts w:ascii="Verdana" w:hAnsi="Verdana"/>
          <w:sz w:val="18"/>
          <w:szCs w:val="18"/>
          <w:lang w:val="nl-NL"/>
        </w:rPr>
        <w:t xml:space="preserve">van 26 juni 2014 inzake de </w:t>
      </w:r>
      <w:r w:rsidR="00E44173">
        <w:rPr>
          <w:rFonts w:ascii="Verdana" w:hAnsi="Verdana"/>
          <w:sz w:val="18"/>
          <w:szCs w:val="18"/>
          <w:lang w:val="nl-NL"/>
        </w:rPr>
        <w:t>organisatie van de hoogste bestuursrechtspraak</w:t>
      </w:r>
      <w:r w:rsidR="00217C4D">
        <w:rPr>
          <w:rFonts w:ascii="Verdana" w:hAnsi="Verdana"/>
          <w:sz w:val="18"/>
          <w:szCs w:val="18"/>
          <w:lang w:val="nl-NL"/>
        </w:rPr>
        <w:t xml:space="preserve"> (Kamerstukken I 2013-2014, 30 585 L en 33 750 VI en VII)</w:t>
      </w:r>
      <w:r w:rsidR="000C28F0">
        <w:rPr>
          <w:rFonts w:ascii="Verdana" w:hAnsi="Verdana"/>
          <w:sz w:val="18"/>
          <w:szCs w:val="18"/>
          <w:lang w:val="nl-NL"/>
        </w:rPr>
        <w:t xml:space="preserve">, zij benadrukt dat </w:t>
      </w:r>
      <w:r w:rsidR="000C28F0" w:rsidRPr="000C28F0">
        <w:rPr>
          <w:rFonts w:ascii="Verdana" w:hAnsi="Verdana"/>
          <w:sz w:val="18"/>
          <w:szCs w:val="18"/>
          <w:lang w:val="nl-NL"/>
        </w:rPr>
        <w:t>het een staat vrijstaat om deze aanwijzing op een later tijdstip te herzien.</w:t>
      </w:r>
      <w:r w:rsidR="000C28F0">
        <w:rPr>
          <w:rFonts w:ascii="Verdana" w:hAnsi="Verdana"/>
          <w:sz w:val="18"/>
          <w:szCs w:val="18"/>
          <w:lang w:val="nl-NL"/>
        </w:rPr>
        <w:t xml:space="preserve"> </w:t>
      </w:r>
      <w:r w:rsidR="00B52342">
        <w:rPr>
          <w:rFonts w:ascii="Verdana" w:hAnsi="Verdana"/>
          <w:sz w:val="18"/>
          <w:szCs w:val="18"/>
          <w:lang w:val="nl-NL"/>
        </w:rPr>
        <w:t xml:space="preserve">Ten overvloede merkt </w:t>
      </w:r>
      <w:r w:rsidR="0024200A">
        <w:rPr>
          <w:rFonts w:ascii="Verdana" w:hAnsi="Verdana"/>
          <w:sz w:val="18"/>
          <w:szCs w:val="18"/>
          <w:lang w:val="nl-NL"/>
        </w:rPr>
        <w:t>de regering</w:t>
      </w:r>
      <w:r w:rsidR="00B52342">
        <w:rPr>
          <w:rFonts w:ascii="Verdana" w:hAnsi="Verdana"/>
          <w:sz w:val="18"/>
          <w:szCs w:val="18"/>
          <w:lang w:val="nl-NL"/>
        </w:rPr>
        <w:t xml:space="preserve"> op dat internationaal weinig steun bestond om ook andere actoren, zoals </w:t>
      </w:r>
      <w:r w:rsidR="00B52342" w:rsidRPr="00653F89">
        <w:rPr>
          <w:rFonts w:ascii="Verdana" w:hAnsi="Verdana"/>
          <w:sz w:val="18"/>
          <w:szCs w:val="18"/>
          <w:lang w:val="nl-NL"/>
        </w:rPr>
        <w:t>regeringen en parlementen</w:t>
      </w:r>
      <w:r w:rsidR="00B52342">
        <w:rPr>
          <w:rFonts w:ascii="Verdana" w:hAnsi="Verdana"/>
          <w:sz w:val="18"/>
          <w:szCs w:val="18"/>
          <w:lang w:val="nl-NL"/>
        </w:rPr>
        <w:t>, een recht toe te kennen om advies te vragen.</w:t>
      </w:r>
    </w:p>
    <w:p w:rsidR="00B52342" w:rsidRPr="00D33D50" w:rsidRDefault="00B6720C" w:rsidP="001A68C4">
      <w:pPr>
        <w:spacing w:line="360" w:lineRule="auto"/>
        <w:jc w:val="both"/>
        <w:rPr>
          <w:rFonts w:ascii="Verdana" w:hAnsi="Verdana"/>
          <w:sz w:val="18"/>
          <w:szCs w:val="18"/>
          <w:lang w:val="nl-NL"/>
        </w:rPr>
      </w:pPr>
      <w:r>
        <w:rPr>
          <w:rFonts w:ascii="Verdana" w:hAnsi="Verdana"/>
          <w:sz w:val="18"/>
          <w:szCs w:val="18"/>
          <w:lang w:val="nl-NL"/>
        </w:rPr>
        <w:br w:type="column"/>
      </w:r>
      <w:r w:rsidR="00B52342">
        <w:rPr>
          <w:rFonts w:ascii="Verdana" w:hAnsi="Verdana"/>
          <w:sz w:val="18"/>
          <w:szCs w:val="18"/>
          <w:lang w:val="nl-NL"/>
        </w:rPr>
        <w:lastRenderedPageBreak/>
        <w:t xml:space="preserve">Het eerste lid </w:t>
      </w:r>
      <w:r w:rsidR="00D33D50">
        <w:rPr>
          <w:rFonts w:ascii="Verdana" w:hAnsi="Verdana"/>
          <w:sz w:val="18"/>
          <w:szCs w:val="18"/>
          <w:lang w:val="nl-NL"/>
        </w:rPr>
        <w:t xml:space="preserve">specificeert eveneens waarover een advies kan worden gevraagd, te weten </w:t>
      </w:r>
      <w:r w:rsidR="00D33D50" w:rsidRPr="00D33D50">
        <w:rPr>
          <w:rFonts w:ascii="Verdana" w:hAnsi="Verdana"/>
          <w:sz w:val="18"/>
          <w:szCs w:val="18"/>
          <w:lang w:val="nl-NL"/>
        </w:rPr>
        <w:t xml:space="preserve">principiële </w:t>
      </w:r>
      <w:r w:rsidR="00D33D50">
        <w:rPr>
          <w:rFonts w:ascii="Verdana" w:hAnsi="Verdana"/>
          <w:sz w:val="18"/>
          <w:szCs w:val="18"/>
          <w:lang w:val="nl-NL"/>
        </w:rPr>
        <w:t>(rechts)</w:t>
      </w:r>
      <w:r w:rsidR="00D33D50" w:rsidRPr="00D33D50">
        <w:rPr>
          <w:rFonts w:ascii="Verdana" w:hAnsi="Verdana"/>
          <w:sz w:val="18"/>
          <w:szCs w:val="18"/>
          <w:lang w:val="nl-NL"/>
        </w:rPr>
        <w:t>vragen aangaande de interpretatie of toepassing van de rechten en vrijheden neergelegd in het Verdrag of de daartoe behorende Protocollen</w:t>
      </w:r>
      <w:r w:rsidR="00D33D50">
        <w:rPr>
          <w:rFonts w:ascii="Verdana" w:hAnsi="Verdana"/>
          <w:sz w:val="18"/>
          <w:szCs w:val="18"/>
          <w:lang w:val="nl-NL"/>
        </w:rPr>
        <w:t xml:space="preserve">. De bewoording komt overeen met het voorstel van de </w:t>
      </w:r>
      <w:r w:rsidR="00D33D50">
        <w:rPr>
          <w:rFonts w:ascii="Verdana" w:hAnsi="Verdana"/>
          <w:i/>
          <w:sz w:val="18"/>
          <w:szCs w:val="18"/>
          <w:lang w:val="nl-NL"/>
        </w:rPr>
        <w:t xml:space="preserve">Group of </w:t>
      </w:r>
      <w:proofErr w:type="spellStart"/>
      <w:r w:rsidR="00D33D50">
        <w:rPr>
          <w:rFonts w:ascii="Verdana" w:hAnsi="Verdana"/>
          <w:i/>
          <w:sz w:val="18"/>
          <w:szCs w:val="18"/>
          <w:lang w:val="nl-NL"/>
        </w:rPr>
        <w:t>Wise</w:t>
      </w:r>
      <w:proofErr w:type="spellEnd"/>
      <w:r w:rsidR="00D33D50">
        <w:rPr>
          <w:rFonts w:ascii="Verdana" w:hAnsi="Verdana"/>
          <w:i/>
          <w:sz w:val="18"/>
          <w:szCs w:val="18"/>
          <w:lang w:val="nl-NL"/>
        </w:rPr>
        <w:t xml:space="preserve"> Persons</w:t>
      </w:r>
      <w:r w:rsidR="00D33D50">
        <w:rPr>
          <w:rFonts w:ascii="Verdana" w:hAnsi="Verdana"/>
          <w:sz w:val="18"/>
          <w:szCs w:val="18"/>
          <w:lang w:val="nl-NL"/>
        </w:rPr>
        <w:t xml:space="preserve"> en is in belangrijke mate geïnspireerd door de formulering die </w:t>
      </w:r>
      <w:r w:rsidR="00DB5D96">
        <w:rPr>
          <w:rFonts w:ascii="Verdana" w:hAnsi="Verdana"/>
          <w:sz w:val="18"/>
          <w:szCs w:val="18"/>
          <w:lang w:val="nl-NL"/>
        </w:rPr>
        <w:t>gebezigd</w:t>
      </w:r>
      <w:r w:rsidR="00D33D50">
        <w:rPr>
          <w:rFonts w:ascii="Verdana" w:hAnsi="Verdana"/>
          <w:sz w:val="18"/>
          <w:szCs w:val="18"/>
          <w:lang w:val="nl-NL"/>
        </w:rPr>
        <w:t xml:space="preserve"> wordt in artikel 43, tweede lid, EVRM inzake de verwijzing van een zaak naar de Grote Kamer van het Hof. </w:t>
      </w:r>
      <w:r w:rsidR="00031E2A">
        <w:rPr>
          <w:rFonts w:ascii="Verdana" w:hAnsi="Verdana"/>
          <w:sz w:val="18"/>
          <w:szCs w:val="18"/>
          <w:lang w:val="nl-NL"/>
        </w:rPr>
        <w:t>De tekst van beide bepalingen is echter bewust niet gelijkluidend, aangezien b</w:t>
      </w:r>
      <w:r w:rsidR="00D33D50">
        <w:rPr>
          <w:rFonts w:ascii="Verdana" w:hAnsi="Verdana"/>
          <w:sz w:val="18"/>
          <w:szCs w:val="18"/>
          <w:lang w:val="nl-NL"/>
        </w:rPr>
        <w:t xml:space="preserve">ij de ontstaansgeschiedenis van het Protocol benadrukt </w:t>
      </w:r>
      <w:r w:rsidR="00031E2A">
        <w:rPr>
          <w:rFonts w:ascii="Verdana" w:hAnsi="Verdana"/>
          <w:sz w:val="18"/>
          <w:szCs w:val="18"/>
          <w:lang w:val="nl-NL"/>
        </w:rPr>
        <w:t xml:space="preserve">werd </w:t>
      </w:r>
      <w:r w:rsidR="00D33D50">
        <w:rPr>
          <w:rFonts w:ascii="Verdana" w:hAnsi="Verdana"/>
          <w:sz w:val="18"/>
          <w:szCs w:val="18"/>
          <w:lang w:val="nl-NL"/>
        </w:rPr>
        <w:t>dat de interpretatie van artikel 1 van het Protocol en artikel 43 EVRM uiteen kan lopen, gezien de</w:t>
      </w:r>
      <w:r w:rsidR="00031E2A">
        <w:rPr>
          <w:rFonts w:ascii="Verdana" w:hAnsi="Verdana"/>
          <w:sz w:val="18"/>
          <w:szCs w:val="18"/>
          <w:lang w:val="nl-NL"/>
        </w:rPr>
        <w:t xml:space="preserve"> verschillende aard van beide bepalingen.</w:t>
      </w:r>
    </w:p>
    <w:p w:rsidR="009747FE" w:rsidRDefault="009747FE" w:rsidP="001A68C4">
      <w:pPr>
        <w:spacing w:line="360" w:lineRule="auto"/>
        <w:jc w:val="both"/>
        <w:rPr>
          <w:rFonts w:ascii="Verdana" w:hAnsi="Verdana"/>
          <w:sz w:val="18"/>
          <w:szCs w:val="18"/>
          <w:lang w:val="nl-NL"/>
        </w:rPr>
      </w:pPr>
    </w:p>
    <w:p w:rsidR="00D44FCB" w:rsidRDefault="00D44FCB" w:rsidP="001A68C4">
      <w:pPr>
        <w:spacing w:line="360" w:lineRule="auto"/>
        <w:jc w:val="both"/>
        <w:rPr>
          <w:rFonts w:ascii="Verdana" w:hAnsi="Verdana"/>
          <w:sz w:val="18"/>
          <w:szCs w:val="18"/>
          <w:lang w:val="nl-NL"/>
        </w:rPr>
      </w:pPr>
      <w:r>
        <w:rPr>
          <w:rFonts w:ascii="Verdana" w:hAnsi="Verdana"/>
          <w:sz w:val="18"/>
          <w:szCs w:val="18"/>
          <w:lang w:val="nl-NL"/>
        </w:rPr>
        <w:t xml:space="preserve">Ten slotte brengt het eerste lid tot uitdrukking dat het indienen van een verzoek tot een </w:t>
      </w:r>
      <w:r w:rsidR="00C163B7" w:rsidRPr="00E03B6E">
        <w:rPr>
          <w:rFonts w:ascii="Verdana" w:hAnsi="Verdana"/>
          <w:sz w:val="18"/>
          <w:szCs w:val="18"/>
          <w:lang w:val="nl-NL"/>
        </w:rPr>
        <w:t>advies facultatief</w:t>
      </w:r>
      <w:r>
        <w:rPr>
          <w:rFonts w:ascii="Verdana" w:hAnsi="Verdana"/>
          <w:sz w:val="18"/>
          <w:szCs w:val="18"/>
          <w:lang w:val="nl-NL"/>
        </w:rPr>
        <w:t xml:space="preserve"> is</w:t>
      </w:r>
      <w:r w:rsidR="00A025EC">
        <w:rPr>
          <w:rFonts w:ascii="Verdana" w:hAnsi="Verdana"/>
          <w:sz w:val="18"/>
          <w:szCs w:val="18"/>
          <w:lang w:val="nl-NL"/>
        </w:rPr>
        <w:t xml:space="preserve"> </w:t>
      </w:r>
      <w:r w:rsidR="00A025EC" w:rsidRPr="00E03B6E">
        <w:rPr>
          <w:rFonts w:ascii="Verdana" w:hAnsi="Verdana"/>
          <w:i/>
          <w:sz w:val="18"/>
          <w:szCs w:val="18"/>
          <w:lang w:val="nl-NL"/>
        </w:rPr>
        <w:t>(“</w:t>
      </w:r>
      <w:proofErr w:type="spellStart"/>
      <w:r w:rsidR="00A025EC" w:rsidRPr="00E03B6E">
        <w:rPr>
          <w:rFonts w:ascii="Verdana" w:hAnsi="Verdana"/>
          <w:i/>
          <w:sz w:val="18"/>
          <w:szCs w:val="18"/>
          <w:lang w:val="nl-NL"/>
        </w:rPr>
        <w:t>Highest</w:t>
      </w:r>
      <w:proofErr w:type="spellEnd"/>
      <w:r w:rsidR="00A025EC" w:rsidRPr="00E03B6E">
        <w:rPr>
          <w:rFonts w:ascii="Verdana" w:hAnsi="Verdana"/>
          <w:i/>
          <w:sz w:val="18"/>
          <w:szCs w:val="18"/>
          <w:lang w:val="nl-NL"/>
        </w:rPr>
        <w:t xml:space="preserve"> courts [...] </w:t>
      </w:r>
      <w:proofErr w:type="spellStart"/>
      <w:r w:rsidR="00A025EC" w:rsidRPr="00C163B7">
        <w:rPr>
          <w:rFonts w:ascii="Verdana" w:hAnsi="Verdana"/>
          <w:i/>
          <w:sz w:val="18"/>
          <w:szCs w:val="18"/>
          <w:lang w:val="nl-NL"/>
        </w:rPr>
        <w:t>may</w:t>
      </w:r>
      <w:proofErr w:type="spellEnd"/>
      <w:r w:rsidR="00A025EC" w:rsidRPr="00E03B6E">
        <w:rPr>
          <w:rFonts w:ascii="Verdana" w:hAnsi="Verdana"/>
          <w:i/>
          <w:sz w:val="18"/>
          <w:szCs w:val="18"/>
          <w:lang w:val="nl-NL"/>
        </w:rPr>
        <w:t xml:space="preserve"> </w:t>
      </w:r>
      <w:proofErr w:type="spellStart"/>
      <w:r w:rsidR="00A025EC" w:rsidRPr="00E03B6E">
        <w:rPr>
          <w:rFonts w:ascii="Verdana" w:hAnsi="Verdana"/>
          <w:i/>
          <w:sz w:val="18"/>
          <w:szCs w:val="18"/>
          <w:lang w:val="nl-NL"/>
        </w:rPr>
        <w:t>request</w:t>
      </w:r>
      <w:proofErr w:type="spellEnd"/>
      <w:r w:rsidR="00A025EC" w:rsidRPr="00E03B6E">
        <w:rPr>
          <w:rFonts w:ascii="Verdana" w:hAnsi="Verdana"/>
          <w:i/>
          <w:sz w:val="18"/>
          <w:szCs w:val="18"/>
          <w:lang w:val="nl-NL"/>
        </w:rPr>
        <w:t xml:space="preserve"> the Court [...]”</w:t>
      </w:r>
      <w:r w:rsidR="00A025EC">
        <w:rPr>
          <w:rFonts w:ascii="Verdana" w:hAnsi="Verdana"/>
          <w:sz w:val="18"/>
          <w:szCs w:val="18"/>
          <w:lang w:val="nl-NL"/>
        </w:rPr>
        <w:t>). Een nationaal gerecht is onder geen enkele verplichting om een adviesaanvraag in te dienen. Het staat een nationaal gerecht evenzeer vrij om een ingediende adviesaanvraag in te trekken.</w:t>
      </w:r>
    </w:p>
    <w:p w:rsidR="00354475" w:rsidRPr="000D0695" w:rsidRDefault="009747FE" w:rsidP="001A68C4">
      <w:pPr>
        <w:spacing w:line="360" w:lineRule="auto"/>
        <w:jc w:val="both"/>
        <w:rPr>
          <w:rFonts w:ascii="Verdana" w:hAnsi="Verdana"/>
          <w:sz w:val="18"/>
          <w:szCs w:val="18"/>
          <w:lang w:val="nl-NL"/>
        </w:rPr>
      </w:pPr>
      <w:r>
        <w:rPr>
          <w:rFonts w:ascii="Verdana" w:hAnsi="Verdana"/>
          <w:i/>
          <w:sz w:val="18"/>
          <w:szCs w:val="18"/>
          <w:lang w:val="nl-NL"/>
        </w:rPr>
        <w:t>Lid 2</w:t>
      </w:r>
      <w:r w:rsidR="00E00576" w:rsidRPr="000D0695">
        <w:rPr>
          <w:rFonts w:ascii="Verdana" w:hAnsi="Verdana"/>
          <w:sz w:val="18"/>
          <w:szCs w:val="18"/>
          <w:lang w:val="nl-NL"/>
        </w:rPr>
        <w:t xml:space="preserve"> </w:t>
      </w:r>
    </w:p>
    <w:p w:rsidR="00085490" w:rsidRPr="001A68C4" w:rsidRDefault="001A68C4" w:rsidP="001A68C4">
      <w:pPr>
        <w:spacing w:line="360" w:lineRule="auto"/>
        <w:rPr>
          <w:rFonts w:ascii="Verdana" w:hAnsi="Verdana"/>
          <w:sz w:val="18"/>
          <w:szCs w:val="18"/>
          <w:lang w:val="nl-NL"/>
        </w:rPr>
      </w:pPr>
      <w:r w:rsidRPr="001A68C4">
        <w:rPr>
          <w:rFonts w:ascii="Verdana" w:hAnsi="Verdana"/>
          <w:sz w:val="18"/>
          <w:szCs w:val="18"/>
          <w:lang w:val="nl-NL"/>
        </w:rPr>
        <w:t xml:space="preserve">Het tweede </w:t>
      </w:r>
      <w:r>
        <w:rPr>
          <w:rFonts w:ascii="Verdana" w:hAnsi="Verdana"/>
          <w:sz w:val="18"/>
          <w:szCs w:val="18"/>
          <w:lang w:val="nl-NL"/>
        </w:rPr>
        <w:t>lid verduidelijkt dat een adviesaanvraag slechts kan worden gedaan in relatie tot een bij dat gerecht aanhangige rechtszaak. De nieuwe procedure is niet bedoeld om het Hof een</w:t>
      </w:r>
      <w:r w:rsidR="00C163B7">
        <w:rPr>
          <w:rFonts w:ascii="Verdana" w:hAnsi="Verdana"/>
          <w:sz w:val="18"/>
          <w:szCs w:val="18"/>
          <w:lang w:val="nl-NL"/>
        </w:rPr>
        <w:t xml:space="preserve"> oordeel</w:t>
      </w:r>
      <w:r>
        <w:rPr>
          <w:rFonts w:ascii="Verdana" w:hAnsi="Verdana"/>
          <w:sz w:val="18"/>
          <w:szCs w:val="18"/>
          <w:lang w:val="nl-NL"/>
        </w:rPr>
        <w:t xml:space="preserve"> </w:t>
      </w:r>
      <w:r>
        <w:rPr>
          <w:rFonts w:ascii="Verdana" w:hAnsi="Verdana"/>
          <w:i/>
          <w:sz w:val="18"/>
          <w:szCs w:val="18"/>
          <w:lang w:val="nl-NL"/>
        </w:rPr>
        <w:t>in abstracto</w:t>
      </w:r>
      <w:r>
        <w:rPr>
          <w:rFonts w:ascii="Verdana" w:hAnsi="Verdana"/>
          <w:sz w:val="18"/>
          <w:szCs w:val="18"/>
          <w:lang w:val="nl-NL"/>
        </w:rPr>
        <w:t xml:space="preserve"> over de EVRM-verenigbaarheid van nationale wet- en regelgeving te laten uitspreken.</w:t>
      </w:r>
    </w:p>
    <w:p w:rsidR="009747FE" w:rsidRDefault="009747FE" w:rsidP="001A68C4">
      <w:pPr>
        <w:spacing w:line="360" w:lineRule="auto"/>
        <w:rPr>
          <w:rFonts w:ascii="Verdana" w:hAnsi="Verdana"/>
          <w:b/>
          <w:sz w:val="18"/>
          <w:szCs w:val="18"/>
          <w:lang w:val="nl-NL"/>
        </w:rPr>
      </w:pPr>
    </w:p>
    <w:p w:rsidR="009747FE" w:rsidRDefault="009747FE" w:rsidP="001A68C4">
      <w:pPr>
        <w:spacing w:line="360" w:lineRule="auto"/>
        <w:rPr>
          <w:rFonts w:ascii="Verdana" w:hAnsi="Verdana"/>
          <w:sz w:val="18"/>
          <w:szCs w:val="18"/>
          <w:lang w:val="nl-NL"/>
        </w:rPr>
      </w:pPr>
      <w:r>
        <w:rPr>
          <w:rFonts w:ascii="Verdana" w:hAnsi="Verdana"/>
          <w:i/>
          <w:sz w:val="18"/>
          <w:szCs w:val="18"/>
          <w:lang w:val="nl-NL"/>
        </w:rPr>
        <w:t>Lid 3</w:t>
      </w:r>
    </w:p>
    <w:p w:rsidR="007168DA" w:rsidRDefault="001A68C4" w:rsidP="001A68C4">
      <w:pPr>
        <w:spacing w:line="360" w:lineRule="auto"/>
        <w:rPr>
          <w:rFonts w:ascii="Verdana" w:hAnsi="Verdana"/>
          <w:sz w:val="18"/>
          <w:szCs w:val="18"/>
          <w:lang w:val="nl-NL"/>
        </w:rPr>
      </w:pPr>
      <w:r>
        <w:rPr>
          <w:rFonts w:ascii="Verdana" w:hAnsi="Verdana"/>
          <w:sz w:val="18"/>
          <w:szCs w:val="18"/>
          <w:lang w:val="nl-NL"/>
        </w:rPr>
        <w:t xml:space="preserve">Het derde lid geeft enkele procedurele vereisten </w:t>
      </w:r>
      <w:r w:rsidR="00DB5D96">
        <w:rPr>
          <w:rFonts w:ascii="Verdana" w:hAnsi="Verdana"/>
          <w:sz w:val="18"/>
          <w:szCs w:val="18"/>
          <w:lang w:val="nl-NL"/>
        </w:rPr>
        <w:t>weer</w:t>
      </w:r>
      <w:r>
        <w:rPr>
          <w:rFonts w:ascii="Verdana" w:hAnsi="Verdana"/>
          <w:sz w:val="18"/>
          <w:szCs w:val="18"/>
          <w:lang w:val="nl-NL"/>
        </w:rPr>
        <w:t xml:space="preserve"> waaraan een adviesaanvraag moet voldoen. Zo moet het nationale gerecht de redenen aangeven voor de adviesaanvraag en tevens de relevante juridische en feitelijke context van de zaak schetsen aan het EHRM. </w:t>
      </w:r>
      <w:r w:rsidR="00A155D9">
        <w:rPr>
          <w:rFonts w:ascii="Verdana" w:hAnsi="Verdana"/>
          <w:sz w:val="18"/>
          <w:szCs w:val="18"/>
          <w:lang w:val="nl-NL"/>
        </w:rPr>
        <w:t xml:space="preserve">Bij de formulering van het derde lid </w:t>
      </w:r>
      <w:r w:rsidRPr="00A155D9">
        <w:rPr>
          <w:rFonts w:ascii="Verdana" w:hAnsi="Verdana"/>
          <w:sz w:val="18"/>
          <w:szCs w:val="18"/>
          <w:lang w:val="nl-NL"/>
        </w:rPr>
        <w:t xml:space="preserve">is inspiratie ontleend aan de </w:t>
      </w:r>
      <w:r w:rsidRPr="00A155D9">
        <w:rPr>
          <w:rFonts w:ascii="Verdana" w:hAnsi="Verdana"/>
          <w:i/>
          <w:sz w:val="18"/>
          <w:szCs w:val="18"/>
          <w:lang w:val="nl-NL"/>
        </w:rPr>
        <w:t xml:space="preserve">Information </w:t>
      </w:r>
      <w:proofErr w:type="spellStart"/>
      <w:r w:rsidRPr="00A155D9">
        <w:rPr>
          <w:rFonts w:ascii="Verdana" w:hAnsi="Verdana"/>
          <w:i/>
          <w:sz w:val="18"/>
          <w:szCs w:val="18"/>
          <w:lang w:val="nl-NL"/>
        </w:rPr>
        <w:t>Note</w:t>
      </w:r>
      <w:proofErr w:type="spellEnd"/>
      <w:r w:rsidRPr="00A155D9">
        <w:rPr>
          <w:rFonts w:ascii="Verdana" w:hAnsi="Verdana"/>
          <w:i/>
          <w:sz w:val="18"/>
          <w:szCs w:val="18"/>
          <w:lang w:val="nl-NL"/>
        </w:rPr>
        <w:t xml:space="preserve"> on </w:t>
      </w:r>
      <w:proofErr w:type="spellStart"/>
      <w:r w:rsidRPr="00A155D9">
        <w:rPr>
          <w:rFonts w:ascii="Verdana" w:hAnsi="Verdana"/>
          <w:i/>
          <w:sz w:val="18"/>
          <w:szCs w:val="18"/>
          <w:lang w:val="nl-NL"/>
        </w:rPr>
        <w:t>references</w:t>
      </w:r>
      <w:proofErr w:type="spellEnd"/>
      <w:r w:rsidRPr="00A155D9">
        <w:rPr>
          <w:rFonts w:ascii="Verdana" w:hAnsi="Verdana"/>
          <w:i/>
          <w:sz w:val="18"/>
          <w:szCs w:val="18"/>
          <w:lang w:val="nl-NL"/>
        </w:rPr>
        <w:t xml:space="preserve"> </w:t>
      </w:r>
      <w:proofErr w:type="spellStart"/>
      <w:r w:rsidRPr="00A155D9">
        <w:rPr>
          <w:rFonts w:ascii="Verdana" w:hAnsi="Verdana"/>
          <w:i/>
          <w:sz w:val="18"/>
          <w:szCs w:val="18"/>
          <w:lang w:val="nl-NL"/>
        </w:rPr>
        <w:t>from</w:t>
      </w:r>
      <w:proofErr w:type="spellEnd"/>
      <w:r w:rsidRPr="00A155D9">
        <w:rPr>
          <w:rFonts w:ascii="Verdana" w:hAnsi="Verdana"/>
          <w:i/>
          <w:sz w:val="18"/>
          <w:szCs w:val="18"/>
          <w:lang w:val="nl-NL"/>
        </w:rPr>
        <w:t xml:space="preserve"> </w:t>
      </w:r>
      <w:proofErr w:type="spellStart"/>
      <w:r w:rsidRPr="00A155D9">
        <w:rPr>
          <w:rFonts w:ascii="Verdana" w:hAnsi="Verdana"/>
          <w:i/>
          <w:sz w:val="18"/>
          <w:szCs w:val="18"/>
          <w:lang w:val="nl-NL"/>
        </w:rPr>
        <w:t>national</w:t>
      </w:r>
      <w:proofErr w:type="spellEnd"/>
      <w:r w:rsidRPr="00A155D9">
        <w:rPr>
          <w:rFonts w:ascii="Verdana" w:hAnsi="Verdana"/>
          <w:i/>
          <w:sz w:val="18"/>
          <w:szCs w:val="18"/>
          <w:lang w:val="nl-NL"/>
        </w:rPr>
        <w:t xml:space="preserve"> courts </w:t>
      </w:r>
      <w:proofErr w:type="spellStart"/>
      <w:r w:rsidRPr="00A155D9">
        <w:rPr>
          <w:rFonts w:ascii="Verdana" w:hAnsi="Verdana"/>
          <w:i/>
          <w:sz w:val="18"/>
          <w:szCs w:val="18"/>
          <w:lang w:val="nl-NL"/>
        </w:rPr>
        <w:t>for</w:t>
      </w:r>
      <w:proofErr w:type="spellEnd"/>
      <w:r w:rsidRPr="00A155D9">
        <w:rPr>
          <w:rFonts w:ascii="Verdana" w:hAnsi="Verdana"/>
          <w:i/>
          <w:sz w:val="18"/>
          <w:szCs w:val="18"/>
          <w:lang w:val="nl-NL"/>
        </w:rPr>
        <w:t xml:space="preserve"> a </w:t>
      </w:r>
      <w:proofErr w:type="spellStart"/>
      <w:r w:rsidRPr="00A155D9">
        <w:rPr>
          <w:rFonts w:ascii="Verdana" w:hAnsi="Verdana"/>
          <w:i/>
          <w:sz w:val="18"/>
          <w:szCs w:val="18"/>
          <w:lang w:val="nl-NL"/>
        </w:rPr>
        <w:t>preliminary</w:t>
      </w:r>
      <w:proofErr w:type="spellEnd"/>
      <w:r w:rsidRPr="00A155D9">
        <w:rPr>
          <w:rFonts w:ascii="Verdana" w:hAnsi="Verdana"/>
          <w:i/>
          <w:sz w:val="18"/>
          <w:szCs w:val="18"/>
          <w:lang w:val="nl-NL"/>
        </w:rPr>
        <w:t xml:space="preserve"> ruling</w:t>
      </w:r>
      <w:r w:rsidRPr="00A155D9">
        <w:rPr>
          <w:rFonts w:ascii="Verdana" w:hAnsi="Verdana"/>
          <w:sz w:val="18"/>
          <w:szCs w:val="18"/>
          <w:lang w:val="nl-NL"/>
        </w:rPr>
        <w:t xml:space="preserve"> (OJEU 2011 C 160, p. 1). Het derde lid heeft tot doel om het EHRM in staat te stellen haar taak op een zinvolle wijze te kunnen uitoefenen, maar ook om het nationale gerecht te verplichten stil te staan bij </w:t>
      </w:r>
      <w:r w:rsidR="00FC5A34">
        <w:rPr>
          <w:rFonts w:ascii="Verdana" w:hAnsi="Verdana"/>
          <w:sz w:val="18"/>
          <w:szCs w:val="18"/>
          <w:lang w:val="nl-NL"/>
        </w:rPr>
        <w:t xml:space="preserve">nut en </w:t>
      </w:r>
      <w:r w:rsidRPr="00A155D9">
        <w:rPr>
          <w:rFonts w:ascii="Verdana" w:hAnsi="Verdana"/>
          <w:sz w:val="18"/>
          <w:szCs w:val="18"/>
          <w:lang w:val="nl-NL"/>
        </w:rPr>
        <w:t>noodzaak van een adviesaanvraag.</w:t>
      </w:r>
      <w:r w:rsidR="00A155D9">
        <w:rPr>
          <w:rFonts w:ascii="Verdana" w:hAnsi="Verdana"/>
          <w:sz w:val="18"/>
          <w:szCs w:val="18"/>
          <w:lang w:val="nl-NL"/>
        </w:rPr>
        <w:t xml:space="preserve"> Bij het schetsen van de juridische en feitelijke context van de zaak dient een nationaal gerecht in ieder geval aandacht te besteden aan: de rechtsvraag van de aanhangige rechtszaak en de relevante feiten zoals die zijn vastgesteld in de nationale procedure, de relevante bepalingen van nationale wet- en regelgeving, de relevante </w:t>
      </w:r>
      <w:r w:rsidR="00FC5A34">
        <w:rPr>
          <w:rFonts w:ascii="Verdana" w:hAnsi="Verdana"/>
          <w:sz w:val="18"/>
          <w:szCs w:val="18"/>
          <w:lang w:val="nl-NL"/>
        </w:rPr>
        <w:t>v</w:t>
      </w:r>
      <w:r w:rsidR="00A155D9">
        <w:rPr>
          <w:rFonts w:ascii="Verdana" w:hAnsi="Verdana"/>
          <w:sz w:val="18"/>
          <w:szCs w:val="18"/>
          <w:lang w:val="nl-NL"/>
        </w:rPr>
        <w:t>erdragsbepalingen die in het geding zijn, een samenvatting van de juridische argumenten van de procespartijen, en zo mogelijk en voor zover gepast een verklaring inzake de analyse die het nationale gerecht zelf heeft gemaakt. Een nationaal gerecht zal echter in het licht van de vereiste rechterlijke onpartijdigheid voorzichtigheid in acht moeten nemen bij het opstellen van laatstgenoemde analyse.</w:t>
      </w:r>
      <w:r w:rsidR="00F20021">
        <w:rPr>
          <w:rFonts w:ascii="Verdana" w:hAnsi="Verdana"/>
          <w:sz w:val="18"/>
          <w:szCs w:val="18"/>
          <w:lang w:val="nl-NL"/>
        </w:rPr>
        <w:t xml:space="preserve"> Ten overvloede merkt </w:t>
      </w:r>
      <w:r w:rsidR="0024200A">
        <w:rPr>
          <w:rFonts w:ascii="Verdana" w:hAnsi="Verdana"/>
          <w:sz w:val="18"/>
          <w:szCs w:val="18"/>
          <w:lang w:val="nl-NL"/>
        </w:rPr>
        <w:t>de regering</w:t>
      </w:r>
      <w:r w:rsidR="009B6BF8">
        <w:rPr>
          <w:rFonts w:ascii="Verdana" w:hAnsi="Verdana"/>
          <w:sz w:val="18"/>
          <w:szCs w:val="18"/>
          <w:lang w:val="nl-NL"/>
        </w:rPr>
        <w:t xml:space="preserve"> </w:t>
      </w:r>
      <w:r w:rsidR="00F20021">
        <w:rPr>
          <w:rFonts w:ascii="Verdana" w:hAnsi="Verdana"/>
          <w:sz w:val="18"/>
          <w:szCs w:val="18"/>
          <w:lang w:val="nl-NL"/>
        </w:rPr>
        <w:t>op dat een nationaal gerecht niet noodzakelijkerwijze zelf feiten dient vast te stellen teneinde in staat te zijn om de feitelijke context van een zaak te schetsen.</w:t>
      </w:r>
      <w:r w:rsidR="00F549E2">
        <w:rPr>
          <w:rFonts w:ascii="Verdana" w:hAnsi="Verdana"/>
          <w:sz w:val="18"/>
          <w:szCs w:val="18"/>
          <w:lang w:val="nl-NL"/>
        </w:rPr>
        <w:t xml:space="preserve"> </w:t>
      </w:r>
      <w:r w:rsidR="000C28F0">
        <w:rPr>
          <w:rFonts w:ascii="Verdana" w:hAnsi="Verdana"/>
          <w:sz w:val="18"/>
          <w:szCs w:val="18"/>
          <w:lang w:val="nl-NL"/>
        </w:rPr>
        <w:t>Het ligt in de rede dat het nationale gerecht dat een</w:t>
      </w:r>
    </w:p>
    <w:p w:rsidR="009747FE" w:rsidRPr="00A155D9" w:rsidRDefault="007168DA" w:rsidP="001A68C4">
      <w:pPr>
        <w:spacing w:line="360" w:lineRule="auto"/>
        <w:rPr>
          <w:rFonts w:ascii="Verdana" w:hAnsi="Verdana"/>
          <w:sz w:val="18"/>
          <w:szCs w:val="18"/>
          <w:lang w:val="nl-NL"/>
        </w:rPr>
      </w:pPr>
      <w:r>
        <w:rPr>
          <w:rFonts w:ascii="Verdana" w:hAnsi="Verdana"/>
          <w:sz w:val="18"/>
          <w:szCs w:val="18"/>
          <w:lang w:val="nl-NL"/>
        </w:rPr>
        <w:br w:type="column"/>
      </w:r>
      <w:r w:rsidR="000C28F0">
        <w:rPr>
          <w:rFonts w:ascii="Verdana" w:hAnsi="Verdana"/>
          <w:sz w:val="18"/>
          <w:szCs w:val="18"/>
          <w:lang w:val="nl-NL"/>
        </w:rPr>
        <w:lastRenderedPageBreak/>
        <w:t xml:space="preserve">adviesaanvraag wenst in te dienen bij het EHRM de betrokken partijen in staat stelt zich uit te spreken over het feitenrelaas zoals dit zal worden voorgelegd aan het EHRM, zeker als vaststelling van de feiten nog een onderdeel is van het geschil in de lopende procedure. </w:t>
      </w:r>
      <w:r w:rsidR="00F549E2">
        <w:rPr>
          <w:rFonts w:ascii="Verdana" w:hAnsi="Verdana"/>
          <w:sz w:val="18"/>
          <w:szCs w:val="18"/>
          <w:lang w:val="nl-NL"/>
        </w:rPr>
        <w:t xml:space="preserve">Ten slotte dient hier opgemerkt te worden dat het EHRM een adviesaanvraag </w:t>
      </w:r>
      <w:r w:rsidR="00B605DF">
        <w:rPr>
          <w:rFonts w:ascii="Verdana" w:hAnsi="Verdana"/>
          <w:sz w:val="18"/>
          <w:szCs w:val="18"/>
          <w:lang w:val="nl-NL"/>
        </w:rPr>
        <w:t xml:space="preserve">– evenals bij individuele verzoekschriften - kan ontvangen </w:t>
      </w:r>
      <w:r w:rsidR="00F549E2">
        <w:rPr>
          <w:rFonts w:ascii="Verdana" w:hAnsi="Verdana"/>
          <w:sz w:val="18"/>
          <w:szCs w:val="18"/>
          <w:lang w:val="nl-NL"/>
        </w:rPr>
        <w:t xml:space="preserve">in </w:t>
      </w:r>
      <w:r w:rsidR="00B605DF">
        <w:rPr>
          <w:rFonts w:ascii="Verdana" w:hAnsi="Verdana"/>
          <w:sz w:val="18"/>
          <w:szCs w:val="18"/>
          <w:lang w:val="nl-NL"/>
        </w:rPr>
        <w:t xml:space="preserve">een andere taal dan </w:t>
      </w:r>
      <w:r w:rsidR="00F549E2">
        <w:rPr>
          <w:rFonts w:ascii="Verdana" w:hAnsi="Verdana"/>
          <w:sz w:val="18"/>
          <w:szCs w:val="18"/>
          <w:lang w:val="nl-NL"/>
        </w:rPr>
        <w:t xml:space="preserve">de officiële talen van het Hof (Engels of Frans). Een </w:t>
      </w:r>
      <w:r w:rsidR="0024200A">
        <w:rPr>
          <w:rFonts w:ascii="Verdana" w:hAnsi="Verdana"/>
          <w:sz w:val="18"/>
          <w:szCs w:val="18"/>
          <w:lang w:val="nl-NL"/>
        </w:rPr>
        <w:t xml:space="preserve">Nederlands </w:t>
      </w:r>
      <w:r w:rsidR="00F549E2">
        <w:rPr>
          <w:rFonts w:ascii="Verdana" w:hAnsi="Verdana"/>
          <w:sz w:val="18"/>
          <w:szCs w:val="18"/>
          <w:lang w:val="nl-NL"/>
        </w:rPr>
        <w:t>verwijzend gerecht kan derhalve gebruik maken van het Nederlands.</w:t>
      </w:r>
    </w:p>
    <w:p w:rsidR="009747FE" w:rsidRPr="00A155D9" w:rsidRDefault="009747FE" w:rsidP="001A68C4">
      <w:pPr>
        <w:spacing w:line="360" w:lineRule="auto"/>
        <w:rPr>
          <w:rFonts w:ascii="Verdana" w:hAnsi="Verdana"/>
          <w:b/>
          <w:sz w:val="18"/>
          <w:szCs w:val="18"/>
          <w:lang w:val="nl-NL"/>
        </w:rPr>
      </w:pPr>
    </w:p>
    <w:p w:rsidR="00354475" w:rsidRPr="000D0695" w:rsidRDefault="00354475" w:rsidP="001A68C4">
      <w:pPr>
        <w:spacing w:line="360" w:lineRule="auto"/>
        <w:jc w:val="both"/>
        <w:rPr>
          <w:rFonts w:ascii="Verdana" w:hAnsi="Verdana"/>
          <w:b/>
          <w:sz w:val="18"/>
          <w:szCs w:val="18"/>
          <w:lang w:val="nl-NL"/>
        </w:rPr>
      </w:pPr>
      <w:r w:rsidRPr="000D0695">
        <w:rPr>
          <w:rFonts w:ascii="Verdana" w:hAnsi="Verdana"/>
          <w:b/>
          <w:sz w:val="18"/>
          <w:szCs w:val="18"/>
          <w:lang w:val="nl-NL"/>
        </w:rPr>
        <w:t>Artikel 2</w:t>
      </w:r>
    </w:p>
    <w:p w:rsidR="00FB7CEF" w:rsidRPr="00F549E2" w:rsidRDefault="00F549E2" w:rsidP="001A68C4">
      <w:pPr>
        <w:spacing w:line="360" w:lineRule="auto"/>
        <w:jc w:val="both"/>
        <w:rPr>
          <w:rFonts w:ascii="Verdana" w:hAnsi="Verdana"/>
          <w:i/>
          <w:sz w:val="18"/>
          <w:szCs w:val="18"/>
          <w:lang w:val="nl-NL"/>
        </w:rPr>
      </w:pPr>
      <w:r>
        <w:rPr>
          <w:rFonts w:ascii="Verdana" w:hAnsi="Verdana"/>
          <w:i/>
          <w:sz w:val="18"/>
          <w:szCs w:val="18"/>
          <w:lang w:val="nl-NL"/>
        </w:rPr>
        <w:t>Lid 1</w:t>
      </w:r>
    </w:p>
    <w:p w:rsidR="00F549E2" w:rsidRDefault="00111496" w:rsidP="00217C4D">
      <w:pPr>
        <w:spacing w:line="360" w:lineRule="auto"/>
        <w:jc w:val="both"/>
        <w:rPr>
          <w:rFonts w:ascii="Verdana" w:hAnsi="Verdana"/>
          <w:sz w:val="18"/>
          <w:szCs w:val="18"/>
          <w:lang w:val="nl-NL"/>
        </w:rPr>
      </w:pPr>
      <w:r>
        <w:rPr>
          <w:rFonts w:ascii="Verdana" w:hAnsi="Verdana"/>
          <w:sz w:val="18"/>
          <w:szCs w:val="18"/>
          <w:lang w:val="nl-NL"/>
        </w:rPr>
        <w:t>Het eerste lid beschrijft de procedure binnen het EHRM om te bepalen of een bepaalde adviesaanvraag in behandeling wordt genomen.</w:t>
      </w:r>
      <w:r w:rsidR="00BB7830">
        <w:rPr>
          <w:rFonts w:ascii="Verdana" w:hAnsi="Verdana"/>
          <w:sz w:val="18"/>
          <w:szCs w:val="18"/>
          <w:lang w:val="nl-NL"/>
        </w:rPr>
        <w:t xml:space="preserve"> </w:t>
      </w:r>
      <w:r w:rsidR="00C76A23">
        <w:rPr>
          <w:rFonts w:ascii="Verdana" w:hAnsi="Verdana"/>
          <w:sz w:val="18"/>
          <w:szCs w:val="18"/>
          <w:lang w:val="nl-NL"/>
        </w:rPr>
        <w:t xml:space="preserve">Het eerste </w:t>
      </w:r>
      <w:r w:rsidR="004B4FF0">
        <w:rPr>
          <w:rFonts w:ascii="Verdana" w:hAnsi="Verdana"/>
          <w:sz w:val="18"/>
          <w:szCs w:val="18"/>
          <w:lang w:val="nl-NL"/>
        </w:rPr>
        <w:t>lid verduidelijkt dat het Hof een discreti</w:t>
      </w:r>
      <w:r w:rsidR="0024200A">
        <w:rPr>
          <w:rFonts w:ascii="Verdana" w:hAnsi="Verdana"/>
          <w:sz w:val="18"/>
          <w:szCs w:val="18"/>
          <w:lang w:val="nl-NL"/>
        </w:rPr>
        <w:t>onair</w:t>
      </w:r>
      <w:r w:rsidR="004B4FF0">
        <w:rPr>
          <w:rFonts w:ascii="Verdana" w:hAnsi="Verdana"/>
          <w:sz w:val="18"/>
          <w:szCs w:val="18"/>
          <w:lang w:val="nl-NL"/>
        </w:rPr>
        <w:t>e</w:t>
      </w:r>
      <w:r w:rsidR="0024200A">
        <w:rPr>
          <w:rFonts w:ascii="Verdana" w:hAnsi="Verdana"/>
          <w:sz w:val="18"/>
          <w:szCs w:val="18"/>
          <w:lang w:val="nl-NL"/>
        </w:rPr>
        <w:t xml:space="preserve"> bevoegdheid</w:t>
      </w:r>
      <w:r w:rsidR="004B4FF0">
        <w:rPr>
          <w:rFonts w:ascii="Verdana" w:hAnsi="Verdana"/>
          <w:sz w:val="18"/>
          <w:szCs w:val="18"/>
          <w:lang w:val="nl-NL"/>
        </w:rPr>
        <w:t xml:space="preserve"> heeft om een adviesaanvraag in behandeling te nemen of niet. Het Hof is niet verplicht om elke adviesaanvraag ook daadwerkelijk te beantwoorden. Zo zal het Hof moeten vaststellen of voldaan is aan de (procedurele) eisen zoals die voortvloeien uit artikel 1 van </w:t>
      </w:r>
      <w:r w:rsidR="008E7D80">
        <w:rPr>
          <w:rFonts w:ascii="Verdana" w:hAnsi="Verdana"/>
          <w:sz w:val="18"/>
          <w:szCs w:val="18"/>
          <w:lang w:val="nl-NL"/>
        </w:rPr>
        <w:t>P</w:t>
      </w:r>
      <w:r w:rsidR="004B4FF0">
        <w:rPr>
          <w:rFonts w:ascii="Verdana" w:hAnsi="Verdana"/>
          <w:sz w:val="18"/>
          <w:szCs w:val="18"/>
          <w:lang w:val="nl-NL"/>
        </w:rPr>
        <w:t>rotocol</w:t>
      </w:r>
      <w:r w:rsidR="00217C4D">
        <w:rPr>
          <w:rFonts w:ascii="Verdana" w:hAnsi="Verdana"/>
          <w:sz w:val="18"/>
          <w:szCs w:val="18"/>
          <w:lang w:val="nl-NL"/>
        </w:rPr>
        <w:t xml:space="preserve"> nr. 16</w:t>
      </w:r>
      <w:r w:rsidR="004B4FF0">
        <w:rPr>
          <w:rFonts w:ascii="Verdana" w:hAnsi="Verdana"/>
          <w:sz w:val="18"/>
          <w:szCs w:val="18"/>
          <w:lang w:val="nl-NL"/>
        </w:rPr>
        <w:t xml:space="preserve">. </w:t>
      </w:r>
      <w:r w:rsidR="00AB3289">
        <w:rPr>
          <w:rFonts w:ascii="Verdana" w:hAnsi="Verdana"/>
          <w:sz w:val="18"/>
          <w:szCs w:val="18"/>
          <w:lang w:val="nl-NL"/>
        </w:rPr>
        <w:t xml:space="preserve">Echter, werklast zal geen autonome reden mogen zijn voor het Hof om een adviesaanvraag te weigeren. </w:t>
      </w:r>
      <w:r w:rsidR="00CD4453">
        <w:rPr>
          <w:rFonts w:ascii="Verdana" w:hAnsi="Verdana"/>
          <w:sz w:val="18"/>
          <w:szCs w:val="18"/>
          <w:lang w:val="nl-NL"/>
        </w:rPr>
        <w:t>Indien een adviesaanvraag voldoet aan deze eisen mag verwacht worden dat het Hof de adviesaanvraag in behandeling neemt. Het zou de dialoog met de hoogste nationale rechters schaden indien een adviesaanvraag die voldoet aan de in artikel 1 neergelegde eisen terzijde wordt geschoven door het Hof. Om die reden wordt het Hof ook verplicht om redenen aan te geven indien een adviesaanvraag wordt geweigerd. Op deze wijze kan het EHRM ook een nadere duiding geven van de in artikel 1 neergelegde eisen, zodat nationale gerechten hiermee rekening kunnen houden bij toekomstige adviesaanvragen. De beslissing om een adviesaanvraag te accepteren of te weigeren is opgedragen aan een panel van vijf rechters van de Grote Kamer conform het bepaalde in artikel 43 EVRM. Indien een adviesaanvraag in behandeling wordt genomen, informeert het Hof de betrokken Verdragsluitende Partij hierover.</w:t>
      </w:r>
    </w:p>
    <w:p w:rsidR="00C76A23" w:rsidRDefault="00C76A23" w:rsidP="001A68C4">
      <w:pPr>
        <w:spacing w:line="360" w:lineRule="auto"/>
        <w:jc w:val="both"/>
        <w:rPr>
          <w:rFonts w:ascii="Verdana" w:hAnsi="Verdana"/>
          <w:sz w:val="18"/>
          <w:szCs w:val="18"/>
          <w:lang w:val="nl-NL"/>
        </w:rPr>
      </w:pPr>
    </w:p>
    <w:p w:rsidR="00F549E2" w:rsidRPr="00F549E2" w:rsidRDefault="00F549E2" w:rsidP="001A68C4">
      <w:pPr>
        <w:spacing w:line="360" w:lineRule="auto"/>
        <w:jc w:val="both"/>
        <w:rPr>
          <w:rFonts w:ascii="Verdana" w:hAnsi="Verdana"/>
          <w:i/>
          <w:sz w:val="18"/>
          <w:szCs w:val="18"/>
          <w:lang w:val="nl-NL"/>
        </w:rPr>
      </w:pPr>
      <w:r>
        <w:rPr>
          <w:rFonts w:ascii="Verdana" w:hAnsi="Verdana"/>
          <w:i/>
          <w:sz w:val="18"/>
          <w:szCs w:val="18"/>
          <w:lang w:val="nl-NL"/>
        </w:rPr>
        <w:t>Lid 2</w:t>
      </w:r>
    </w:p>
    <w:p w:rsidR="007168DA" w:rsidRDefault="00111496" w:rsidP="00BD6277">
      <w:pPr>
        <w:spacing w:line="360" w:lineRule="auto"/>
        <w:jc w:val="both"/>
        <w:rPr>
          <w:rFonts w:ascii="Verdana" w:hAnsi="Verdana"/>
          <w:sz w:val="18"/>
          <w:szCs w:val="18"/>
          <w:lang w:val="nl-NL"/>
        </w:rPr>
      </w:pPr>
      <w:r>
        <w:rPr>
          <w:rFonts w:ascii="Verdana" w:hAnsi="Verdana"/>
          <w:sz w:val="18"/>
          <w:szCs w:val="18"/>
          <w:lang w:val="nl-NL"/>
        </w:rPr>
        <w:t xml:space="preserve">Het </w:t>
      </w:r>
      <w:r w:rsidR="00A941AE">
        <w:rPr>
          <w:rFonts w:ascii="Verdana" w:hAnsi="Verdana"/>
          <w:sz w:val="18"/>
          <w:szCs w:val="18"/>
          <w:lang w:val="nl-NL"/>
        </w:rPr>
        <w:t xml:space="preserve">tweede lid </w:t>
      </w:r>
      <w:r w:rsidR="00346945">
        <w:rPr>
          <w:rFonts w:ascii="Verdana" w:hAnsi="Verdana"/>
          <w:sz w:val="18"/>
          <w:szCs w:val="18"/>
          <w:lang w:val="nl-NL"/>
        </w:rPr>
        <w:t xml:space="preserve">verduidelijkt dat de Grote Kamer van het Hof het gremium zal zijn binnen het Hof om een </w:t>
      </w:r>
      <w:r w:rsidR="00DF58ED" w:rsidRPr="0068113F">
        <w:rPr>
          <w:rFonts w:ascii="Verdana" w:hAnsi="Verdana"/>
          <w:sz w:val="18"/>
          <w:szCs w:val="18"/>
          <w:lang w:val="nl-NL"/>
        </w:rPr>
        <w:t>advies</w:t>
      </w:r>
      <w:r w:rsidR="00346945">
        <w:rPr>
          <w:rFonts w:ascii="Verdana" w:hAnsi="Verdana"/>
          <w:sz w:val="18"/>
          <w:szCs w:val="18"/>
          <w:lang w:val="nl-NL"/>
        </w:rPr>
        <w:t xml:space="preserve"> te geven. Het is gepast deze taak op te dragen aan de Grote Kamer gezien de aard van de vragen waarover een </w:t>
      </w:r>
      <w:r w:rsidR="00DF58ED" w:rsidRPr="0068113F">
        <w:rPr>
          <w:rFonts w:ascii="Verdana" w:hAnsi="Verdana"/>
          <w:sz w:val="18"/>
          <w:szCs w:val="18"/>
          <w:lang w:val="nl-NL"/>
        </w:rPr>
        <w:t>advies</w:t>
      </w:r>
      <w:r w:rsidR="00346945">
        <w:rPr>
          <w:rFonts w:ascii="Verdana" w:hAnsi="Verdana"/>
          <w:sz w:val="18"/>
          <w:szCs w:val="18"/>
          <w:lang w:val="nl-NL"/>
        </w:rPr>
        <w:t xml:space="preserve"> mag worden gevraagd en het feit dat alleen de hoogste nationale gerechten dergelijke adviesaanvragen kunnen richten aan het Hof. </w:t>
      </w:r>
      <w:r w:rsidR="0024200A">
        <w:rPr>
          <w:rFonts w:ascii="Verdana" w:hAnsi="Verdana"/>
          <w:sz w:val="18"/>
          <w:szCs w:val="18"/>
          <w:lang w:val="nl-NL"/>
        </w:rPr>
        <w:t>H</w:t>
      </w:r>
      <w:r w:rsidR="00D74BEF">
        <w:rPr>
          <w:rFonts w:ascii="Verdana" w:hAnsi="Verdana"/>
          <w:sz w:val="18"/>
          <w:szCs w:val="18"/>
          <w:lang w:val="nl-NL"/>
        </w:rPr>
        <w:t>et Protocol stipuleert niet dat een adviesaanvraag binnen een voorgeschreven periode dient te zijn afgedaan. Prioritering van het werk is een zaak van het Hof zelf, al is wel de verwachting uitgesproken dat het Hof hoge prioriteit aan deze adviesaanvragen zal toekennen</w:t>
      </w:r>
      <w:r w:rsidR="00DF58ED">
        <w:rPr>
          <w:rFonts w:ascii="Verdana" w:hAnsi="Verdana"/>
          <w:sz w:val="18"/>
          <w:szCs w:val="18"/>
          <w:lang w:val="nl-NL"/>
        </w:rPr>
        <w:t>, o</w:t>
      </w:r>
      <w:r w:rsidR="00D74BEF">
        <w:rPr>
          <w:rFonts w:ascii="Verdana" w:hAnsi="Verdana"/>
          <w:sz w:val="18"/>
          <w:szCs w:val="18"/>
          <w:lang w:val="nl-NL"/>
        </w:rPr>
        <w:t xml:space="preserve">ok al </w:t>
      </w:r>
      <w:r w:rsidR="00DF58ED">
        <w:rPr>
          <w:rFonts w:ascii="Verdana" w:hAnsi="Verdana"/>
          <w:sz w:val="18"/>
          <w:szCs w:val="18"/>
          <w:lang w:val="nl-NL"/>
        </w:rPr>
        <w:t>om</w:t>
      </w:r>
      <w:r w:rsidR="00D74BEF">
        <w:rPr>
          <w:rFonts w:ascii="Verdana" w:hAnsi="Verdana"/>
          <w:sz w:val="18"/>
          <w:szCs w:val="18"/>
          <w:lang w:val="nl-NL"/>
        </w:rPr>
        <w:t>dat de nationale procedure in de onderliggende bij het nationale gerecht aanhangige rechtszaak aangehouden dient te worden zolang het EHRM zich buigt over de adviesaanvraag.</w:t>
      </w:r>
      <w:r w:rsidR="00D60D23">
        <w:rPr>
          <w:rFonts w:ascii="Verdana" w:hAnsi="Verdana"/>
          <w:sz w:val="18"/>
          <w:szCs w:val="18"/>
          <w:lang w:val="nl-NL"/>
        </w:rPr>
        <w:t xml:space="preserve"> </w:t>
      </w:r>
      <w:r w:rsidR="00D60D23" w:rsidRPr="00D60D23">
        <w:rPr>
          <w:rFonts w:ascii="Verdana" w:hAnsi="Verdana"/>
          <w:sz w:val="18"/>
          <w:szCs w:val="18"/>
          <w:lang w:val="nl-NL"/>
        </w:rPr>
        <w:t>Het is aan het nationale gerecht om een afweging te maken of het nut van het verkrijgen van</w:t>
      </w:r>
    </w:p>
    <w:p w:rsidR="00F549E2" w:rsidRPr="007F6250" w:rsidRDefault="007168DA" w:rsidP="00BD6277">
      <w:pPr>
        <w:spacing w:line="360" w:lineRule="auto"/>
        <w:jc w:val="both"/>
        <w:rPr>
          <w:rFonts w:ascii="Verdana" w:hAnsi="Verdana"/>
          <w:sz w:val="18"/>
          <w:szCs w:val="18"/>
          <w:lang w:val="nl-NL"/>
        </w:rPr>
      </w:pPr>
      <w:r>
        <w:rPr>
          <w:rFonts w:ascii="Verdana" w:hAnsi="Verdana"/>
          <w:sz w:val="18"/>
          <w:szCs w:val="18"/>
          <w:lang w:val="nl-NL"/>
        </w:rPr>
        <w:br w:type="column"/>
      </w:r>
      <w:r w:rsidR="00D60D23" w:rsidRPr="00D60D23">
        <w:rPr>
          <w:rFonts w:ascii="Verdana" w:hAnsi="Verdana"/>
          <w:sz w:val="18"/>
          <w:szCs w:val="18"/>
          <w:lang w:val="nl-NL"/>
        </w:rPr>
        <w:lastRenderedPageBreak/>
        <w:t>een vroegtijdig, gezaghebbend oordeel opweegt tegen vertraging van de geschillenbeslechting.</w:t>
      </w:r>
      <w:r w:rsidR="00D60D23">
        <w:rPr>
          <w:rFonts w:ascii="Verdana" w:hAnsi="Verdana"/>
          <w:sz w:val="18"/>
          <w:szCs w:val="18"/>
          <w:lang w:val="nl-NL"/>
        </w:rPr>
        <w:t xml:space="preserve"> Het is de verwachting van de regering dat de effecten van de adviesprocedure op de </w:t>
      </w:r>
      <w:r w:rsidR="00804A78">
        <w:rPr>
          <w:rFonts w:ascii="Verdana" w:hAnsi="Verdana"/>
          <w:sz w:val="18"/>
          <w:szCs w:val="18"/>
          <w:lang w:val="nl-NL"/>
        </w:rPr>
        <w:t>duur</w:t>
      </w:r>
      <w:r w:rsidR="00D60D23">
        <w:rPr>
          <w:rFonts w:ascii="Verdana" w:hAnsi="Verdana"/>
          <w:sz w:val="18"/>
          <w:szCs w:val="18"/>
          <w:lang w:val="nl-NL"/>
        </w:rPr>
        <w:t xml:space="preserve"> van de nationale procedure niet </w:t>
      </w:r>
      <w:r w:rsidR="00177884">
        <w:rPr>
          <w:rFonts w:ascii="Verdana" w:hAnsi="Verdana"/>
          <w:sz w:val="18"/>
          <w:szCs w:val="18"/>
          <w:lang w:val="nl-NL"/>
        </w:rPr>
        <w:t xml:space="preserve">door het EHRM </w:t>
      </w:r>
      <w:r w:rsidR="00D60D23">
        <w:rPr>
          <w:rFonts w:ascii="Verdana" w:hAnsi="Verdana"/>
          <w:sz w:val="18"/>
          <w:szCs w:val="18"/>
          <w:lang w:val="nl-NL"/>
        </w:rPr>
        <w:t xml:space="preserve">ten </w:t>
      </w:r>
      <w:proofErr w:type="spellStart"/>
      <w:r w:rsidR="00D60D23">
        <w:rPr>
          <w:rFonts w:ascii="Verdana" w:hAnsi="Verdana"/>
          <w:sz w:val="18"/>
          <w:szCs w:val="18"/>
          <w:lang w:val="nl-NL"/>
        </w:rPr>
        <w:t>nadele</w:t>
      </w:r>
      <w:proofErr w:type="spellEnd"/>
      <w:r w:rsidR="00D60D23">
        <w:rPr>
          <w:rFonts w:ascii="Verdana" w:hAnsi="Verdana"/>
          <w:sz w:val="18"/>
          <w:szCs w:val="18"/>
          <w:lang w:val="nl-NL"/>
        </w:rPr>
        <w:t xml:space="preserve"> van het nationale gerecht zullen worden betrokken bij de beoordeling of het vereiste van berechting binnen een redelijke termijn in de zin van artikel 6 </w:t>
      </w:r>
      <w:r w:rsidR="00217C4D">
        <w:rPr>
          <w:rFonts w:ascii="Verdana" w:hAnsi="Verdana"/>
          <w:sz w:val="18"/>
          <w:szCs w:val="18"/>
          <w:lang w:val="nl-NL"/>
        </w:rPr>
        <w:t>EVRM</w:t>
      </w:r>
      <w:r w:rsidR="00D60D23">
        <w:rPr>
          <w:rFonts w:ascii="Verdana" w:hAnsi="Verdana"/>
          <w:sz w:val="18"/>
          <w:szCs w:val="18"/>
          <w:lang w:val="nl-NL"/>
        </w:rPr>
        <w:t xml:space="preserve"> is geschonden. Het lijkt redelijk om te veronderstellen dat het EHRM hier aansluiting zal zoeken bij de eigen jurisprudentie inzake de effecten van het stellen van een prejudiciële vraag aan het Hof van Justitie van de Europese Unie op de duur van de nationale procedure. </w:t>
      </w:r>
      <w:r w:rsidR="00D60D23" w:rsidRPr="00D60D23">
        <w:rPr>
          <w:rFonts w:ascii="Verdana" w:hAnsi="Verdana"/>
          <w:sz w:val="18"/>
          <w:szCs w:val="18"/>
          <w:lang w:val="nl-NL"/>
        </w:rPr>
        <w:t xml:space="preserve">In de </w:t>
      </w:r>
      <w:proofErr w:type="spellStart"/>
      <w:r w:rsidR="00D60D23" w:rsidRPr="00D60D23">
        <w:rPr>
          <w:rFonts w:ascii="Verdana" w:hAnsi="Verdana"/>
          <w:sz w:val="18"/>
          <w:szCs w:val="18"/>
          <w:lang w:val="nl-NL"/>
        </w:rPr>
        <w:t>Pafitis</w:t>
      </w:r>
      <w:proofErr w:type="spellEnd"/>
      <w:r w:rsidR="00D60D23" w:rsidRPr="00D60D23">
        <w:rPr>
          <w:rFonts w:ascii="Verdana" w:hAnsi="Verdana"/>
          <w:sz w:val="18"/>
          <w:szCs w:val="18"/>
          <w:lang w:val="nl-NL"/>
        </w:rPr>
        <w:t xml:space="preserve"> zaak werd geklaagd over een overschrijding van de redelijke termijn in de zin van artikel 6 </w:t>
      </w:r>
      <w:r w:rsidR="00217C4D">
        <w:rPr>
          <w:rFonts w:ascii="Verdana" w:hAnsi="Verdana"/>
          <w:sz w:val="18"/>
          <w:szCs w:val="18"/>
          <w:lang w:val="nl-NL"/>
        </w:rPr>
        <w:t>EVRM</w:t>
      </w:r>
      <w:r w:rsidR="00D60D23" w:rsidRPr="00D60D23">
        <w:rPr>
          <w:rFonts w:ascii="Verdana" w:hAnsi="Verdana"/>
          <w:sz w:val="18"/>
          <w:szCs w:val="18"/>
          <w:lang w:val="nl-NL"/>
        </w:rPr>
        <w:t xml:space="preserve">. Deze overschrijding was gedeeltelijk het gevolg van het feit dat de nationale rechter een prejudiciële vraag had voorgelegd aan het Hof van Justitie en dat </w:t>
      </w:r>
      <w:r w:rsidR="00F63B96">
        <w:rPr>
          <w:rFonts w:ascii="Verdana" w:hAnsi="Verdana"/>
          <w:sz w:val="18"/>
          <w:szCs w:val="18"/>
          <w:lang w:val="nl-NL"/>
        </w:rPr>
        <w:t>geruime tijd was verstreken voordat deze prejudiciële vraag was beantwoord door het Hof van Justitie</w:t>
      </w:r>
      <w:r w:rsidR="00D60D23" w:rsidRPr="00D60D23">
        <w:rPr>
          <w:rFonts w:ascii="Verdana" w:hAnsi="Verdana"/>
          <w:sz w:val="18"/>
          <w:szCs w:val="18"/>
          <w:lang w:val="nl-NL"/>
        </w:rPr>
        <w:t>.</w:t>
      </w:r>
      <w:r w:rsidR="00F63B96">
        <w:rPr>
          <w:rFonts w:ascii="Verdana" w:hAnsi="Verdana"/>
          <w:sz w:val="18"/>
          <w:szCs w:val="18"/>
          <w:lang w:val="nl-NL"/>
        </w:rPr>
        <w:t xml:space="preserve"> </w:t>
      </w:r>
      <w:r w:rsidR="00F63B96" w:rsidRPr="00F63B96">
        <w:rPr>
          <w:rFonts w:ascii="Verdana" w:hAnsi="Verdana"/>
          <w:sz w:val="18"/>
          <w:szCs w:val="18"/>
        </w:rPr>
        <w:t xml:space="preserve">Het EHRM </w:t>
      </w:r>
      <w:proofErr w:type="spellStart"/>
      <w:r w:rsidR="00F63B96" w:rsidRPr="00F63B96">
        <w:rPr>
          <w:rFonts w:ascii="Verdana" w:hAnsi="Verdana"/>
          <w:sz w:val="18"/>
          <w:szCs w:val="18"/>
        </w:rPr>
        <w:t>overwoog</w:t>
      </w:r>
      <w:proofErr w:type="spellEnd"/>
      <w:r w:rsidR="00F63B96" w:rsidRPr="00F63B96">
        <w:rPr>
          <w:rFonts w:ascii="Verdana" w:hAnsi="Verdana"/>
          <w:sz w:val="18"/>
          <w:szCs w:val="18"/>
        </w:rPr>
        <w:t>: “</w:t>
      </w:r>
      <w:r w:rsidR="00F63B96" w:rsidRPr="00F63B96">
        <w:rPr>
          <w:rFonts w:ascii="Verdana" w:hAnsi="Verdana"/>
          <w:sz w:val="18"/>
          <w:szCs w:val="18"/>
          <w:lang w:val="en-GB"/>
        </w:rPr>
        <w:t>The Court cannot […] take this period into consideration in its assessment of the length of each particular set of proceedings: even though it may at first sight appear relatively long, to take it into account would adversely affect the system instituted by Article 177 of the EEC Treaty and work against the aim pursued in substance in that Article</w:t>
      </w:r>
      <w:r w:rsidR="00F63B96">
        <w:rPr>
          <w:rFonts w:ascii="Verdana" w:hAnsi="Verdana"/>
          <w:sz w:val="18"/>
          <w:szCs w:val="18"/>
          <w:lang w:val="en-GB"/>
        </w:rPr>
        <w:t>” (</w:t>
      </w:r>
      <w:proofErr w:type="spellStart"/>
      <w:r w:rsidR="00F63B96">
        <w:rPr>
          <w:rFonts w:ascii="Verdana" w:hAnsi="Verdana"/>
          <w:sz w:val="18"/>
          <w:szCs w:val="18"/>
          <w:lang w:val="en-GB"/>
        </w:rPr>
        <w:t>zie</w:t>
      </w:r>
      <w:proofErr w:type="spellEnd"/>
      <w:r w:rsidR="00F63B96">
        <w:rPr>
          <w:rFonts w:ascii="Verdana" w:hAnsi="Verdana"/>
          <w:sz w:val="18"/>
          <w:szCs w:val="18"/>
          <w:lang w:val="en-GB"/>
        </w:rPr>
        <w:t xml:space="preserve"> </w:t>
      </w:r>
      <w:proofErr w:type="spellStart"/>
      <w:r w:rsidR="00F63B96">
        <w:rPr>
          <w:rFonts w:ascii="Verdana" w:hAnsi="Verdana"/>
          <w:sz w:val="18"/>
          <w:szCs w:val="18"/>
          <w:lang w:val="en-GB"/>
        </w:rPr>
        <w:t>Pafitis</w:t>
      </w:r>
      <w:proofErr w:type="spellEnd"/>
      <w:r w:rsidR="00F63B96">
        <w:rPr>
          <w:rFonts w:ascii="Verdana" w:hAnsi="Verdana"/>
          <w:sz w:val="18"/>
          <w:szCs w:val="18"/>
          <w:lang w:val="en-GB"/>
        </w:rPr>
        <w:t xml:space="preserve"> </w:t>
      </w:r>
      <w:proofErr w:type="spellStart"/>
      <w:r w:rsidR="00F63B96">
        <w:rPr>
          <w:rFonts w:ascii="Verdana" w:hAnsi="Verdana"/>
          <w:sz w:val="18"/>
          <w:szCs w:val="18"/>
          <w:lang w:val="en-GB"/>
        </w:rPr>
        <w:t>tegen</w:t>
      </w:r>
      <w:proofErr w:type="spellEnd"/>
      <w:r w:rsidR="00F63B96">
        <w:rPr>
          <w:rFonts w:ascii="Verdana" w:hAnsi="Verdana"/>
          <w:sz w:val="18"/>
          <w:szCs w:val="18"/>
          <w:lang w:val="en-GB"/>
        </w:rPr>
        <w:t xml:space="preserve"> </w:t>
      </w:r>
      <w:proofErr w:type="spellStart"/>
      <w:r w:rsidR="00F63B96">
        <w:rPr>
          <w:rFonts w:ascii="Verdana" w:hAnsi="Verdana"/>
          <w:sz w:val="18"/>
          <w:szCs w:val="18"/>
          <w:lang w:val="en-GB"/>
        </w:rPr>
        <w:t>Griekenland</w:t>
      </w:r>
      <w:proofErr w:type="spellEnd"/>
      <w:r w:rsidR="00F63B96">
        <w:rPr>
          <w:rFonts w:ascii="Verdana" w:hAnsi="Verdana"/>
          <w:sz w:val="18"/>
          <w:szCs w:val="18"/>
          <w:lang w:val="en-GB"/>
        </w:rPr>
        <w:t xml:space="preserve">, </w:t>
      </w:r>
      <w:proofErr w:type="spellStart"/>
      <w:r w:rsidR="00F63B96">
        <w:rPr>
          <w:rFonts w:ascii="Verdana" w:hAnsi="Verdana"/>
          <w:sz w:val="18"/>
          <w:szCs w:val="18"/>
          <w:lang w:val="en-GB"/>
        </w:rPr>
        <w:t>uitspraak</w:t>
      </w:r>
      <w:proofErr w:type="spellEnd"/>
      <w:r w:rsidR="00F63B96">
        <w:rPr>
          <w:rFonts w:ascii="Verdana" w:hAnsi="Verdana"/>
          <w:sz w:val="18"/>
          <w:szCs w:val="18"/>
          <w:lang w:val="en-GB"/>
        </w:rPr>
        <w:t xml:space="preserve"> van </w:t>
      </w:r>
      <w:r w:rsidR="00F63B96" w:rsidRPr="00F63B96">
        <w:rPr>
          <w:rFonts w:ascii="Verdana" w:hAnsi="Verdana"/>
          <w:sz w:val="18"/>
          <w:szCs w:val="18"/>
          <w:lang w:val="en-GB"/>
        </w:rPr>
        <w:t xml:space="preserve">26 </w:t>
      </w:r>
      <w:proofErr w:type="spellStart"/>
      <w:r w:rsidR="00F63B96" w:rsidRPr="00F63B96">
        <w:rPr>
          <w:rFonts w:ascii="Verdana" w:hAnsi="Verdana"/>
          <w:sz w:val="18"/>
          <w:szCs w:val="18"/>
          <w:lang w:val="en-GB"/>
        </w:rPr>
        <w:t>februari</w:t>
      </w:r>
      <w:proofErr w:type="spellEnd"/>
      <w:r w:rsidR="00F63B96" w:rsidRPr="00F63B96">
        <w:rPr>
          <w:rFonts w:ascii="Verdana" w:hAnsi="Verdana"/>
          <w:sz w:val="18"/>
          <w:szCs w:val="18"/>
          <w:lang w:val="en-GB"/>
        </w:rPr>
        <w:t xml:space="preserve"> 1998,</w:t>
      </w:r>
      <w:r w:rsidR="00177884">
        <w:rPr>
          <w:rFonts w:ascii="Verdana" w:hAnsi="Verdana"/>
          <w:sz w:val="18"/>
          <w:szCs w:val="18"/>
          <w:lang w:val="en-GB"/>
        </w:rPr>
        <w:t xml:space="preserve"> appl. </w:t>
      </w:r>
      <w:r w:rsidR="00177884" w:rsidRPr="00746E30">
        <w:rPr>
          <w:rFonts w:ascii="Verdana" w:hAnsi="Verdana"/>
          <w:sz w:val="18"/>
          <w:szCs w:val="18"/>
        </w:rPr>
        <w:t xml:space="preserve">nr. </w:t>
      </w:r>
      <w:r w:rsidR="00177884">
        <w:rPr>
          <w:rFonts w:ascii="Verdana" w:hAnsi="Verdana"/>
          <w:sz w:val="18"/>
          <w:szCs w:val="18"/>
        </w:rPr>
        <w:t>20323/92,</w:t>
      </w:r>
      <w:r w:rsidR="00F63B96" w:rsidRPr="00746E30">
        <w:rPr>
          <w:rFonts w:ascii="Verdana" w:hAnsi="Verdana"/>
          <w:sz w:val="18"/>
          <w:szCs w:val="18"/>
        </w:rPr>
        <w:t xml:space="preserve"> Reports 1998, 458, § 95; </w:t>
      </w:r>
      <w:proofErr w:type="spellStart"/>
      <w:r w:rsidR="00F63B96" w:rsidRPr="00746E30">
        <w:rPr>
          <w:rFonts w:ascii="Verdana" w:hAnsi="Verdana"/>
          <w:sz w:val="18"/>
          <w:szCs w:val="18"/>
        </w:rPr>
        <w:t>bevestigd</w:t>
      </w:r>
      <w:proofErr w:type="spellEnd"/>
      <w:r w:rsidR="00F63B96" w:rsidRPr="00746E30">
        <w:rPr>
          <w:rFonts w:ascii="Verdana" w:hAnsi="Verdana"/>
          <w:sz w:val="18"/>
          <w:szCs w:val="18"/>
        </w:rPr>
        <w:t xml:space="preserve"> in </w:t>
      </w:r>
      <w:proofErr w:type="spellStart"/>
      <w:r w:rsidR="00F63B96" w:rsidRPr="00746E30">
        <w:rPr>
          <w:rFonts w:ascii="Verdana" w:hAnsi="Verdana"/>
          <w:sz w:val="18"/>
          <w:szCs w:val="18"/>
        </w:rPr>
        <w:t>Koua</w:t>
      </w:r>
      <w:proofErr w:type="spellEnd"/>
      <w:r w:rsidR="00F63B96" w:rsidRPr="00746E30">
        <w:rPr>
          <w:rFonts w:ascii="Verdana" w:hAnsi="Verdana"/>
          <w:sz w:val="18"/>
          <w:szCs w:val="18"/>
        </w:rPr>
        <w:t xml:space="preserve"> </w:t>
      </w:r>
      <w:proofErr w:type="spellStart"/>
      <w:r w:rsidR="00F63B96" w:rsidRPr="00746E30">
        <w:rPr>
          <w:rFonts w:ascii="Verdana" w:hAnsi="Verdana"/>
          <w:sz w:val="18"/>
          <w:szCs w:val="18"/>
        </w:rPr>
        <w:t>Poirrez</w:t>
      </w:r>
      <w:proofErr w:type="spellEnd"/>
      <w:r w:rsidR="00F63B96" w:rsidRPr="00746E30">
        <w:rPr>
          <w:rFonts w:ascii="Verdana" w:hAnsi="Verdana"/>
          <w:sz w:val="18"/>
          <w:szCs w:val="18"/>
        </w:rPr>
        <w:t xml:space="preserve"> </w:t>
      </w:r>
      <w:proofErr w:type="spellStart"/>
      <w:r w:rsidR="00F63B96" w:rsidRPr="00746E30">
        <w:rPr>
          <w:rFonts w:ascii="Verdana" w:hAnsi="Verdana"/>
          <w:sz w:val="18"/>
          <w:szCs w:val="18"/>
        </w:rPr>
        <w:t>tegen</w:t>
      </w:r>
      <w:proofErr w:type="spellEnd"/>
      <w:r w:rsidR="00F63B96" w:rsidRPr="00746E30">
        <w:rPr>
          <w:rFonts w:ascii="Verdana" w:hAnsi="Verdana"/>
          <w:sz w:val="18"/>
          <w:szCs w:val="18"/>
        </w:rPr>
        <w:t xml:space="preserve"> </w:t>
      </w:r>
      <w:proofErr w:type="spellStart"/>
      <w:r w:rsidR="00F63B96" w:rsidRPr="00746E30">
        <w:rPr>
          <w:rFonts w:ascii="Verdana" w:hAnsi="Verdana"/>
          <w:sz w:val="18"/>
          <w:szCs w:val="18"/>
        </w:rPr>
        <w:t>Frankrijk</w:t>
      </w:r>
      <w:proofErr w:type="spellEnd"/>
      <w:r w:rsidR="00F63B96" w:rsidRPr="00746E30">
        <w:rPr>
          <w:rFonts w:ascii="Verdana" w:hAnsi="Verdana"/>
          <w:sz w:val="18"/>
          <w:szCs w:val="18"/>
        </w:rPr>
        <w:t xml:space="preserve">, </w:t>
      </w:r>
      <w:proofErr w:type="spellStart"/>
      <w:r w:rsidR="00F63B96" w:rsidRPr="00746E30">
        <w:rPr>
          <w:rFonts w:ascii="Verdana" w:hAnsi="Verdana"/>
          <w:sz w:val="18"/>
          <w:szCs w:val="18"/>
        </w:rPr>
        <w:t>uitspraak</w:t>
      </w:r>
      <w:proofErr w:type="spellEnd"/>
      <w:r w:rsidR="00F63B96" w:rsidRPr="00746E30">
        <w:rPr>
          <w:rFonts w:ascii="Verdana" w:hAnsi="Verdana"/>
          <w:sz w:val="18"/>
          <w:szCs w:val="18"/>
        </w:rPr>
        <w:t xml:space="preserve"> van 30 </w:t>
      </w:r>
      <w:proofErr w:type="spellStart"/>
      <w:r w:rsidR="00F63B96" w:rsidRPr="00746E30">
        <w:rPr>
          <w:rFonts w:ascii="Verdana" w:hAnsi="Verdana"/>
          <w:sz w:val="18"/>
          <w:szCs w:val="18"/>
        </w:rPr>
        <w:t>september</w:t>
      </w:r>
      <w:proofErr w:type="spellEnd"/>
      <w:r w:rsidR="00F63B96" w:rsidRPr="00746E30">
        <w:rPr>
          <w:rFonts w:ascii="Verdana" w:hAnsi="Verdana"/>
          <w:sz w:val="18"/>
          <w:szCs w:val="18"/>
        </w:rPr>
        <w:t xml:space="preserve"> 2003, appl. n</w:t>
      </w:r>
      <w:r w:rsidR="00177884">
        <w:rPr>
          <w:rFonts w:ascii="Verdana" w:hAnsi="Verdana"/>
          <w:sz w:val="18"/>
          <w:szCs w:val="18"/>
        </w:rPr>
        <w:t>r</w:t>
      </w:r>
      <w:r w:rsidR="00F63B96" w:rsidRPr="00746E30">
        <w:rPr>
          <w:rFonts w:ascii="Verdana" w:hAnsi="Verdana"/>
          <w:sz w:val="18"/>
          <w:szCs w:val="18"/>
        </w:rPr>
        <w:t>. 40892/98, § 61).</w:t>
      </w:r>
      <w:r w:rsidR="007A188C" w:rsidRPr="00746E30">
        <w:rPr>
          <w:rFonts w:ascii="Verdana" w:hAnsi="Verdana"/>
          <w:sz w:val="18"/>
          <w:szCs w:val="18"/>
        </w:rPr>
        <w:t xml:space="preserve"> </w:t>
      </w:r>
      <w:r w:rsidR="007A188C" w:rsidRPr="007F6250">
        <w:rPr>
          <w:rFonts w:ascii="Verdana" w:hAnsi="Verdana"/>
          <w:sz w:val="18"/>
          <w:szCs w:val="18"/>
          <w:lang w:val="nl-NL"/>
        </w:rPr>
        <w:t xml:space="preserve">In soortgelijke zin ligt het in de rede dat  aansluiting </w:t>
      </w:r>
      <w:r w:rsidR="00BD6277">
        <w:rPr>
          <w:rFonts w:ascii="Verdana" w:hAnsi="Verdana"/>
          <w:sz w:val="18"/>
          <w:szCs w:val="18"/>
          <w:lang w:val="nl-NL"/>
        </w:rPr>
        <w:t>wordt gezocht</w:t>
      </w:r>
      <w:r w:rsidR="007A188C" w:rsidRPr="007F6250">
        <w:rPr>
          <w:rFonts w:ascii="Verdana" w:hAnsi="Verdana"/>
          <w:sz w:val="18"/>
          <w:szCs w:val="18"/>
          <w:lang w:val="nl-NL"/>
        </w:rPr>
        <w:t xml:space="preserve"> bij de jurisprudentielijn </w:t>
      </w:r>
      <w:r w:rsidR="00217C4D">
        <w:rPr>
          <w:rFonts w:ascii="Verdana" w:hAnsi="Verdana"/>
          <w:sz w:val="18"/>
          <w:szCs w:val="18"/>
          <w:lang w:val="nl-NL"/>
        </w:rPr>
        <w:t>met betrekking tot prejudiciële vragen bij het Hof van Justitie van de Europese Unie en</w:t>
      </w:r>
      <w:r w:rsidR="007A188C" w:rsidRPr="007F6250">
        <w:rPr>
          <w:rFonts w:ascii="Verdana" w:hAnsi="Verdana"/>
          <w:sz w:val="18"/>
          <w:szCs w:val="18"/>
          <w:lang w:val="nl-NL"/>
        </w:rPr>
        <w:t xml:space="preserve"> een ‘time out’ wordt </w:t>
      </w:r>
      <w:r w:rsidR="007F6250" w:rsidRPr="007F6250">
        <w:rPr>
          <w:rFonts w:ascii="Verdana" w:hAnsi="Verdana"/>
          <w:sz w:val="18"/>
          <w:szCs w:val="18"/>
          <w:lang w:val="nl-NL"/>
        </w:rPr>
        <w:t>aangenomen zol</w:t>
      </w:r>
      <w:r w:rsidR="00BD6277">
        <w:rPr>
          <w:rFonts w:ascii="Verdana" w:hAnsi="Verdana"/>
          <w:sz w:val="18"/>
          <w:szCs w:val="18"/>
          <w:lang w:val="nl-NL"/>
        </w:rPr>
        <w:t>ang</w:t>
      </w:r>
      <w:r w:rsidR="00746E30">
        <w:rPr>
          <w:rFonts w:ascii="Verdana" w:hAnsi="Verdana"/>
          <w:sz w:val="18"/>
          <w:szCs w:val="18"/>
          <w:lang w:val="nl-NL"/>
        </w:rPr>
        <w:t xml:space="preserve"> </w:t>
      </w:r>
      <w:r w:rsidR="00BD6277">
        <w:rPr>
          <w:rFonts w:ascii="Verdana" w:hAnsi="Verdana"/>
          <w:sz w:val="18"/>
          <w:szCs w:val="18"/>
          <w:lang w:val="nl-NL"/>
        </w:rPr>
        <w:t>het uitbrengen</w:t>
      </w:r>
      <w:r w:rsidR="007F6250" w:rsidRPr="007F6250">
        <w:rPr>
          <w:rFonts w:ascii="Verdana" w:hAnsi="Verdana"/>
          <w:sz w:val="18"/>
          <w:szCs w:val="18"/>
          <w:lang w:val="nl-NL"/>
        </w:rPr>
        <w:t xml:space="preserve"> van een </w:t>
      </w:r>
      <w:r w:rsidR="00BD6277">
        <w:rPr>
          <w:rFonts w:ascii="Verdana" w:hAnsi="Verdana"/>
          <w:sz w:val="18"/>
          <w:szCs w:val="18"/>
          <w:lang w:val="nl-NL"/>
        </w:rPr>
        <w:t>advies door het EHRM</w:t>
      </w:r>
      <w:r w:rsidR="007F6250" w:rsidRPr="007F6250">
        <w:rPr>
          <w:rFonts w:ascii="Verdana" w:hAnsi="Verdana"/>
          <w:sz w:val="18"/>
          <w:szCs w:val="18"/>
          <w:lang w:val="nl-NL"/>
        </w:rPr>
        <w:t xml:space="preserve"> duurt (zie de conclusie van A-G </w:t>
      </w:r>
      <w:proofErr w:type="spellStart"/>
      <w:r w:rsidR="007F6250" w:rsidRPr="007F6250">
        <w:rPr>
          <w:rFonts w:ascii="Verdana" w:hAnsi="Verdana"/>
          <w:sz w:val="18"/>
          <w:szCs w:val="18"/>
          <w:lang w:val="nl-NL"/>
        </w:rPr>
        <w:t>Widdershoven</w:t>
      </w:r>
      <w:proofErr w:type="spellEnd"/>
      <w:r w:rsidR="007F6250" w:rsidRPr="007F6250">
        <w:rPr>
          <w:rFonts w:ascii="Verdana" w:hAnsi="Verdana"/>
          <w:sz w:val="18"/>
          <w:szCs w:val="18"/>
          <w:lang w:val="nl-NL"/>
        </w:rPr>
        <w:t xml:space="preserve"> d.d. 23 oktober 2013 t.b.v. zaak nr. 201302106/2/A2 en de uitspraak van de Afdeling bestuursrechtspraak d.d. 29 januari 2014).</w:t>
      </w:r>
      <w:r w:rsidR="00177884">
        <w:rPr>
          <w:rFonts w:ascii="Verdana" w:hAnsi="Verdana"/>
          <w:sz w:val="18"/>
          <w:szCs w:val="18"/>
          <w:lang w:val="nl-NL"/>
        </w:rPr>
        <w:t xml:space="preserve"> </w:t>
      </w:r>
    </w:p>
    <w:p w:rsidR="00111496" w:rsidRPr="007F6250" w:rsidRDefault="00111496" w:rsidP="001A68C4">
      <w:pPr>
        <w:spacing w:line="360" w:lineRule="auto"/>
        <w:jc w:val="both"/>
        <w:rPr>
          <w:rFonts w:ascii="Verdana" w:hAnsi="Verdana"/>
          <w:sz w:val="18"/>
          <w:szCs w:val="18"/>
          <w:lang w:val="nl-NL"/>
        </w:rPr>
      </w:pPr>
    </w:p>
    <w:p w:rsidR="00F549E2" w:rsidRPr="00F549E2" w:rsidRDefault="00F549E2" w:rsidP="001A68C4">
      <w:pPr>
        <w:spacing w:line="360" w:lineRule="auto"/>
        <w:jc w:val="both"/>
        <w:rPr>
          <w:rFonts w:ascii="Verdana" w:hAnsi="Verdana"/>
          <w:i/>
          <w:sz w:val="18"/>
          <w:szCs w:val="18"/>
          <w:lang w:val="nl-NL"/>
        </w:rPr>
      </w:pPr>
      <w:r>
        <w:rPr>
          <w:rFonts w:ascii="Verdana" w:hAnsi="Verdana"/>
          <w:i/>
          <w:sz w:val="18"/>
          <w:szCs w:val="18"/>
          <w:lang w:val="nl-NL"/>
        </w:rPr>
        <w:t>Lid 3</w:t>
      </w:r>
    </w:p>
    <w:p w:rsidR="006837A2" w:rsidRDefault="006837A2" w:rsidP="001A68C4">
      <w:pPr>
        <w:spacing w:line="360" w:lineRule="auto"/>
        <w:jc w:val="both"/>
        <w:rPr>
          <w:rFonts w:ascii="Verdana" w:hAnsi="Verdana"/>
          <w:sz w:val="18"/>
          <w:szCs w:val="18"/>
          <w:lang w:val="nl-NL"/>
        </w:rPr>
      </w:pPr>
      <w:r>
        <w:rPr>
          <w:rFonts w:ascii="Verdana" w:hAnsi="Verdana"/>
          <w:sz w:val="18"/>
          <w:szCs w:val="18"/>
          <w:lang w:val="nl-NL"/>
        </w:rPr>
        <w:t xml:space="preserve">Het derde lid </w:t>
      </w:r>
      <w:r w:rsidR="00EA39E7">
        <w:rPr>
          <w:rFonts w:ascii="Verdana" w:hAnsi="Verdana"/>
          <w:sz w:val="18"/>
          <w:szCs w:val="18"/>
          <w:lang w:val="nl-NL"/>
        </w:rPr>
        <w:t xml:space="preserve">bepaalt dat de rechter </w:t>
      </w:r>
      <w:r w:rsidR="00EA39E7" w:rsidRPr="00EA39E7">
        <w:rPr>
          <w:rFonts w:ascii="Verdana" w:hAnsi="Verdana"/>
          <w:sz w:val="18"/>
          <w:szCs w:val="18"/>
          <w:lang w:val="nl-NL"/>
        </w:rPr>
        <w:t>die is gekozen voor de betrokken Hoge</w:t>
      </w:r>
      <w:r w:rsidR="00EA39E7">
        <w:rPr>
          <w:rFonts w:ascii="Verdana" w:hAnsi="Verdana"/>
          <w:sz w:val="18"/>
          <w:szCs w:val="18"/>
          <w:lang w:val="nl-NL"/>
        </w:rPr>
        <w:t xml:space="preserve"> </w:t>
      </w:r>
      <w:r w:rsidR="00EA39E7" w:rsidRPr="00EA39E7">
        <w:rPr>
          <w:rFonts w:ascii="Verdana" w:hAnsi="Verdana"/>
          <w:sz w:val="18"/>
          <w:szCs w:val="18"/>
          <w:lang w:val="nl-NL"/>
        </w:rPr>
        <w:t xml:space="preserve">Verdragsluitende Partij </w:t>
      </w:r>
      <w:r w:rsidR="00EA39E7">
        <w:rPr>
          <w:rFonts w:ascii="Verdana" w:hAnsi="Verdana"/>
          <w:sz w:val="18"/>
          <w:szCs w:val="18"/>
          <w:lang w:val="nl-NL"/>
        </w:rPr>
        <w:t xml:space="preserve">waartoe het nationale gerecht behoort dat de adviesaanvraag heeft ingediend, </w:t>
      </w:r>
      <w:r w:rsidR="00EA39E7" w:rsidRPr="00EA39E7">
        <w:rPr>
          <w:rFonts w:ascii="Verdana" w:hAnsi="Verdana"/>
          <w:sz w:val="18"/>
          <w:szCs w:val="18"/>
          <w:lang w:val="nl-NL"/>
        </w:rPr>
        <w:t xml:space="preserve">van rechtswege deel uit </w:t>
      </w:r>
      <w:r w:rsidR="00EA39E7">
        <w:rPr>
          <w:rFonts w:ascii="Verdana" w:hAnsi="Verdana"/>
          <w:sz w:val="18"/>
          <w:szCs w:val="18"/>
          <w:lang w:val="nl-NL"/>
        </w:rPr>
        <w:t xml:space="preserve">maakt </w:t>
      </w:r>
      <w:r w:rsidR="00EA39E7" w:rsidRPr="00EA39E7">
        <w:rPr>
          <w:rFonts w:ascii="Verdana" w:hAnsi="Verdana"/>
          <w:sz w:val="18"/>
          <w:szCs w:val="18"/>
          <w:lang w:val="nl-NL"/>
        </w:rPr>
        <w:t>van</w:t>
      </w:r>
      <w:r w:rsidR="00EA39E7">
        <w:rPr>
          <w:rFonts w:ascii="Verdana" w:hAnsi="Verdana"/>
          <w:sz w:val="18"/>
          <w:szCs w:val="18"/>
          <w:lang w:val="nl-NL"/>
        </w:rPr>
        <w:t xml:space="preserve"> het panel en de Grote Kamer wanneer zij zich buigen over de adviesaanvraag. Tevens is d</w:t>
      </w:r>
      <w:r w:rsidRPr="006837A2">
        <w:rPr>
          <w:rFonts w:ascii="Verdana" w:hAnsi="Verdana"/>
          <w:sz w:val="18"/>
          <w:szCs w:val="18"/>
          <w:lang w:val="nl-NL"/>
        </w:rPr>
        <w:t xml:space="preserve">e tekst van artikel 26, vierde lid, van het Verdrag </w:t>
      </w:r>
      <w:r w:rsidR="00EA39E7">
        <w:rPr>
          <w:rFonts w:ascii="Verdana" w:hAnsi="Verdana"/>
          <w:sz w:val="18"/>
          <w:szCs w:val="18"/>
          <w:lang w:val="nl-NL"/>
        </w:rPr>
        <w:t>overgenomen</w:t>
      </w:r>
      <w:r w:rsidRPr="006837A2">
        <w:rPr>
          <w:rFonts w:ascii="Verdana" w:hAnsi="Verdana"/>
          <w:sz w:val="18"/>
          <w:szCs w:val="18"/>
          <w:lang w:val="nl-NL"/>
        </w:rPr>
        <w:t xml:space="preserve"> in de tekst van het </w:t>
      </w:r>
      <w:r w:rsidR="0024200A">
        <w:rPr>
          <w:rFonts w:ascii="Verdana" w:hAnsi="Verdana"/>
          <w:sz w:val="18"/>
          <w:szCs w:val="18"/>
          <w:lang w:val="nl-NL"/>
        </w:rPr>
        <w:t>P</w:t>
      </w:r>
      <w:r w:rsidRPr="006837A2">
        <w:rPr>
          <w:rFonts w:ascii="Verdana" w:hAnsi="Verdana"/>
          <w:sz w:val="18"/>
          <w:szCs w:val="18"/>
          <w:lang w:val="nl-NL"/>
        </w:rPr>
        <w:t>rotocol. Op deze wijze is duidelijk dat een</w:t>
      </w:r>
      <w:r w:rsidR="00DF58ED">
        <w:rPr>
          <w:rFonts w:ascii="Verdana" w:hAnsi="Verdana"/>
          <w:sz w:val="18"/>
          <w:szCs w:val="18"/>
          <w:lang w:val="nl-NL"/>
        </w:rPr>
        <w:t xml:space="preserve"> rechter</w:t>
      </w:r>
      <w:r w:rsidRPr="006837A2">
        <w:rPr>
          <w:rFonts w:ascii="Verdana" w:hAnsi="Verdana"/>
          <w:sz w:val="18"/>
          <w:szCs w:val="18"/>
          <w:lang w:val="nl-NL"/>
        </w:rPr>
        <w:t xml:space="preserve"> </w:t>
      </w:r>
      <w:r w:rsidRPr="00EA39E7">
        <w:rPr>
          <w:rFonts w:ascii="Verdana" w:hAnsi="Verdana"/>
          <w:i/>
          <w:sz w:val="18"/>
          <w:szCs w:val="18"/>
          <w:lang w:val="nl-NL"/>
        </w:rPr>
        <w:t>ad hoc</w:t>
      </w:r>
      <w:r w:rsidRPr="006837A2">
        <w:rPr>
          <w:rFonts w:ascii="Verdana" w:hAnsi="Verdana"/>
          <w:sz w:val="18"/>
          <w:szCs w:val="18"/>
          <w:lang w:val="nl-NL"/>
        </w:rPr>
        <w:t xml:space="preserve"> aangewezen kan worden voor de behandeling van een </w:t>
      </w:r>
      <w:r w:rsidR="00DF58ED" w:rsidRPr="0068113F">
        <w:rPr>
          <w:rFonts w:ascii="Verdana" w:hAnsi="Verdana"/>
          <w:sz w:val="18"/>
          <w:szCs w:val="18"/>
          <w:lang w:val="nl-NL"/>
        </w:rPr>
        <w:t>advies</w:t>
      </w:r>
      <w:r w:rsidRPr="006837A2">
        <w:rPr>
          <w:rFonts w:ascii="Verdana" w:hAnsi="Verdana"/>
          <w:sz w:val="18"/>
          <w:szCs w:val="18"/>
          <w:lang w:val="nl-NL"/>
        </w:rPr>
        <w:t xml:space="preserve"> in </w:t>
      </w:r>
      <w:r w:rsidR="00DF58ED">
        <w:rPr>
          <w:rFonts w:ascii="Verdana" w:hAnsi="Verdana"/>
          <w:sz w:val="18"/>
          <w:szCs w:val="18"/>
          <w:lang w:val="nl-NL"/>
        </w:rPr>
        <w:t xml:space="preserve">(het </w:t>
      </w:r>
      <w:r w:rsidR="00EA39E7">
        <w:rPr>
          <w:rFonts w:ascii="Verdana" w:hAnsi="Verdana"/>
          <w:sz w:val="18"/>
          <w:szCs w:val="18"/>
          <w:lang w:val="nl-NL"/>
        </w:rPr>
        <w:t>panel van</w:t>
      </w:r>
      <w:r w:rsidR="00DF58ED">
        <w:rPr>
          <w:rFonts w:ascii="Verdana" w:hAnsi="Verdana"/>
          <w:sz w:val="18"/>
          <w:szCs w:val="18"/>
          <w:lang w:val="nl-NL"/>
        </w:rPr>
        <w:t>)</w:t>
      </w:r>
      <w:r w:rsidR="00EA39E7">
        <w:rPr>
          <w:rFonts w:ascii="Verdana" w:hAnsi="Verdana"/>
          <w:sz w:val="18"/>
          <w:szCs w:val="18"/>
          <w:lang w:val="nl-NL"/>
        </w:rPr>
        <w:t xml:space="preserve"> de Grote Kamer</w:t>
      </w:r>
      <w:r w:rsidRPr="006837A2">
        <w:rPr>
          <w:rFonts w:ascii="Verdana" w:hAnsi="Verdana"/>
          <w:sz w:val="18"/>
          <w:szCs w:val="18"/>
          <w:lang w:val="nl-NL"/>
        </w:rPr>
        <w:t>.</w:t>
      </w:r>
    </w:p>
    <w:p w:rsidR="00F549E2" w:rsidRPr="000D0695" w:rsidRDefault="00F549E2" w:rsidP="001A68C4">
      <w:pPr>
        <w:spacing w:line="360" w:lineRule="auto"/>
        <w:jc w:val="both"/>
        <w:rPr>
          <w:rFonts w:ascii="Verdana" w:hAnsi="Verdana"/>
          <w:sz w:val="18"/>
          <w:szCs w:val="18"/>
          <w:lang w:val="nl-NL"/>
        </w:rPr>
      </w:pPr>
    </w:p>
    <w:p w:rsidR="00C52CB8" w:rsidRPr="000D0695" w:rsidRDefault="00127F66" w:rsidP="001A68C4">
      <w:pPr>
        <w:spacing w:line="360" w:lineRule="auto"/>
        <w:jc w:val="both"/>
        <w:rPr>
          <w:rFonts w:ascii="Verdana" w:hAnsi="Verdana"/>
          <w:b/>
          <w:sz w:val="18"/>
          <w:szCs w:val="18"/>
          <w:lang w:val="nl-NL"/>
        </w:rPr>
      </w:pPr>
      <w:r w:rsidRPr="000D0695">
        <w:rPr>
          <w:rFonts w:ascii="Verdana" w:hAnsi="Verdana"/>
          <w:b/>
          <w:sz w:val="18"/>
          <w:szCs w:val="18"/>
          <w:lang w:val="nl-NL"/>
        </w:rPr>
        <w:t>Artikel 3</w:t>
      </w:r>
    </w:p>
    <w:p w:rsidR="007168DA" w:rsidRDefault="00035B54" w:rsidP="001A68C4">
      <w:pPr>
        <w:spacing w:line="360" w:lineRule="auto"/>
        <w:jc w:val="both"/>
        <w:rPr>
          <w:rFonts w:ascii="Verdana" w:hAnsi="Verdana"/>
          <w:sz w:val="18"/>
          <w:szCs w:val="18"/>
          <w:lang w:val="nl-NL"/>
        </w:rPr>
      </w:pPr>
      <w:r>
        <w:rPr>
          <w:rFonts w:ascii="Verdana" w:hAnsi="Verdana"/>
          <w:sz w:val="18"/>
          <w:szCs w:val="18"/>
          <w:lang w:val="nl-NL"/>
        </w:rPr>
        <w:t xml:space="preserve">Artikel 3 geeft enkele aanwijzingen ten aanzien van de te volgen procedure voordat een </w:t>
      </w:r>
      <w:r w:rsidR="00DF58ED" w:rsidRPr="0068113F">
        <w:rPr>
          <w:rFonts w:ascii="Verdana" w:hAnsi="Verdana"/>
          <w:sz w:val="18"/>
          <w:szCs w:val="18"/>
          <w:lang w:val="nl-NL"/>
        </w:rPr>
        <w:t>advies</w:t>
      </w:r>
      <w:r>
        <w:rPr>
          <w:rFonts w:ascii="Verdana" w:hAnsi="Verdana"/>
          <w:sz w:val="18"/>
          <w:szCs w:val="18"/>
          <w:lang w:val="nl-NL"/>
        </w:rPr>
        <w:t xml:space="preserve"> door het Hof afgegeven kan worden.</w:t>
      </w:r>
      <w:r w:rsidR="00696547">
        <w:rPr>
          <w:rFonts w:ascii="Verdana" w:hAnsi="Verdana"/>
          <w:sz w:val="18"/>
          <w:szCs w:val="18"/>
          <w:lang w:val="nl-NL"/>
        </w:rPr>
        <w:t xml:space="preserve"> Hierbij is van belang dat de behandeling van een adviesaanvraag géén procedure op tegenspraak is, zoals dat wel het geval zou zijn bij de behandeling van een </w:t>
      </w:r>
      <w:r w:rsidR="00DF58ED">
        <w:rPr>
          <w:rFonts w:ascii="Verdana" w:hAnsi="Verdana"/>
          <w:sz w:val="18"/>
          <w:szCs w:val="18"/>
          <w:lang w:val="nl-NL"/>
        </w:rPr>
        <w:t>verzoek</w:t>
      </w:r>
      <w:r w:rsidR="00696547">
        <w:rPr>
          <w:rFonts w:ascii="Verdana" w:hAnsi="Verdana"/>
          <w:sz w:val="18"/>
          <w:szCs w:val="18"/>
          <w:lang w:val="nl-NL"/>
        </w:rPr>
        <w:t xml:space="preserve">schrift op basis van artikel 34 EVRM. </w:t>
      </w:r>
      <w:r w:rsidR="00696547" w:rsidRPr="00696547">
        <w:rPr>
          <w:rFonts w:ascii="Verdana" w:hAnsi="Verdana"/>
          <w:sz w:val="18"/>
          <w:szCs w:val="18"/>
          <w:lang w:val="nl-NL"/>
        </w:rPr>
        <w:t xml:space="preserve">De </w:t>
      </w:r>
      <w:r w:rsidR="00696547">
        <w:rPr>
          <w:rFonts w:ascii="Verdana" w:hAnsi="Verdana"/>
          <w:sz w:val="18"/>
          <w:szCs w:val="18"/>
          <w:lang w:val="nl-NL"/>
        </w:rPr>
        <w:t>staat waartoe het nationale gerecht behoort dat de adviesaanvraag heeft gericht aan het Hof</w:t>
      </w:r>
      <w:r w:rsidR="00696547" w:rsidRPr="00696547">
        <w:rPr>
          <w:rFonts w:ascii="Verdana" w:hAnsi="Verdana"/>
          <w:sz w:val="18"/>
          <w:szCs w:val="18"/>
          <w:lang w:val="nl-NL"/>
        </w:rPr>
        <w:t xml:space="preserve"> heeft een recht</w:t>
      </w:r>
      <w:r w:rsidR="00DF58ED">
        <w:rPr>
          <w:rFonts w:ascii="Verdana" w:hAnsi="Verdana"/>
          <w:sz w:val="18"/>
          <w:szCs w:val="18"/>
          <w:lang w:val="nl-NL"/>
        </w:rPr>
        <w:t>,</w:t>
      </w:r>
    </w:p>
    <w:p w:rsidR="00035351" w:rsidRPr="000D0695" w:rsidRDefault="007168DA" w:rsidP="001A68C4">
      <w:pPr>
        <w:spacing w:line="360" w:lineRule="auto"/>
        <w:jc w:val="both"/>
        <w:rPr>
          <w:rFonts w:ascii="Verdana" w:hAnsi="Verdana"/>
          <w:sz w:val="18"/>
          <w:szCs w:val="18"/>
          <w:lang w:val="nl-NL"/>
        </w:rPr>
      </w:pPr>
      <w:r>
        <w:rPr>
          <w:rFonts w:ascii="Verdana" w:hAnsi="Verdana"/>
          <w:sz w:val="18"/>
          <w:szCs w:val="18"/>
          <w:lang w:val="nl-NL"/>
        </w:rPr>
        <w:br w:type="column"/>
      </w:r>
      <w:r w:rsidR="00DF58ED">
        <w:rPr>
          <w:rFonts w:ascii="Verdana" w:hAnsi="Verdana"/>
          <w:sz w:val="18"/>
          <w:szCs w:val="18"/>
          <w:lang w:val="nl-NL"/>
        </w:rPr>
        <w:lastRenderedPageBreak/>
        <w:t xml:space="preserve">geen plicht, </w:t>
      </w:r>
      <w:r w:rsidR="00696547" w:rsidRPr="00696547">
        <w:rPr>
          <w:rFonts w:ascii="Verdana" w:hAnsi="Verdana"/>
          <w:sz w:val="18"/>
          <w:szCs w:val="18"/>
          <w:lang w:val="nl-NL"/>
        </w:rPr>
        <w:t>om deel te nemen aan de behandeling</w:t>
      </w:r>
      <w:r w:rsidR="00696547">
        <w:rPr>
          <w:rFonts w:ascii="Verdana" w:hAnsi="Verdana"/>
          <w:sz w:val="18"/>
          <w:szCs w:val="18"/>
          <w:lang w:val="nl-NL"/>
        </w:rPr>
        <w:t xml:space="preserve"> van de adviesaanvraag. Hetzelfde geldt voor de Mensenrechtencommissaris van de Raad van Europa. </w:t>
      </w:r>
      <w:r w:rsidR="00696547" w:rsidRPr="00696547">
        <w:rPr>
          <w:rFonts w:ascii="Verdana" w:hAnsi="Verdana"/>
          <w:sz w:val="18"/>
          <w:szCs w:val="18"/>
          <w:lang w:val="nl-NL"/>
        </w:rPr>
        <w:t>Andere partijen</w:t>
      </w:r>
      <w:r w:rsidR="00696547">
        <w:rPr>
          <w:rFonts w:ascii="Verdana" w:hAnsi="Verdana"/>
          <w:sz w:val="18"/>
          <w:szCs w:val="18"/>
          <w:lang w:val="nl-NL"/>
        </w:rPr>
        <w:t>,</w:t>
      </w:r>
      <w:r w:rsidR="00696547" w:rsidRPr="00696547">
        <w:rPr>
          <w:rFonts w:ascii="Verdana" w:hAnsi="Verdana"/>
          <w:sz w:val="18"/>
          <w:szCs w:val="18"/>
          <w:lang w:val="nl-NL"/>
        </w:rPr>
        <w:t xml:space="preserve"> inclusief andere </w:t>
      </w:r>
      <w:r w:rsidR="00696547">
        <w:rPr>
          <w:rFonts w:ascii="Verdana" w:hAnsi="Verdana"/>
          <w:sz w:val="18"/>
          <w:szCs w:val="18"/>
          <w:lang w:val="nl-NL"/>
        </w:rPr>
        <w:t>Verdragsluitende Partijen</w:t>
      </w:r>
      <w:r w:rsidR="00696547" w:rsidRPr="00696547">
        <w:rPr>
          <w:rFonts w:ascii="Verdana" w:hAnsi="Verdana"/>
          <w:sz w:val="18"/>
          <w:szCs w:val="18"/>
          <w:lang w:val="nl-NL"/>
        </w:rPr>
        <w:t xml:space="preserve"> en de procespartijen in de onderliggende nationale procedure</w:t>
      </w:r>
      <w:r w:rsidR="00696547">
        <w:rPr>
          <w:rFonts w:ascii="Verdana" w:hAnsi="Verdana"/>
          <w:sz w:val="18"/>
          <w:szCs w:val="18"/>
          <w:lang w:val="nl-NL"/>
        </w:rPr>
        <w:t>,</w:t>
      </w:r>
      <w:r w:rsidR="00696547" w:rsidRPr="00696547">
        <w:rPr>
          <w:rFonts w:ascii="Verdana" w:hAnsi="Verdana"/>
          <w:sz w:val="18"/>
          <w:szCs w:val="18"/>
          <w:lang w:val="nl-NL"/>
        </w:rPr>
        <w:t xml:space="preserve"> kunnen door </w:t>
      </w:r>
      <w:r w:rsidR="00696547">
        <w:rPr>
          <w:rFonts w:ascii="Verdana" w:hAnsi="Verdana"/>
          <w:sz w:val="18"/>
          <w:szCs w:val="18"/>
          <w:lang w:val="nl-NL"/>
        </w:rPr>
        <w:t xml:space="preserve">de President van </w:t>
      </w:r>
      <w:r w:rsidR="00696547" w:rsidRPr="00696547">
        <w:rPr>
          <w:rFonts w:ascii="Verdana" w:hAnsi="Verdana"/>
          <w:sz w:val="18"/>
          <w:szCs w:val="18"/>
          <w:lang w:val="nl-NL"/>
        </w:rPr>
        <w:t>het Hof in het belang van een goede</w:t>
      </w:r>
      <w:r w:rsidR="00696547">
        <w:rPr>
          <w:rFonts w:ascii="Verdana" w:hAnsi="Verdana"/>
          <w:sz w:val="18"/>
          <w:szCs w:val="18"/>
          <w:lang w:val="nl-NL"/>
        </w:rPr>
        <w:t xml:space="preserve"> </w:t>
      </w:r>
      <w:r w:rsidR="00696547" w:rsidRPr="00696547">
        <w:rPr>
          <w:rFonts w:ascii="Verdana" w:hAnsi="Verdana"/>
          <w:sz w:val="18"/>
          <w:szCs w:val="18"/>
          <w:lang w:val="nl-NL"/>
        </w:rPr>
        <w:t>rechtsbedeling</w:t>
      </w:r>
      <w:r w:rsidR="00696547">
        <w:rPr>
          <w:rFonts w:ascii="Verdana" w:hAnsi="Verdana"/>
          <w:sz w:val="18"/>
          <w:szCs w:val="18"/>
          <w:lang w:val="nl-NL"/>
        </w:rPr>
        <w:t xml:space="preserve"> </w:t>
      </w:r>
      <w:r w:rsidR="00696547" w:rsidRPr="00696547">
        <w:rPr>
          <w:rFonts w:ascii="Verdana" w:hAnsi="Verdana"/>
          <w:sz w:val="18"/>
          <w:szCs w:val="18"/>
          <w:lang w:val="nl-NL"/>
        </w:rPr>
        <w:t>worden uitgenodigd om deel te nemen</w:t>
      </w:r>
      <w:r w:rsidR="00DF58ED">
        <w:rPr>
          <w:rFonts w:ascii="Verdana" w:hAnsi="Verdana"/>
          <w:sz w:val="18"/>
          <w:szCs w:val="18"/>
          <w:lang w:val="nl-NL"/>
        </w:rPr>
        <w:t xml:space="preserve"> in de procedure</w:t>
      </w:r>
      <w:r w:rsidR="00696547" w:rsidRPr="00696547">
        <w:rPr>
          <w:rFonts w:ascii="Verdana" w:hAnsi="Verdana"/>
          <w:sz w:val="18"/>
          <w:szCs w:val="18"/>
          <w:lang w:val="nl-NL"/>
        </w:rPr>
        <w:t xml:space="preserve"> </w:t>
      </w:r>
      <w:r w:rsidR="00696547">
        <w:rPr>
          <w:rFonts w:ascii="Verdana" w:hAnsi="Verdana"/>
          <w:sz w:val="18"/>
          <w:szCs w:val="18"/>
          <w:lang w:val="nl-NL"/>
        </w:rPr>
        <w:t>(</w:t>
      </w:r>
      <w:r w:rsidR="00696547" w:rsidRPr="00696547">
        <w:rPr>
          <w:rFonts w:ascii="Verdana" w:hAnsi="Verdana"/>
          <w:sz w:val="18"/>
          <w:szCs w:val="18"/>
          <w:lang w:val="nl-NL"/>
        </w:rPr>
        <w:t>cf. artikel 36</w:t>
      </w:r>
      <w:r w:rsidR="00696547">
        <w:rPr>
          <w:rFonts w:ascii="Verdana" w:hAnsi="Verdana"/>
          <w:sz w:val="18"/>
          <w:szCs w:val="18"/>
          <w:lang w:val="nl-NL"/>
        </w:rPr>
        <w:t>, tweede lid,</w:t>
      </w:r>
      <w:r w:rsidR="00696547" w:rsidRPr="00696547">
        <w:rPr>
          <w:rFonts w:ascii="Verdana" w:hAnsi="Verdana"/>
          <w:sz w:val="18"/>
          <w:szCs w:val="18"/>
          <w:lang w:val="nl-NL"/>
        </w:rPr>
        <w:t xml:space="preserve"> EVRM</w:t>
      </w:r>
      <w:r w:rsidR="00696547">
        <w:rPr>
          <w:rFonts w:ascii="Verdana" w:hAnsi="Verdana"/>
          <w:sz w:val="18"/>
          <w:szCs w:val="18"/>
          <w:lang w:val="nl-NL"/>
        </w:rPr>
        <w:t>)</w:t>
      </w:r>
      <w:r w:rsidR="00696547" w:rsidRPr="00696547">
        <w:rPr>
          <w:rFonts w:ascii="Verdana" w:hAnsi="Verdana"/>
          <w:sz w:val="18"/>
          <w:szCs w:val="18"/>
          <w:lang w:val="nl-NL"/>
        </w:rPr>
        <w:t>.</w:t>
      </w:r>
      <w:r w:rsidR="00696547">
        <w:rPr>
          <w:rFonts w:ascii="Verdana" w:hAnsi="Verdana"/>
          <w:sz w:val="18"/>
          <w:szCs w:val="18"/>
          <w:lang w:val="nl-NL"/>
        </w:rPr>
        <w:t xml:space="preserve"> Het is aan het Hof om de procedure nader in te richten. Zo wordt in het midden gelaten of het Hof schriftelijke opmerkingen wenst te ontvangen of een hoorzitting wenst te houden.</w:t>
      </w:r>
      <w:r w:rsidR="00035351" w:rsidRPr="000D0695">
        <w:rPr>
          <w:rFonts w:ascii="Verdana" w:hAnsi="Verdana"/>
          <w:sz w:val="18"/>
          <w:szCs w:val="18"/>
          <w:lang w:val="nl-NL"/>
        </w:rPr>
        <w:t xml:space="preserve"> </w:t>
      </w:r>
    </w:p>
    <w:p w:rsidR="00836DC5" w:rsidRPr="000D0695" w:rsidRDefault="00836DC5" w:rsidP="001A68C4">
      <w:pPr>
        <w:spacing w:line="360" w:lineRule="auto"/>
        <w:jc w:val="both"/>
        <w:rPr>
          <w:rFonts w:ascii="Verdana" w:hAnsi="Verdana"/>
          <w:sz w:val="18"/>
          <w:szCs w:val="18"/>
          <w:lang w:val="nl-NL"/>
        </w:rPr>
      </w:pPr>
    </w:p>
    <w:p w:rsidR="00836DC5" w:rsidRPr="000D0695" w:rsidRDefault="00836DC5" w:rsidP="001A68C4">
      <w:pPr>
        <w:spacing w:line="360" w:lineRule="auto"/>
        <w:jc w:val="both"/>
        <w:rPr>
          <w:rFonts w:ascii="Verdana" w:hAnsi="Verdana"/>
          <w:sz w:val="18"/>
          <w:szCs w:val="18"/>
          <w:lang w:val="nl-NL"/>
        </w:rPr>
      </w:pPr>
      <w:r w:rsidRPr="000D0695">
        <w:rPr>
          <w:rFonts w:ascii="Verdana" w:hAnsi="Verdana"/>
          <w:b/>
          <w:sz w:val="18"/>
          <w:szCs w:val="18"/>
          <w:lang w:val="nl-NL"/>
        </w:rPr>
        <w:t>Artikel 4</w:t>
      </w:r>
    </w:p>
    <w:p w:rsidR="00FF10FB" w:rsidRPr="00636248" w:rsidRDefault="00636248" w:rsidP="001A68C4">
      <w:pPr>
        <w:spacing w:line="360" w:lineRule="auto"/>
        <w:jc w:val="both"/>
        <w:rPr>
          <w:rFonts w:ascii="Verdana" w:hAnsi="Verdana"/>
          <w:i/>
          <w:sz w:val="18"/>
          <w:szCs w:val="18"/>
          <w:lang w:val="nl-NL"/>
        </w:rPr>
      </w:pPr>
      <w:r>
        <w:rPr>
          <w:rFonts w:ascii="Verdana" w:hAnsi="Verdana"/>
          <w:i/>
          <w:sz w:val="18"/>
          <w:szCs w:val="18"/>
          <w:lang w:val="nl-NL"/>
        </w:rPr>
        <w:t>Lid 1</w:t>
      </w:r>
    </w:p>
    <w:p w:rsidR="00836DC5" w:rsidRPr="00017C65" w:rsidRDefault="00017C65" w:rsidP="001A68C4">
      <w:pPr>
        <w:spacing w:line="360" w:lineRule="auto"/>
        <w:jc w:val="both"/>
        <w:rPr>
          <w:rFonts w:ascii="Verdana" w:hAnsi="Verdana"/>
          <w:sz w:val="18"/>
          <w:szCs w:val="18"/>
          <w:lang w:val="nl-NL"/>
        </w:rPr>
      </w:pPr>
      <w:r>
        <w:rPr>
          <w:rFonts w:ascii="Verdana" w:hAnsi="Verdana"/>
          <w:sz w:val="18"/>
          <w:szCs w:val="18"/>
          <w:lang w:val="nl-NL"/>
        </w:rPr>
        <w:t xml:space="preserve">Het eerste lid bepaalt dat een </w:t>
      </w:r>
      <w:r w:rsidR="00DF58ED" w:rsidRPr="0068113F">
        <w:rPr>
          <w:rFonts w:ascii="Verdana" w:hAnsi="Verdana"/>
          <w:sz w:val="18"/>
          <w:szCs w:val="18"/>
          <w:lang w:val="nl-NL"/>
        </w:rPr>
        <w:t>advies</w:t>
      </w:r>
      <w:r>
        <w:rPr>
          <w:rFonts w:ascii="Verdana" w:hAnsi="Verdana"/>
          <w:sz w:val="18"/>
          <w:szCs w:val="18"/>
          <w:lang w:val="nl-NL"/>
        </w:rPr>
        <w:t xml:space="preserve"> met redenen dient te worden omkleed (cf. artikel 45, eerste lid, EVRM).</w:t>
      </w:r>
    </w:p>
    <w:p w:rsidR="00017C65" w:rsidRDefault="00017C65" w:rsidP="001A68C4">
      <w:pPr>
        <w:spacing w:line="360" w:lineRule="auto"/>
        <w:jc w:val="both"/>
        <w:rPr>
          <w:rFonts w:ascii="Verdana" w:hAnsi="Verdana"/>
          <w:sz w:val="18"/>
          <w:szCs w:val="18"/>
          <w:lang w:val="nl-NL"/>
        </w:rPr>
      </w:pPr>
    </w:p>
    <w:p w:rsidR="00636248" w:rsidRPr="00636248" w:rsidRDefault="00636248" w:rsidP="001A68C4">
      <w:pPr>
        <w:spacing w:line="360" w:lineRule="auto"/>
        <w:jc w:val="both"/>
        <w:rPr>
          <w:rFonts w:ascii="Verdana" w:hAnsi="Verdana"/>
          <w:i/>
          <w:sz w:val="18"/>
          <w:szCs w:val="18"/>
          <w:lang w:val="nl-NL"/>
        </w:rPr>
      </w:pPr>
      <w:r>
        <w:rPr>
          <w:rFonts w:ascii="Verdana" w:hAnsi="Verdana"/>
          <w:i/>
          <w:sz w:val="18"/>
          <w:szCs w:val="18"/>
          <w:lang w:val="nl-NL"/>
        </w:rPr>
        <w:t>Lid 2</w:t>
      </w:r>
    </w:p>
    <w:p w:rsidR="00636248" w:rsidRPr="00017C65" w:rsidRDefault="00017C65" w:rsidP="00017C65">
      <w:pPr>
        <w:spacing w:line="360" w:lineRule="auto"/>
        <w:jc w:val="both"/>
        <w:rPr>
          <w:rFonts w:ascii="Verdana" w:hAnsi="Verdana"/>
          <w:sz w:val="18"/>
          <w:szCs w:val="18"/>
          <w:lang w:val="nl-NL"/>
        </w:rPr>
      </w:pPr>
      <w:r>
        <w:rPr>
          <w:rFonts w:ascii="Verdana" w:hAnsi="Verdana"/>
          <w:sz w:val="18"/>
          <w:szCs w:val="18"/>
          <w:lang w:val="nl-NL"/>
        </w:rPr>
        <w:t xml:space="preserve">Het tweede lid bepaalt dat </w:t>
      </w:r>
      <w:r w:rsidRPr="00017C65">
        <w:rPr>
          <w:rFonts w:ascii="Verdana" w:hAnsi="Verdana"/>
          <w:sz w:val="18"/>
          <w:szCs w:val="18"/>
          <w:lang w:val="nl-NL"/>
        </w:rPr>
        <w:t>iedere</w:t>
      </w:r>
      <w:r>
        <w:rPr>
          <w:rFonts w:ascii="Verdana" w:hAnsi="Verdana"/>
          <w:sz w:val="18"/>
          <w:szCs w:val="18"/>
          <w:lang w:val="nl-NL"/>
        </w:rPr>
        <w:t xml:space="preserve"> </w:t>
      </w:r>
      <w:r w:rsidRPr="00017C65">
        <w:rPr>
          <w:rFonts w:ascii="Verdana" w:hAnsi="Verdana"/>
          <w:sz w:val="18"/>
          <w:szCs w:val="18"/>
          <w:lang w:val="nl-NL"/>
        </w:rPr>
        <w:t xml:space="preserve">rechter </w:t>
      </w:r>
      <w:r>
        <w:rPr>
          <w:rFonts w:ascii="Verdana" w:hAnsi="Verdana"/>
          <w:sz w:val="18"/>
          <w:szCs w:val="18"/>
          <w:lang w:val="nl-NL"/>
        </w:rPr>
        <w:t xml:space="preserve">in de Grote Kamer van het Hof </w:t>
      </w:r>
      <w:r w:rsidRPr="00017C65">
        <w:rPr>
          <w:rFonts w:ascii="Verdana" w:hAnsi="Verdana"/>
          <w:sz w:val="18"/>
          <w:szCs w:val="18"/>
          <w:lang w:val="nl-NL"/>
        </w:rPr>
        <w:t xml:space="preserve">het recht </w:t>
      </w:r>
      <w:r>
        <w:rPr>
          <w:rFonts w:ascii="Verdana" w:hAnsi="Verdana"/>
          <w:sz w:val="18"/>
          <w:szCs w:val="18"/>
          <w:lang w:val="nl-NL"/>
        </w:rPr>
        <w:t xml:space="preserve">zal hebben </w:t>
      </w:r>
      <w:r w:rsidRPr="00017C65">
        <w:rPr>
          <w:rFonts w:ascii="Verdana" w:hAnsi="Verdana"/>
          <w:sz w:val="18"/>
          <w:szCs w:val="18"/>
          <w:lang w:val="nl-NL"/>
        </w:rPr>
        <w:t xml:space="preserve">een uiteenzetting van zijn </w:t>
      </w:r>
      <w:r>
        <w:rPr>
          <w:rFonts w:ascii="Verdana" w:hAnsi="Verdana"/>
          <w:sz w:val="18"/>
          <w:szCs w:val="18"/>
          <w:lang w:val="nl-NL"/>
        </w:rPr>
        <w:t xml:space="preserve">of haar </w:t>
      </w:r>
      <w:r w:rsidRPr="00017C65">
        <w:rPr>
          <w:rFonts w:ascii="Verdana" w:hAnsi="Verdana"/>
          <w:sz w:val="18"/>
          <w:szCs w:val="18"/>
          <w:lang w:val="nl-NL"/>
        </w:rPr>
        <w:t>persoonlijke mening</w:t>
      </w:r>
      <w:r>
        <w:rPr>
          <w:rFonts w:ascii="Verdana" w:hAnsi="Verdana"/>
          <w:sz w:val="18"/>
          <w:szCs w:val="18"/>
          <w:lang w:val="nl-NL"/>
        </w:rPr>
        <w:t xml:space="preserve"> toe te voegen aan </w:t>
      </w:r>
      <w:r w:rsidR="006B31E3">
        <w:rPr>
          <w:rFonts w:ascii="Verdana" w:hAnsi="Verdana"/>
          <w:sz w:val="18"/>
          <w:szCs w:val="18"/>
          <w:lang w:val="nl-NL"/>
        </w:rPr>
        <w:t>het advies</w:t>
      </w:r>
      <w:r>
        <w:rPr>
          <w:rFonts w:ascii="Verdana" w:hAnsi="Verdana"/>
          <w:sz w:val="18"/>
          <w:szCs w:val="18"/>
          <w:lang w:val="nl-NL"/>
        </w:rPr>
        <w:t xml:space="preserve"> (de zogenaamde </w:t>
      </w:r>
      <w:proofErr w:type="spellStart"/>
      <w:r>
        <w:rPr>
          <w:rFonts w:ascii="Verdana" w:hAnsi="Verdana"/>
          <w:i/>
          <w:sz w:val="18"/>
          <w:szCs w:val="18"/>
          <w:lang w:val="nl-NL"/>
        </w:rPr>
        <w:t>dissenting</w:t>
      </w:r>
      <w:proofErr w:type="spellEnd"/>
      <w:r>
        <w:rPr>
          <w:rFonts w:ascii="Verdana" w:hAnsi="Verdana"/>
          <w:i/>
          <w:sz w:val="18"/>
          <w:szCs w:val="18"/>
          <w:lang w:val="nl-NL"/>
        </w:rPr>
        <w:t xml:space="preserve"> </w:t>
      </w:r>
      <w:r>
        <w:rPr>
          <w:rFonts w:ascii="Verdana" w:hAnsi="Verdana"/>
          <w:sz w:val="18"/>
          <w:szCs w:val="18"/>
          <w:lang w:val="nl-NL"/>
        </w:rPr>
        <w:t xml:space="preserve">of </w:t>
      </w:r>
      <w:proofErr w:type="spellStart"/>
      <w:r>
        <w:rPr>
          <w:rFonts w:ascii="Verdana" w:hAnsi="Verdana"/>
          <w:i/>
          <w:sz w:val="18"/>
          <w:szCs w:val="18"/>
          <w:lang w:val="nl-NL"/>
        </w:rPr>
        <w:t>concurring</w:t>
      </w:r>
      <w:proofErr w:type="spellEnd"/>
      <w:r>
        <w:rPr>
          <w:rFonts w:ascii="Verdana" w:hAnsi="Verdana"/>
          <w:i/>
          <w:sz w:val="18"/>
          <w:szCs w:val="18"/>
          <w:lang w:val="nl-NL"/>
        </w:rPr>
        <w:t xml:space="preserve"> opinion</w:t>
      </w:r>
      <w:r>
        <w:rPr>
          <w:rFonts w:ascii="Verdana" w:hAnsi="Verdana"/>
          <w:sz w:val="18"/>
          <w:szCs w:val="18"/>
          <w:lang w:val="nl-NL"/>
        </w:rPr>
        <w:t>), zoals dit ook het geval is bij uitspraken van het Hof (zie artikel 45, tweede lid, EVRM).</w:t>
      </w:r>
    </w:p>
    <w:p w:rsidR="00017C65" w:rsidRDefault="00017C65" w:rsidP="001A68C4">
      <w:pPr>
        <w:spacing w:line="360" w:lineRule="auto"/>
        <w:jc w:val="both"/>
        <w:rPr>
          <w:rFonts w:ascii="Verdana" w:hAnsi="Verdana"/>
          <w:sz w:val="18"/>
          <w:szCs w:val="18"/>
          <w:lang w:val="nl-NL"/>
        </w:rPr>
      </w:pPr>
    </w:p>
    <w:p w:rsidR="00636248" w:rsidRPr="00636248" w:rsidRDefault="00636248" w:rsidP="001A68C4">
      <w:pPr>
        <w:spacing w:line="360" w:lineRule="auto"/>
        <w:jc w:val="both"/>
        <w:rPr>
          <w:rFonts w:ascii="Verdana" w:hAnsi="Verdana"/>
          <w:i/>
          <w:sz w:val="18"/>
          <w:szCs w:val="18"/>
          <w:lang w:val="nl-NL"/>
        </w:rPr>
      </w:pPr>
      <w:r>
        <w:rPr>
          <w:rFonts w:ascii="Verdana" w:hAnsi="Verdana"/>
          <w:i/>
          <w:sz w:val="18"/>
          <w:szCs w:val="18"/>
          <w:lang w:val="nl-NL"/>
        </w:rPr>
        <w:t>Lid 3</w:t>
      </w:r>
    </w:p>
    <w:p w:rsidR="00636248" w:rsidRPr="00FA5AD1" w:rsidRDefault="001C30EB" w:rsidP="001A68C4">
      <w:pPr>
        <w:spacing w:line="360" w:lineRule="auto"/>
        <w:jc w:val="both"/>
        <w:rPr>
          <w:rFonts w:ascii="Verdana" w:hAnsi="Verdana"/>
          <w:sz w:val="18"/>
          <w:szCs w:val="18"/>
          <w:lang w:val="nl-NL"/>
        </w:rPr>
      </w:pPr>
      <w:r>
        <w:rPr>
          <w:rFonts w:ascii="Verdana" w:hAnsi="Verdana"/>
          <w:sz w:val="18"/>
          <w:szCs w:val="18"/>
          <w:lang w:val="nl-NL"/>
        </w:rPr>
        <w:t xml:space="preserve">Het derde lid bepaalt dat het Hof een </w:t>
      </w:r>
      <w:r w:rsidR="006B31E3" w:rsidRPr="0068113F">
        <w:rPr>
          <w:rFonts w:ascii="Verdana" w:hAnsi="Verdana"/>
          <w:sz w:val="18"/>
          <w:szCs w:val="18"/>
          <w:lang w:val="nl-NL"/>
        </w:rPr>
        <w:t>advies</w:t>
      </w:r>
      <w:r>
        <w:rPr>
          <w:rFonts w:ascii="Verdana" w:hAnsi="Verdana"/>
          <w:sz w:val="18"/>
          <w:szCs w:val="18"/>
          <w:lang w:val="nl-NL"/>
        </w:rPr>
        <w:t xml:space="preserve"> ter kennis zal brengen aan het nationale gerecht dat de adviesaanvraag heeft ingediend én aan de autoriteiten van de staat waartoe het nationale gerecht behoort. Daarnaast mag verwacht worden dat </w:t>
      </w:r>
      <w:r w:rsidR="006B31E3">
        <w:rPr>
          <w:rFonts w:ascii="Verdana" w:hAnsi="Verdana"/>
          <w:sz w:val="18"/>
          <w:szCs w:val="18"/>
          <w:lang w:val="nl-NL"/>
        </w:rPr>
        <w:t>het advies</w:t>
      </w:r>
      <w:r>
        <w:rPr>
          <w:rFonts w:ascii="Verdana" w:hAnsi="Verdana"/>
          <w:sz w:val="18"/>
          <w:szCs w:val="18"/>
          <w:lang w:val="nl-NL"/>
        </w:rPr>
        <w:t xml:space="preserve"> ter kennis wordt gebracht aan een partij die op basis van artikel 3 deel heeft genomen aan de procedure. Het Hof zal, zoals dat eveneens gebruikelijk is bij uitspraken en beslissingen van het Hof, een </w:t>
      </w:r>
      <w:r w:rsidR="006B31E3" w:rsidRPr="0068113F">
        <w:rPr>
          <w:rFonts w:ascii="Verdana" w:hAnsi="Verdana"/>
          <w:sz w:val="18"/>
          <w:szCs w:val="18"/>
          <w:lang w:val="nl-NL"/>
        </w:rPr>
        <w:t>advies</w:t>
      </w:r>
      <w:r>
        <w:rPr>
          <w:rFonts w:ascii="Verdana" w:hAnsi="Verdana"/>
          <w:sz w:val="18"/>
          <w:szCs w:val="18"/>
          <w:lang w:val="nl-NL"/>
        </w:rPr>
        <w:t xml:space="preserve"> opstellen in één van de </w:t>
      </w:r>
      <w:r w:rsidR="0068113F">
        <w:rPr>
          <w:rFonts w:ascii="Verdana" w:hAnsi="Verdana"/>
          <w:sz w:val="18"/>
          <w:szCs w:val="18"/>
          <w:lang w:val="nl-NL"/>
        </w:rPr>
        <w:t xml:space="preserve">of beide </w:t>
      </w:r>
      <w:r>
        <w:rPr>
          <w:rFonts w:ascii="Verdana" w:hAnsi="Verdana"/>
          <w:sz w:val="18"/>
          <w:szCs w:val="18"/>
          <w:lang w:val="nl-NL"/>
        </w:rPr>
        <w:t xml:space="preserve">officiële talen van het Hof (Engels </w:t>
      </w:r>
      <w:r w:rsidR="0068113F">
        <w:rPr>
          <w:rFonts w:ascii="Verdana" w:hAnsi="Verdana"/>
          <w:sz w:val="18"/>
          <w:szCs w:val="18"/>
          <w:lang w:val="nl-NL"/>
        </w:rPr>
        <w:t>en/</w:t>
      </w:r>
      <w:r>
        <w:rPr>
          <w:rFonts w:ascii="Verdana" w:hAnsi="Verdana"/>
          <w:sz w:val="18"/>
          <w:szCs w:val="18"/>
          <w:lang w:val="nl-NL"/>
        </w:rPr>
        <w:t xml:space="preserve">of Frans). Het ministerie van Veiligheid en Justitie zal, </w:t>
      </w:r>
      <w:r w:rsidR="0068113F">
        <w:rPr>
          <w:rFonts w:ascii="Verdana" w:hAnsi="Verdana"/>
          <w:sz w:val="18"/>
          <w:szCs w:val="18"/>
          <w:lang w:val="nl-NL"/>
        </w:rPr>
        <w:t>door tussenkomst van een beëdigd vertaler</w:t>
      </w:r>
      <w:r>
        <w:rPr>
          <w:rFonts w:ascii="Verdana" w:hAnsi="Verdana"/>
          <w:sz w:val="18"/>
          <w:szCs w:val="18"/>
          <w:lang w:val="nl-NL"/>
        </w:rPr>
        <w:t xml:space="preserve">, zorg dragen voor een vertaling van het advies en deze binnen </w:t>
      </w:r>
      <w:r w:rsidR="006B31E3">
        <w:rPr>
          <w:rFonts w:ascii="Verdana" w:hAnsi="Verdana"/>
          <w:sz w:val="18"/>
          <w:szCs w:val="18"/>
          <w:lang w:val="nl-NL"/>
        </w:rPr>
        <w:t>dertig</w:t>
      </w:r>
      <w:r>
        <w:rPr>
          <w:rFonts w:ascii="Verdana" w:hAnsi="Verdana"/>
          <w:sz w:val="18"/>
          <w:szCs w:val="18"/>
          <w:lang w:val="nl-NL"/>
        </w:rPr>
        <w:t xml:space="preserve"> dagen doen toekomen aan het nationale gerecht dat de adviesaanvraag heeft ingediend. </w:t>
      </w:r>
      <w:r w:rsidR="00FC010A">
        <w:rPr>
          <w:rFonts w:ascii="Verdana" w:hAnsi="Verdana"/>
          <w:sz w:val="18"/>
          <w:szCs w:val="18"/>
          <w:lang w:val="nl-NL"/>
        </w:rPr>
        <w:t>Hiermee wordt beoogd de vertraging in de nationale procedure tot een minimum te beperken.</w:t>
      </w:r>
      <w:r w:rsidR="00FA5AD1">
        <w:rPr>
          <w:rFonts w:ascii="Verdana" w:hAnsi="Verdana"/>
          <w:sz w:val="18"/>
          <w:szCs w:val="18"/>
          <w:lang w:val="nl-NL"/>
        </w:rPr>
        <w:t xml:space="preserve"> Het </w:t>
      </w:r>
      <w:r w:rsidR="006B31E3" w:rsidRPr="0068113F">
        <w:rPr>
          <w:rFonts w:ascii="Verdana" w:hAnsi="Verdana"/>
          <w:sz w:val="18"/>
          <w:szCs w:val="18"/>
          <w:lang w:val="nl-NL"/>
        </w:rPr>
        <w:t>Toelichtend Rapport</w:t>
      </w:r>
      <w:r w:rsidR="00FA5AD1">
        <w:rPr>
          <w:rFonts w:ascii="Verdana" w:hAnsi="Verdana"/>
          <w:sz w:val="18"/>
          <w:szCs w:val="18"/>
          <w:lang w:val="nl-NL"/>
        </w:rPr>
        <w:t xml:space="preserve"> </w:t>
      </w:r>
      <w:r w:rsidR="001352E8">
        <w:rPr>
          <w:rFonts w:ascii="Verdana" w:hAnsi="Verdana"/>
          <w:sz w:val="18"/>
          <w:szCs w:val="18"/>
          <w:lang w:val="nl-NL"/>
        </w:rPr>
        <w:t xml:space="preserve">van de Raad van Europa </w:t>
      </w:r>
      <w:r w:rsidR="00FA5AD1">
        <w:rPr>
          <w:rFonts w:ascii="Verdana" w:hAnsi="Verdana"/>
          <w:sz w:val="18"/>
          <w:szCs w:val="18"/>
          <w:lang w:val="nl-NL"/>
        </w:rPr>
        <w:t>bij het Protocol voorziet daarnaast in de mogelijkheid van samenwerking tussen het Hof en de nationale autoriteiten bij de voorbereiding van de vertaling.</w:t>
      </w:r>
    </w:p>
    <w:p w:rsidR="001C30EB" w:rsidRDefault="001C30EB" w:rsidP="001A68C4">
      <w:pPr>
        <w:spacing w:line="360" w:lineRule="auto"/>
        <w:jc w:val="both"/>
        <w:rPr>
          <w:rFonts w:ascii="Verdana" w:hAnsi="Verdana"/>
          <w:sz w:val="18"/>
          <w:szCs w:val="18"/>
          <w:lang w:val="nl-NL"/>
        </w:rPr>
      </w:pPr>
    </w:p>
    <w:p w:rsidR="00636248" w:rsidRPr="00636248" w:rsidRDefault="00636248" w:rsidP="001A68C4">
      <w:pPr>
        <w:spacing w:line="360" w:lineRule="auto"/>
        <w:jc w:val="both"/>
        <w:rPr>
          <w:rFonts w:ascii="Verdana" w:hAnsi="Verdana"/>
          <w:i/>
          <w:sz w:val="18"/>
          <w:szCs w:val="18"/>
          <w:lang w:val="nl-NL"/>
        </w:rPr>
      </w:pPr>
      <w:r>
        <w:rPr>
          <w:rFonts w:ascii="Verdana" w:hAnsi="Verdana"/>
          <w:i/>
          <w:sz w:val="18"/>
          <w:szCs w:val="18"/>
          <w:lang w:val="nl-NL"/>
        </w:rPr>
        <w:t>Lid 4</w:t>
      </w:r>
    </w:p>
    <w:p w:rsidR="00636248" w:rsidRPr="00FC010A" w:rsidRDefault="00FC010A" w:rsidP="001A68C4">
      <w:pPr>
        <w:spacing w:line="360" w:lineRule="auto"/>
        <w:jc w:val="both"/>
        <w:rPr>
          <w:rFonts w:ascii="Verdana" w:hAnsi="Verdana"/>
          <w:sz w:val="18"/>
          <w:szCs w:val="18"/>
          <w:lang w:val="nl-NL"/>
        </w:rPr>
      </w:pPr>
      <w:r>
        <w:rPr>
          <w:rFonts w:ascii="Verdana" w:hAnsi="Verdana"/>
          <w:sz w:val="18"/>
          <w:szCs w:val="18"/>
          <w:lang w:val="nl-NL"/>
        </w:rPr>
        <w:t xml:space="preserve">Het vierde lid bepaalt dat </w:t>
      </w:r>
      <w:r w:rsidR="00B24454" w:rsidRPr="0068113F">
        <w:rPr>
          <w:rFonts w:ascii="Verdana" w:hAnsi="Verdana"/>
          <w:sz w:val="18"/>
          <w:szCs w:val="18"/>
          <w:lang w:val="nl-NL"/>
        </w:rPr>
        <w:t>adviezen</w:t>
      </w:r>
      <w:r>
        <w:rPr>
          <w:rFonts w:ascii="Verdana" w:hAnsi="Verdana"/>
          <w:sz w:val="18"/>
          <w:szCs w:val="18"/>
          <w:lang w:val="nl-NL"/>
        </w:rPr>
        <w:t xml:space="preserve"> openbaar worden gemaakt </w:t>
      </w:r>
      <w:r w:rsidR="00FA5AD1">
        <w:rPr>
          <w:rFonts w:ascii="Verdana" w:hAnsi="Verdana"/>
          <w:sz w:val="18"/>
          <w:szCs w:val="18"/>
          <w:lang w:val="nl-NL"/>
        </w:rPr>
        <w:t xml:space="preserve">door het Hof. Verwacht mag worden dat het Hof hierbij aansluit bij de reeds bestaande praktijk ten aanzien van de publicatie van uitspraken </w:t>
      </w:r>
      <w:r>
        <w:rPr>
          <w:rFonts w:ascii="Verdana" w:hAnsi="Verdana"/>
          <w:sz w:val="18"/>
          <w:szCs w:val="18"/>
          <w:lang w:val="nl-NL"/>
        </w:rPr>
        <w:t>(vgl. artikel 44, derde lid, EVRM)</w:t>
      </w:r>
      <w:r w:rsidR="00FA5AD1">
        <w:rPr>
          <w:rFonts w:ascii="Verdana" w:hAnsi="Verdana"/>
          <w:sz w:val="18"/>
          <w:szCs w:val="18"/>
          <w:lang w:val="nl-NL"/>
        </w:rPr>
        <w:t>, inclusief het in acht nemen van de privacy van betrokkenen zoals de procespartijen in de onderliggende nationale procedure</w:t>
      </w:r>
      <w:r>
        <w:rPr>
          <w:rFonts w:ascii="Verdana" w:hAnsi="Verdana"/>
          <w:sz w:val="18"/>
          <w:szCs w:val="18"/>
          <w:lang w:val="nl-NL"/>
        </w:rPr>
        <w:t>.</w:t>
      </w:r>
    </w:p>
    <w:p w:rsidR="00FC010A" w:rsidRPr="000D0695" w:rsidRDefault="00FC010A" w:rsidP="001A68C4">
      <w:pPr>
        <w:spacing w:line="360" w:lineRule="auto"/>
        <w:jc w:val="both"/>
        <w:rPr>
          <w:rFonts w:ascii="Verdana" w:hAnsi="Verdana"/>
          <w:sz w:val="18"/>
          <w:szCs w:val="18"/>
          <w:lang w:val="nl-NL"/>
        </w:rPr>
      </w:pPr>
    </w:p>
    <w:p w:rsidR="00836DC5" w:rsidRPr="000D0695" w:rsidRDefault="007168DA" w:rsidP="001A68C4">
      <w:pPr>
        <w:spacing w:line="360" w:lineRule="auto"/>
        <w:jc w:val="both"/>
        <w:rPr>
          <w:rFonts w:ascii="Verdana" w:hAnsi="Verdana"/>
          <w:sz w:val="18"/>
          <w:szCs w:val="18"/>
          <w:lang w:val="nl-NL"/>
        </w:rPr>
      </w:pPr>
      <w:r>
        <w:rPr>
          <w:rFonts w:ascii="Verdana" w:hAnsi="Verdana"/>
          <w:b/>
          <w:sz w:val="18"/>
          <w:szCs w:val="18"/>
          <w:lang w:val="nl-NL"/>
        </w:rPr>
        <w:br w:type="column"/>
      </w:r>
      <w:r w:rsidR="00836DC5" w:rsidRPr="000D0695">
        <w:rPr>
          <w:rFonts w:ascii="Verdana" w:hAnsi="Verdana"/>
          <w:b/>
          <w:sz w:val="18"/>
          <w:szCs w:val="18"/>
          <w:lang w:val="nl-NL"/>
        </w:rPr>
        <w:lastRenderedPageBreak/>
        <w:t>Artikel 5</w:t>
      </w:r>
    </w:p>
    <w:p w:rsidR="00761D6E" w:rsidRPr="003A30A2" w:rsidRDefault="003A30A2" w:rsidP="001A68C4">
      <w:pPr>
        <w:spacing w:line="360" w:lineRule="auto"/>
        <w:jc w:val="both"/>
        <w:rPr>
          <w:rFonts w:ascii="Verdana" w:hAnsi="Verdana"/>
          <w:sz w:val="18"/>
          <w:szCs w:val="18"/>
          <w:lang w:val="nl-NL"/>
        </w:rPr>
      </w:pPr>
      <w:r>
        <w:rPr>
          <w:rFonts w:ascii="Verdana" w:hAnsi="Verdana"/>
          <w:sz w:val="18"/>
          <w:szCs w:val="18"/>
          <w:lang w:val="nl-NL"/>
        </w:rPr>
        <w:t xml:space="preserve">Artikel 5 bepaalt dat </w:t>
      </w:r>
      <w:r w:rsidR="00B24454" w:rsidRPr="0068113F">
        <w:rPr>
          <w:rFonts w:ascii="Verdana" w:hAnsi="Verdana"/>
          <w:sz w:val="18"/>
          <w:szCs w:val="18"/>
          <w:lang w:val="nl-NL"/>
        </w:rPr>
        <w:t>adviezen</w:t>
      </w:r>
      <w:r>
        <w:rPr>
          <w:rFonts w:ascii="Verdana" w:hAnsi="Verdana"/>
          <w:sz w:val="18"/>
          <w:szCs w:val="18"/>
          <w:lang w:val="nl-NL"/>
        </w:rPr>
        <w:t xml:space="preserve"> niet juridisch bindend zijn voor het nationale gerecht dat om advies heeft verzocht. Het is aan het nationale gerecht om de aldaar aanhangige zaak af te doen. Dit laat uiteraard onverlet dat verwacht mag worden dat het nationale gerecht de zaak zal afdoen met behoorlijke inachtneming van het door het Hof gegeven advies. Deze verwachting lijkt ook gerechtvaardigd gezien het feit dat </w:t>
      </w:r>
      <w:r w:rsidR="00DB5D96">
        <w:rPr>
          <w:rFonts w:ascii="Verdana" w:hAnsi="Verdana"/>
          <w:sz w:val="18"/>
          <w:szCs w:val="18"/>
          <w:lang w:val="nl-NL"/>
        </w:rPr>
        <w:t>aan het nationale gerecht vrij</w:t>
      </w:r>
      <w:r>
        <w:rPr>
          <w:rFonts w:ascii="Verdana" w:hAnsi="Verdana"/>
          <w:sz w:val="18"/>
          <w:szCs w:val="18"/>
          <w:lang w:val="nl-NL"/>
        </w:rPr>
        <w:t xml:space="preserve">stond om al dan niet om het advies van het Hof te verzoeken. </w:t>
      </w:r>
    </w:p>
    <w:p w:rsidR="003A30A2" w:rsidRDefault="003A30A2" w:rsidP="001A68C4">
      <w:pPr>
        <w:spacing w:line="360" w:lineRule="auto"/>
        <w:jc w:val="both"/>
        <w:rPr>
          <w:rFonts w:ascii="Verdana" w:hAnsi="Verdana"/>
          <w:sz w:val="18"/>
          <w:szCs w:val="18"/>
          <w:lang w:val="nl-NL"/>
        </w:rPr>
      </w:pPr>
    </w:p>
    <w:p w:rsidR="003A30A2" w:rsidRDefault="003A30A2" w:rsidP="00BD6277">
      <w:pPr>
        <w:spacing w:line="360" w:lineRule="auto"/>
        <w:jc w:val="both"/>
        <w:rPr>
          <w:rFonts w:ascii="Verdana" w:hAnsi="Verdana"/>
          <w:sz w:val="18"/>
          <w:szCs w:val="18"/>
          <w:lang w:val="nl-NL"/>
        </w:rPr>
      </w:pPr>
      <w:r>
        <w:rPr>
          <w:rFonts w:ascii="Verdana" w:hAnsi="Verdana"/>
          <w:sz w:val="18"/>
          <w:szCs w:val="18"/>
          <w:lang w:val="nl-NL"/>
        </w:rPr>
        <w:t xml:space="preserve">Een gevolg van het feit dat </w:t>
      </w:r>
      <w:r w:rsidR="00B24454" w:rsidRPr="0068113F">
        <w:rPr>
          <w:rFonts w:ascii="Verdana" w:hAnsi="Verdana"/>
          <w:sz w:val="18"/>
          <w:szCs w:val="18"/>
          <w:lang w:val="nl-NL"/>
        </w:rPr>
        <w:t>adviezen</w:t>
      </w:r>
      <w:r>
        <w:rPr>
          <w:rFonts w:ascii="Verdana" w:hAnsi="Verdana"/>
          <w:sz w:val="18"/>
          <w:szCs w:val="18"/>
          <w:lang w:val="nl-NL"/>
        </w:rPr>
        <w:t xml:space="preserve"> niet juridisch bindend zijn is wel dat de procespartij in de onderliggende </w:t>
      </w:r>
      <w:r w:rsidR="00CB4915">
        <w:rPr>
          <w:rFonts w:ascii="Verdana" w:hAnsi="Verdana"/>
          <w:sz w:val="18"/>
          <w:szCs w:val="18"/>
          <w:lang w:val="nl-NL"/>
        </w:rPr>
        <w:t>nationaal rechterlijke</w:t>
      </w:r>
      <w:r>
        <w:rPr>
          <w:rFonts w:ascii="Verdana" w:hAnsi="Verdana"/>
          <w:sz w:val="18"/>
          <w:szCs w:val="18"/>
          <w:lang w:val="nl-NL"/>
        </w:rPr>
        <w:t xml:space="preserve"> procedure niet zijn of haar recht verliest om een </w:t>
      </w:r>
      <w:r w:rsidR="00B24454">
        <w:rPr>
          <w:rFonts w:ascii="Verdana" w:hAnsi="Verdana"/>
          <w:sz w:val="18"/>
          <w:szCs w:val="18"/>
          <w:lang w:val="nl-NL"/>
        </w:rPr>
        <w:t>verzoek</w:t>
      </w:r>
      <w:r>
        <w:rPr>
          <w:rFonts w:ascii="Verdana" w:hAnsi="Verdana"/>
          <w:sz w:val="18"/>
          <w:szCs w:val="18"/>
          <w:lang w:val="nl-NL"/>
        </w:rPr>
        <w:t xml:space="preserve">schrift op basis van artikel 34 van het Verdrag in te dienen. Dit is gerechtvaardigd aangezien een </w:t>
      </w:r>
      <w:r w:rsidR="00BD6277">
        <w:rPr>
          <w:rFonts w:ascii="Verdana" w:hAnsi="Verdana"/>
          <w:sz w:val="18"/>
          <w:szCs w:val="18"/>
          <w:lang w:val="nl-NL"/>
        </w:rPr>
        <w:t>verzoeker</w:t>
      </w:r>
      <w:r>
        <w:rPr>
          <w:rFonts w:ascii="Verdana" w:hAnsi="Verdana"/>
          <w:sz w:val="18"/>
          <w:szCs w:val="18"/>
          <w:lang w:val="nl-NL"/>
        </w:rPr>
        <w:t xml:space="preserve"> niet verstoken mag zijn van door het Hof geboden rechtsbescherming indien het nationale gerecht een </w:t>
      </w:r>
      <w:r w:rsidR="00B24454" w:rsidRPr="0068113F">
        <w:rPr>
          <w:rFonts w:ascii="Verdana" w:hAnsi="Verdana"/>
          <w:sz w:val="18"/>
          <w:szCs w:val="18"/>
          <w:lang w:val="nl-NL"/>
        </w:rPr>
        <w:t>advies</w:t>
      </w:r>
      <w:r>
        <w:rPr>
          <w:rFonts w:ascii="Verdana" w:hAnsi="Verdana"/>
          <w:sz w:val="18"/>
          <w:szCs w:val="18"/>
          <w:lang w:val="nl-NL"/>
        </w:rPr>
        <w:t xml:space="preserve"> negeert of foutief toepast. Men mag daarentegen verwachten dat een </w:t>
      </w:r>
      <w:r w:rsidR="00BD6277">
        <w:rPr>
          <w:rFonts w:ascii="Verdana" w:hAnsi="Verdana"/>
          <w:sz w:val="18"/>
          <w:szCs w:val="18"/>
          <w:lang w:val="nl-NL"/>
        </w:rPr>
        <w:t>verzoek</w:t>
      </w:r>
      <w:r>
        <w:rPr>
          <w:rFonts w:ascii="Verdana" w:hAnsi="Verdana"/>
          <w:sz w:val="18"/>
          <w:szCs w:val="18"/>
          <w:lang w:val="nl-NL"/>
        </w:rPr>
        <w:t xml:space="preserve">schrift niet-ontvankelijk zal worden verklaard door het Hof of van de rol geschrapt zal worden door het Hof </w:t>
      </w:r>
      <w:r w:rsidR="00CB4915">
        <w:rPr>
          <w:rFonts w:ascii="Verdana" w:hAnsi="Verdana"/>
          <w:sz w:val="18"/>
          <w:szCs w:val="18"/>
          <w:lang w:val="nl-NL"/>
        </w:rPr>
        <w:t xml:space="preserve">voor zover </w:t>
      </w:r>
      <w:r>
        <w:rPr>
          <w:rFonts w:ascii="Verdana" w:hAnsi="Verdana"/>
          <w:sz w:val="18"/>
          <w:szCs w:val="18"/>
          <w:lang w:val="nl-NL"/>
        </w:rPr>
        <w:t xml:space="preserve">het nationale gerecht wél effect heeft gegeven aan </w:t>
      </w:r>
      <w:r w:rsidR="00B24454">
        <w:rPr>
          <w:rFonts w:ascii="Verdana" w:hAnsi="Verdana"/>
          <w:sz w:val="18"/>
          <w:szCs w:val="18"/>
          <w:lang w:val="nl-NL"/>
        </w:rPr>
        <w:t>het advies</w:t>
      </w:r>
      <w:r>
        <w:rPr>
          <w:rFonts w:ascii="Verdana" w:hAnsi="Verdana"/>
          <w:sz w:val="18"/>
          <w:szCs w:val="18"/>
          <w:lang w:val="nl-NL"/>
        </w:rPr>
        <w:t xml:space="preserve"> in de onderliggende nationale procedure.</w:t>
      </w:r>
      <w:r w:rsidR="00CB4915">
        <w:rPr>
          <w:rFonts w:ascii="Verdana" w:hAnsi="Verdana"/>
          <w:sz w:val="18"/>
          <w:szCs w:val="18"/>
          <w:lang w:val="nl-NL"/>
        </w:rPr>
        <w:t xml:space="preserve"> Dit is niet geëxpliciteerd in het Protocol aangezien de opstellers van oordeel waren dat de reeds bestaande </w:t>
      </w:r>
      <w:r w:rsidR="00E72AA1">
        <w:rPr>
          <w:rFonts w:ascii="Verdana" w:hAnsi="Verdana"/>
          <w:sz w:val="18"/>
          <w:szCs w:val="18"/>
          <w:lang w:val="nl-NL"/>
        </w:rPr>
        <w:t xml:space="preserve">bepalingen </w:t>
      </w:r>
      <w:r w:rsidR="00CB4915">
        <w:rPr>
          <w:rFonts w:ascii="Verdana" w:hAnsi="Verdana"/>
          <w:sz w:val="18"/>
          <w:szCs w:val="18"/>
          <w:lang w:val="nl-NL"/>
        </w:rPr>
        <w:t>in artikel</w:t>
      </w:r>
      <w:r w:rsidR="00E72AA1">
        <w:rPr>
          <w:rFonts w:ascii="Verdana" w:hAnsi="Verdana"/>
          <w:sz w:val="18"/>
          <w:szCs w:val="18"/>
          <w:lang w:val="nl-NL"/>
        </w:rPr>
        <w:t>en</w:t>
      </w:r>
      <w:r w:rsidR="00CB4915">
        <w:rPr>
          <w:rFonts w:ascii="Verdana" w:hAnsi="Verdana"/>
          <w:sz w:val="18"/>
          <w:szCs w:val="18"/>
          <w:lang w:val="nl-NL"/>
        </w:rPr>
        <w:t xml:space="preserve"> 35 </w:t>
      </w:r>
      <w:r w:rsidR="00E72AA1">
        <w:rPr>
          <w:rFonts w:ascii="Verdana" w:hAnsi="Verdana"/>
          <w:sz w:val="18"/>
          <w:szCs w:val="18"/>
          <w:lang w:val="nl-NL"/>
        </w:rPr>
        <w:t xml:space="preserve">en 37 </w:t>
      </w:r>
      <w:r w:rsidR="00BD6277">
        <w:rPr>
          <w:rFonts w:ascii="Verdana" w:hAnsi="Verdana"/>
          <w:sz w:val="18"/>
          <w:szCs w:val="18"/>
          <w:lang w:val="nl-NL"/>
        </w:rPr>
        <w:t>EVRM</w:t>
      </w:r>
      <w:r w:rsidR="00CB4915">
        <w:rPr>
          <w:rFonts w:ascii="Verdana" w:hAnsi="Verdana"/>
          <w:sz w:val="18"/>
          <w:szCs w:val="18"/>
          <w:lang w:val="nl-NL"/>
        </w:rPr>
        <w:t xml:space="preserve"> voldoende handvat</w:t>
      </w:r>
      <w:r w:rsidR="00BD6277">
        <w:rPr>
          <w:rFonts w:ascii="Verdana" w:hAnsi="Verdana"/>
          <w:sz w:val="18"/>
          <w:szCs w:val="18"/>
          <w:lang w:val="nl-NL"/>
        </w:rPr>
        <w:t>t</w:t>
      </w:r>
      <w:r w:rsidR="00CB4915">
        <w:rPr>
          <w:rFonts w:ascii="Verdana" w:hAnsi="Verdana"/>
          <w:sz w:val="18"/>
          <w:szCs w:val="18"/>
          <w:lang w:val="nl-NL"/>
        </w:rPr>
        <w:t xml:space="preserve">en zouden moeten bieden voor het kunnen afdoen van een dergelijk </w:t>
      </w:r>
      <w:r w:rsidR="00BD6277">
        <w:rPr>
          <w:rFonts w:ascii="Verdana" w:hAnsi="Verdana"/>
          <w:sz w:val="18"/>
          <w:szCs w:val="18"/>
          <w:lang w:val="nl-NL"/>
        </w:rPr>
        <w:t>verzoek</w:t>
      </w:r>
      <w:r w:rsidR="00CB4915">
        <w:rPr>
          <w:rFonts w:ascii="Verdana" w:hAnsi="Verdana"/>
          <w:sz w:val="18"/>
          <w:szCs w:val="18"/>
          <w:lang w:val="nl-NL"/>
        </w:rPr>
        <w:t>schrift.</w:t>
      </w:r>
    </w:p>
    <w:p w:rsidR="00AA3108" w:rsidRDefault="00AA3108" w:rsidP="001A68C4">
      <w:pPr>
        <w:spacing w:line="360" w:lineRule="auto"/>
        <w:jc w:val="both"/>
        <w:rPr>
          <w:rFonts w:ascii="Verdana" w:hAnsi="Verdana"/>
          <w:sz w:val="18"/>
          <w:szCs w:val="18"/>
          <w:lang w:val="nl-NL"/>
        </w:rPr>
      </w:pPr>
    </w:p>
    <w:p w:rsidR="00AA3108" w:rsidRDefault="00B24454" w:rsidP="001A68C4">
      <w:pPr>
        <w:spacing w:line="360" w:lineRule="auto"/>
        <w:jc w:val="both"/>
        <w:rPr>
          <w:rFonts w:ascii="Verdana" w:hAnsi="Verdana"/>
          <w:sz w:val="18"/>
          <w:szCs w:val="18"/>
          <w:lang w:val="nl-NL"/>
        </w:rPr>
      </w:pPr>
      <w:r>
        <w:rPr>
          <w:rFonts w:ascii="Verdana" w:hAnsi="Verdana"/>
          <w:sz w:val="18"/>
          <w:szCs w:val="18"/>
          <w:lang w:val="nl-NL"/>
        </w:rPr>
        <w:t>H</w:t>
      </w:r>
      <w:r w:rsidR="00AA3108" w:rsidRPr="00B24454">
        <w:rPr>
          <w:rFonts w:ascii="Verdana" w:hAnsi="Verdana"/>
          <w:sz w:val="18"/>
          <w:szCs w:val="18"/>
          <w:lang w:val="nl-NL"/>
        </w:rPr>
        <w:t xml:space="preserve">et feit dat </w:t>
      </w:r>
      <w:r w:rsidRPr="0068113F">
        <w:rPr>
          <w:rFonts w:ascii="Verdana" w:hAnsi="Verdana"/>
          <w:sz w:val="18"/>
          <w:szCs w:val="18"/>
          <w:lang w:val="nl-NL"/>
        </w:rPr>
        <w:t xml:space="preserve">adviezen </w:t>
      </w:r>
      <w:r w:rsidR="00AA3108" w:rsidRPr="00B24454">
        <w:rPr>
          <w:rFonts w:ascii="Verdana" w:hAnsi="Verdana"/>
          <w:sz w:val="18"/>
          <w:szCs w:val="18"/>
          <w:lang w:val="nl-NL"/>
        </w:rPr>
        <w:t xml:space="preserve">niet juridisch bindend zijn </w:t>
      </w:r>
      <w:r>
        <w:rPr>
          <w:rFonts w:ascii="Verdana" w:hAnsi="Verdana"/>
          <w:sz w:val="18"/>
          <w:szCs w:val="18"/>
          <w:lang w:val="nl-NL"/>
        </w:rPr>
        <w:t>laat onverlet</w:t>
      </w:r>
      <w:r w:rsidR="00AA3108" w:rsidRPr="00B24454">
        <w:rPr>
          <w:rFonts w:ascii="Verdana" w:hAnsi="Verdana"/>
          <w:sz w:val="18"/>
          <w:szCs w:val="18"/>
          <w:lang w:val="nl-NL"/>
        </w:rPr>
        <w:t xml:space="preserve"> dat </w:t>
      </w:r>
      <w:r w:rsidRPr="0068113F">
        <w:rPr>
          <w:rFonts w:ascii="Verdana" w:hAnsi="Verdana"/>
          <w:sz w:val="18"/>
          <w:szCs w:val="18"/>
          <w:lang w:val="nl-NL"/>
        </w:rPr>
        <w:t>zij</w:t>
      </w:r>
      <w:r w:rsidR="00AA3108" w:rsidRPr="00B24454">
        <w:rPr>
          <w:rFonts w:ascii="Verdana" w:hAnsi="Verdana"/>
          <w:sz w:val="18"/>
          <w:szCs w:val="18"/>
          <w:lang w:val="nl-NL"/>
        </w:rPr>
        <w:t xml:space="preserve"> wel degelijk interpretatieve kracht</w:t>
      </w:r>
      <w:r w:rsidR="003D31D7">
        <w:rPr>
          <w:rFonts w:ascii="Verdana" w:hAnsi="Verdana"/>
          <w:sz w:val="18"/>
          <w:szCs w:val="18"/>
          <w:lang w:val="nl-NL"/>
        </w:rPr>
        <w:t xml:space="preserve"> (</w:t>
      </w:r>
      <w:proofErr w:type="spellStart"/>
      <w:r w:rsidR="003D31D7" w:rsidRPr="0068113F">
        <w:rPr>
          <w:rFonts w:ascii="Verdana" w:hAnsi="Verdana"/>
          <w:i/>
          <w:sz w:val="18"/>
          <w:szCs w:val="18"/>
          <w:lang w:val="nl-NL"/>
        </w:rPr>
        <w:t>res</w:t>
      </w:r>
      <w:proofErr w:type="spellEnd"/>
      <w:r w:rsidR="003D31D7" w:rsidRPr="0068113F">
        <w:rPr>
          <w:rFonts w:ascii="Verdana" w:hAnsi="Verdana"/>
          <w:i/>
          <w:sz w:val="18"/>
          <w:szCs w:val="18"/>
          <w:lang w:val="nl-NL"/>
        </w:rPr>
        <w:t xml:space="preserve"> </w:t>
      </w:r>
      <w:proofErr w:type="spellStart"/>
      <w:r w:rsidR="003D31D7" w:rsidRPr="0068113F">
        <w:rPr>
          <w:rFonts w:ascii="Verdana" w:hAnsi="Verdana"/>
          <w:i/>
          <w:sz w:val="18"/>
          <w:szCs w:val="18"/>
          <w:lang w:val="nl-NL"/>
        </w:rPr>
        <w:t>interpretata</w:t>
      </w:r>
      <w:proofErr w:type="spellEnd"/>
      <w:r w:rsidR="003D31D7">
        <w:rPr>
          <w:rFonts w:ascii="Verdana" w:hAnsi="Verdana"/>
          <w:sz w:val="18"/>
          <w:szCs w:val="18"/>
          <w:lang w:val="nl-NL"/>
        </w:rPr>
        <w:t xml:space="preserve">) </w:t>
      </w:r>
      <w:r w:rsidR="00AA3108" w:rsidRPr="00B24454">
        <w:rPr>
          <w:rFonts w:ascii="Verdana" w:hAnsi="Verdana"/>
          <w:sz w:val="18"/>
          <w:szCs w:val="18"/>
          <w:lang w:val="nl-NL"/>
        </w:rPr>
        <w:t>zullen hebben nu zij worden uitg</w:t>
      </w:r>
      <w:r w:rsidR="001370A0" w:rsidRPr="00B24454">
        <w:rPr>
          <w:rFonts w:ascii="Verdana" w:hAnsi="Verdana"/>
          <w:sz w:val="18"/>
          <w:szCs w:val="18"/>
          <w:lang w:val="nl-NL"/>
        </w:rPr>
        <w:t>e</w:t>
      </w:r>
      <w:r w:rsidR="00AA3108" w:rsidRPr="00B24454">
        <w:rPr>
          <w:rFonts w:ascii="Verdana" w:hAnsi="Verdana"/>
          <w:sz w:val="18"/>
          <w:szCs w:val="18"/>
          <w:lang w:val="nl-NL"/>
        </w:rPr>
        <w:t xml:space="preserve">sproken door de Grote Kamer van het Hof. </w:t>
      </w:r>
      <w:r>
        <w:rPr>
          <w:rFonts w:ascii="Verdana" w:hAnsi="Verdana"/>
          <w:sz w:val="18"/>
          <w:szCs w:val="18"/>
          <w:lang w:val="nl-NL"/>
        </w:rPr>
        <w:t>Deze interpretatieve kracht is geheel vergelijkbaar met de interpretatieve kracht van uitspraken (</w:t>
      </w:r>
      <w:proofErr w:type="spellStart"/>
      <w:r w:rsidRPr="0068113F">
        <w:rPr>
          <w:rFonts w:ascii="Verdana" w:hAnsi="Verdana"/>
          <w:i/>
          <w:sz w:val="18"/>
          <w:szCs w:val="18"/>
          <w:lang w:val="nl-NL"/>
        </w:rPr>
        <w:t>judgments</w:t>
      </w:r>
      <w:proofErr w:type="spellEnd"/>
      <w:r>
        <w:rPr>
          <w:rFonts w:ascii="Verdana" w:hAnsi="Verdana"/>
          <w:sz w:val="18"/>
          <w:szCs w:val="18"/>
          <w:lang w:val="nl-NL"/>
        </w:rPr>
        <w:t>) van de Grote Kamer van het Hof ten aanzien van lidstaten die bij die uitspraken geen partij zijn.</w:t>
      </w:r>
    </w:p>
    <w:p w:rsidR="00632DC3" w:rsidRDefault="00632DC3">
      <w:pPr>
        <w:rPr>
          <w:rFonts w:ascii="Verdana" w:hAnsi="Verdana"/>
          <w:b/>
          <w:sz w:val="18"/>
          <w:szCs w:val="18"/>
          <w:lang w:val="nl-NL"/>
        </w:rPr>
      </w:pPr>
    </w:p>
    <w:p w:rsidR="002D7AF1" w:rsidRPr="002D7AF1" w:rsidRDefault="002D7AF1" w:rsidP="001A68C4">
      <w:pPr>
        <w:spacing w:line="360" w:lineRule="auto"/>
        <w:jc w:val="both"/>
        <w:rPr>
          <w:rFonts w:ascii="Verdana" w:hAnsi="Verdana"/>
          <w:b/>
          <w:sz w:val="18"/>
          <w:szCs w:val="18"/>
          <w:lang w:val="nl-NL"/>
        </w:rPr>
      </w:pPr>
      <w:r>
        <w:rPr>
          <w:rFonts w:ascii="Verdana" w:hAnsi="Verdana"/>
          <w:b/>
          <w:sz w:val="18"/>
          <w:szCs w:val="18"/>
          <w:lang w:val="nl-NL"/>
        </w:rPr>
        <w:t>Artikel 6</w:t>
      </w:r>
    </w:p>
    <w:p w:rsidR="00A021D2" w:rsidRPr="003B7BBF" w:rsidRDefault="003B7BBF" w:rsidP="00BD6277">
      <w:pPr>
        <w:spacing w:line="360" w:lineRule="auto"/>
        <w:jc w:val="both"/>
        <w:rPr>
          <w:rFonts w:ascii="Verdana" w:hAnsi="Verdana"/>
          <w:sz w:val="18"/>
          <w:szCs w:val="18"/>
          <w:lang w:val="nl-NL"/>
        </w:rPr>
      </w:pPr>
      <w:r w:rsidRPr="003B7BBF">
        <w:rPr>
          <w:rFonts w:ascii="Verdana" w:hAnsi="Verdana"/>
          <w:sz w:val="18"/>
          <w:szCs w:val="18"/>
          <w:lang w:val="nl-NL"/>
        </w:rPr>
        <w:t>Artikel</w:t>
      </w:r>
      <w:r>
        <w:rPr>
          <w:rFonts w:ascii="Verdana" w:hAnsi="Verdana"/>
          <w:sz w:val="18"/>
          <w:szCs w:val="18"/>
          <w:lang w:val="nl-NL"/>
        </w:rPr>
        <w:t xml:space="preserve"> 6 brengt tot uitdrukking dat Protocol </w:t>
      </w:r>
      <w:r w:rsidR="008E7D80">
        <w:rPr>
          <w:rFonts w:ascii="Verdana" w:hAnsi="Verdana"/>
          <w:sz w:val="18"/>
          <w:szCs w:val="18"/>
          <w:lang w:val="nl-NL"/>
        </w:rPr>
        <w:t xml:space="preserve">nr. </w:t>
      </w:r>
      <w:r>
        <w:rPr>
          <w:rFonts w:ascii="Verdana" w:hAnsi="Verdana"/>
          <w:sz w:val="18"/>
          <w:szCs w:val="18"/>
          <w:lang w:val="nl-NL"/>
        </w:rPr>
        <w:t xml:space="preserve">16 een </w:t>
      </w:r>
      <w:r w:rsidR="003D31D7">
        <w:rPr>
          <w:rFonts w:ascii="Verdana" w:hAnsi="Verdana"/>
          <w:sz w:val="18"/>
          <w:szCs w:val="18"/>
          <w:lang w:val="nl-NL"/>
        </w:rPr>
        <w:t>aanvullend</w:t>
      </w:r>
      <w:r w:rsidR="00E219C2">
        <w:rPr>
          <w:rFonts w:ascii="Verdana" w:hAnsi="Verdana"/>
          <w:sz w:val="18"/>
          <w:szCs w:val="18"/>
          <w:lang w:val="nl-NL"/>
        </w:rPr>
        <w:t xml:space="preserve"> </w:t>
      </w:r>
      <w:r>
        <w:rPr>
          <w:rFonts w:ascii="Verdana" w:hAnsi="Verdana"/>
          <w:sz w:val="18"/>
          <w:szCs w:val="18"/>
          <w:lang w:val="nl-NL"/>
        </w:rPr>
        <w:t xml:space="preserve">protocol is. Het Protocol heeft derhalve niet tot doel om bestaande verdragsbepalingen van het EVRM te wijzigen. </w:t>
      </w:r>
      <w:r w:rsidR="003D31D7">
        <w:rPr>
          <w:rFonts w:ascii="Verdana" w:hAnsi="Verdana"/>
          <w:sz w:val="18"/>
          <w:szCs w:val="18"/>
          <w:lang w:val="nl-NL"/>
        </w:rPr>
        <w:t xml:space="preserve">Uit de samenhang met artikel 8 blijkt tevens dat het Protocol facultatief is. </w:t>
      </w:r>
      <w:r w:rsidR="0024200A">
        <w:rPr>
          <w:rFonts w:ascii="Verdana" w:hAnsi="Verdana"/>
          <w:sz w:val="18"/>
          <w:szCs w:val="18"/>
          <w:lang w:val="nl-NL"/>
        </w:rPr>
        <w:t>De bepalingen van het Protocol als aanvullende verdragsbepalingen van het EVRM gelden a</w:t>
      </w:r>
      <w:r>
        <w:rPr>
          <w:rFonts w:ascii="Verdana" w:hAnsi="Verdana"/>
          <w:sz w:val="18"/>
          <w:szCs w:val="18"/>
          <w:lang w:val="nl-NL"/>
        </w:rPr>
        <w:t xml:space="preserve">lleen tussen staten die het </w:t>
      </w:r>
      <w:r w:rsidR="0024200A">
        <w:rPr>
          <w:rFonts w:ascii="Verdana" w:hAnsi="Verdana"/>
          <w:sz w:val="18"/>
          <w:szCs w:val="18"/>
          <w:lang w:val="nl-NL"/>
        </w:rPr>
        <w:t>P</w:t>
      </w:r>
      <w:r>
        <w:rPr>
          <w:rFonts w:ascii="Verdana" w:hAnsi="Verdana"/>
          <w:sz w:val="18"/>
          <w:szCs w:val="18"/>
          <w:lang w:val="nl-NL"/>
        </w:rPr>
        <w:t>rotocol hebben aanvaard</w:t>
      </w:r>
      <w:r w:rsidR="003F0C0A">
        <w:rPr>
          <w:rFonts w:ascii="Verdana" w:hAnsi="Verdana"/>
          <w:sz w:val="18"/>
          <w:szCs w:val="18"/>
          <w:lang w:val="nl-NL"/>
        </w:rPr>
        <w:t xml:space="preserve">. Ten slotte is van belang om te verduidelijken dat een Verdragsluitende Partij gerechtigd is het </w:t>
      </w:r>
      <w:r w:rsidR="007A2E8C">
        <w:rPr>
          <w:rFonts w:ascii="Verdana" w:hAnsi="Verdana"/>
          <w:sz w:val="18"/>
          <w:szCs w:val="18"/>
          <w:lang w:val="nl-NL"/>
        </w:rPr>
        <w:t>P</w:t>
      </w:r>
      <w:r w:rsidR="003F0C0A">
        <w:rPr>
          <w:rFonts w:ascii="Verdana" w:hAnsi="Verdana"/>
          <w:sz w:val="18"/>
          <w:szCs w:val="18"/>
          <w:lang w:val="nl-NL"/>
        </w:rPr>
        <w:t>rotocol op te zeggen zonder dat dit tevens opzegging van het Verdrag zelf zou inhouden (cf. artikel 58 EVRM).</w:t>
      </w:r>
    </w:p>
    <w:p w:rsidR="002D7AF1" w:rsidRDefault="002D7AF1" w:rsidP="001A68C4">
      <w:pPr>
        <w:spacing w:line="360" w:lineRule="auto"/>
        <w:jc w:val="both"/>
        <w:rPr>
          <w:rFonts w:ascii="Verdana" w:hAnsi="Verdana"/>
          <w:b/>
          <w:sz w:val="18"/>
          <w:szCs w:val="18"/>
          <w:lang w:val="nl-NL"/>
        </w:rPr>
      </w:pPr>
    </w:p>
    <w:p w:rsidR="00C163B7" w:rsidRDefault="00C163B7" w:rsidP="00C163B7">
      <w:pPr>
        <w:spacing w:line="360" w:lineRule="auto"/>
        <w:jc w:val="both"/>
        <w:rPr>
          <w:rFonts w:ascii="Verdana" w:hAnsi="Verdana"/>
          <w:sz w:val="18"/>
          <w:szCs w:val="18"/>
          <w:lang w:val="nl-NL"/>
        </w:rPr>
      </w:pPr>
      <w:r w:rsidRPr="009B6BF8">
        <w:rPr>
          <w:rFonts w:ascii="Verdana" w:hAnsi="Verdana"/>
          <w:b/>
          <w:sz w:val="18"/>
          <w:szCs w:val="18"/>
          <w:lang w:val="nl-NL"/>
        </w:rPr>
        <w:t>Artikelen 7 t/m 11</w:t>
      </w:r>
      <w:r>
        <w:rPr>
          <w:rFonts w:ascii="Verdana" w:hAnsi="Verdana"/>
          <w:sz w:val="18"/>
          <w:szCs w:val="18"/>
          <w:lang w:val="nl-NL"/>
        </w:rPr>
        <w:t xml:space="preserve"> </w:t>
      </w:r>
    </w:p>
    <w:p w:rsidR="007168DA" w:rsidRDefault="00C163B7" w:rsidP="00C163B7">
      <w:pPr>
        <w:spacing w:line="360" w:lineRule="auto"/>
        <w:jc w:val="both"/>
        <w:rPr>
          <w:rFonts w:ascii="Verdana" w:hAnsi="Verdana"/>
          <w:sz w:val="18"/>
          <w:szCs w:val="18"/>
          <w:lang w:val="nl-NL"/>
        </w:rPr>
      </w:pPr>
      <w:r>
        <w:rPr>
          <w:rFonts w:ascii="Verdana" w:hAnsi="Verdana"/>
          <w:sz w:val="18"/>
          <w:szCs w:val="18"/>
          <w:lang w:val="nl-NL"/>
        </w:rPr>
        <w:t>Deze artikelen bevatten de gebruikelijke slotbepalingen voor verdragen die in het kader van de Raad van Europa tot stand komen. In verband met het karakter van het Protocol is het maken van voorbehouden uitgesloten.</w:t>
      </w:r>
    </w:p>
    <w:p w:rsidR="003B7BBF" w:rsidRDefault="007168DA" w:rsidP="00C163B7">
      <w:pPr>
        <w:spacing w:line="360" w:lineRule="auto"/>
        <w:jc w:val="both"/>
        <w:rPr>
          <w:rFonts w:ascii="Verdana" w:hAnsi="Verdana"/>
          <w:sz w:val="18"/>
          <w:szCs w:val="18"/>
          <w:lang w:val="nl-NL"/>
        </w:rPr>
      </w:pPr>
      <w:r>
        <w:rPr>
          <w:rFonts w:ascii="Verdana" w:hAnsi="Verdana"/>
          <w:sz w:val="18"/>
          <w:szCs w:val="18"/>
          <w:lang w:val="nl-NL"/>
        </w:rPr>
        <w:br w:type="column"/>
      </w:r>
      <w:r w:rsidR="00C163B7">
        <w:rPr>
          <w:rFonts w:ascii="Verdana" w:hAnsi="Verdana"/>
          <w:sz w:val="18"/>
          <w:szCs w:val="18"/>
          <w:lang w:val="nl-NL"/>
        </w:rPr>
        <w:lastRenderedPageBreak/>
        <w:t>Het Protocol treedt in werking, wanneer ingevolge artikel 8 tien verdragspartijen bij het EVRM het Protocol hebben bekrachtigd.</w:t>
      </w:r>
    </w:p>
    <w:p w:rsidR="00C163B7" w:rsidRDefault="00C163B7" w:rsidP="00C163B7">
      <w:pPr>
        <w:spacing w:line="360" w:lineRule="auto"/>
        <w:jc w:val="both"/>
        <w:rPr>
          <w:rFonts w:ascii="Verdana" w:hAnsi="Verdana"/>
          <w:b/>
          <w:sz w:val="18"/>
          <w:szCs w:val="18"/>
          <w:lang w:val="nl-NL"/>
        </w:rPr>
      </w:pPr>
    </w:p>
    <w:p w:rsidR="00761D6E" w:rsidRPr="00B87F91" w:rsidRDefault="00B87F91" w:rsidP="001A68C4">
      <w:pPr>
        <w:spacing w:line="360" w:lineRule="auto"/>
        <w:jc w:val="both"/>
        <w:rPr>
          <w:rFonts w:ascii="Verdana" w:hAnsi="Verdana"/>
          <w:b/>
          <w:sz w:val="18"/>
          <w:szCs w:val="18"/>
          <w:lang w:val="nl-NL"/>
        </w:rPr>
      </w:pPr>
      <w:r w:rsidRPr="00B87F91">
        <w:rPr>
          <w:rFonts w:ascii="Verdana" w:hAnsi="Verdana"/>
          <w:b/>
          <w:sz w:val="18"/>
          <w:szCs w:val="18"/>
          <w:lang w:val="nl-NL"/>
        </w:rPr>
        <w:t xml:space="preserve">4. </w:t>
      </w:r>
      <w:proofErr w:type="spellStart"/>
      <w:r w:rsidR="00761D6E" w:rsidRPr="00B87F91">
        <w:rPr>
          <w:rFonts w:ascii="Verdana" w:hAnsi="Verdana"/>
          <w:b/>
          <w:sz w:val="18"/>
          <w:szCs w:val="18"/>
          <w:lang w:val="nl-NL"/>
        </w:rPr>
        <w:t>Koninkrijkspositie</w:t>
      </w:r>
      <w:proofErr w:type="spellEnd"/>
    </w:p>
    <w:p w:rsidR="003A4C1C" w:rsidRPr="003A4C1C" w:rsidRDefault="003A4C1C" w:rsidP="001A68C4">
      <w:pPr>
        <w:spacing w:line="360" w:lineRule="auto"/>
        <w:jc w:val="both"/>
        <w:rPr>
          <w:rFonts w:ascii="Verdana" w:hAnsi="Verdana" w:cs="Arial"/>
          <w:sz w:val="18"/>
          <w:szCs w:val="18"/>
          <w:lang w:val="nl-NL"/>
        </w:rPr>
      </w:pPr>
      <w:r w:rsidRPr="003A4C1C">
        <w:rPr>
          <w:rFonts w:ascii="Verdana" w:hAnsi="Verdana" w:cs="Arial"/>
          <w:sz w:val="18"/>
          <w:szCs w:val="18"/>
          <w:lang w:val="nl-NL"/>
        </w:rPr>
        <w:t xml:space="preserve">Protocol nr. 16 zal, evenals het EVRM, voor het gehele Koninkrijk der Nederlanden gelden. </w:t>
      </w:r>
    </w:p>
    <w:p w:rsidR="003A4C1C" w:rsidRPr="003A4C1C" w:rsidRDefault="003A4C1C" w:rsidP="001A68C4">
      <w:pPr>
        <w:spacing w:line="360" w:lineRule="auto"/>
        <w:jc w:val="both"/>
        <w:rPr>
          <w:rFonts w:ascii="Verdana" w:hAnsi="Verdana" w:cs="Arial"/>
          <w:sz w:val="18"/>
          <w:szCs w:val="18"/>
          <w:lang w:val="nl-NL"/>
        </w:rPr>
      </w:pPr>
      <w:r w:rsidRPr="003A4C1C">
        <w:rPr>
          <w:rFonts w:ascii="Verdana" w:hAnsi="Verdana" w:cs="Arial"/>
          <w:sz w:val="18"/>
          <w:szCs w:val="18"/>
          <w:lang w:val="nl-NL"/>
        </w:rPr>
        <w:t>De regeringen van Aruba</w:t>
      </w:r>
      <w:r w:rsidR="00036ECC">
        <w:rPr>
          <w:rFonts w:ascii="Verdana" w:hAnsi="Verdana" w:cs="Arial"/>
          <w:sz w:val="18"/>
          <w:szCs w:val="18"/>
          <w:lang w:val="nl-NL"/>
        </w:rPr>
        <w:t xml:space="preserve">, Curaçao </w:t>
      </w:r>
      <w:r w:rsidRPr="003A4C1C">
        <w:rPr>
          <w:rFonts w:ascii="Verdana" w:hAnsi="Verdana" w:cs="Arial"/>
          <w:sz w:val="18"/>
          <w:szCs w:val="18"/>
          <w:lang w:val="nl-NL"/>
        </w:rPr>
        <w:t xml:space="preserve">en Sint Maarten achten medegelding van Protocol nr. 16 wenselijk. </w:t>
      </w:r>
    </w:p>
    <w:p w:rsidR="00085490" w:rsidRPr="003A4C1C" w:rsidRDefault="00085490" w:rsidP="001A68C4">
      <w:pPr>
        <w:spacing w:line="360" w:lineRule="auto"/>
        <w:jc w:val="both"/>
        <w:rPr>
          <w:rFonts w:ascii="Verdana" w:hAnsi="Verdana"/>
          <w:sz w:val="18"/>
          <w:szCs w:val="18"/>
          <w:lang w:val="nl-NL"/>
        </w:rPr>
      </w:pPr>
    </w:p>
    <w:p w:rsidR="00CC1D79" w:rsidRPr="003A4C1C" w:rsidRDefault="00CC1D79" w:rsidP="001A68C4">
      <w:pPr>
        <w:spacing w:line="360" w:lineRule="auto"/>
        <w:jc w:val="both"/>
        <w:rPr>
          <w:rFonts w:ascii="Verdana" w:hAnsi="Verdana"/>
          <w:sz w:val="18"/>
          <w:szCs w:val="18"/>
          <w:lang w:val="nl-NL"/>
        </w:rPr>
      </w:pPr>
    </w:p>
    <w:p w:rsidR="00CC1D79" w:rsidRDefault="00CC1D79" w:rsidP="001A68C4">
      <w:pPr>
        <w:spacing w:line="360" w:lineRule="auto"/>
        <w:jc w:val="both"/>
        <w:rPr>
          <w:rFonts w:ascii="Verdana" w:hAnsi="Verdana"/>
          <w:sz w:val="18"/>
          <w:szCs w:val="18"/>
          <w:lang w:val="nl-NL"/>
        </w:rPr>
      </w:pPr>
    </w:p>
    <w:p w:rsidR="00B03136" w:rsidRDefault="00085490" w:rsidP="001A68C4">
      <w:pPr>
        <w:spacing w:line="360" w:lineRule="auto"/>
        <w:jc w:val="both"/>
        <w:rPr>
          <w:rFonts w:ascii="Verdana" w:hAnsi="Verdana"/>
          <w:sz w:val="18"/>
          <w:szCs w:val="18"/>
          <w:lang w:val="nl-NL"/>
        </w:rPr>
      </w:pPr>
      <w:r>
        <w:rPr>
          <w:rFonts w:ascii="Verdana" w:hAnsi="Verdana"/>
          <w:sz w:val="18"/>
          <w:szCs w:val="18"/>
          <w:lang w:val="nl-NL"/>
        </w:rPr>
        <w:t>De Minister van Veiligheid en Justitie</w:t>
      </w:r>
      <w:r w:rsidR="00B03136">
        <w:rPr>
          <w:rFonts w:ascii="Verdana" w:hAnsi="Verdana"/>
          <w:sz w:val="18"/>
          <w:szCs w:val="18"/>
          <w:lang w:val="nl-NL"/>
        </w:rPr>
        <w:t>,</w:t>
      </w:r>
    </w:p>
    <w:p w:rsidR="00CC1D79" w:rsidRDefault="00CC1D79" w:rsidP="001A68C4">
      <w:pPr>
        <w:spacing w:line="360" w:lineRule="auto"/>
        <w:jc w:val="both"/>
        <w:rPr>
          <w:rFonts w:ascii="Verdana" w:hAnsi="Verdana"/>
          <w:sz w:val="18"/>
          <w:szCs w:val="18"/>
          <w:lang w:val="nl-NL"/>
        </w:rPr>
      </w:pPr>
    </w:p>
    <w:p w:rsidR="00036ECC" w:rsidRDefault="00036ECC" w:rsidP="001A68C4">
      <w:pPr>
        <w:spacing w:line="360" w:lineRule="auto"/>
        <w:jc w:val="both"/>
        <w:rPr>
          <w:rFonts w:ascii="Verdana" w:hAnsi="Verdana"/>
          <w:sz w:val="18"/>
          <w:szCs w:val="18"/>
          <w:lang w:val="nl-NL"/>
        </w:rPr>
      </w:pPr>
    </w:p>
    <w:p w:rsidR="00036ECC" w:rsidRDefault="00036ECC" w:rsidP="001A68C4">
      <w:pPr>
        <w:spacing w:line="360" w:lineRule="auto"/>
        <w:jc w:val="both"/>
        <w:rPr>
          <w:rFonts w:ascii="Verdana" w:hAnsi="Verdana"/>
          <w:sz w:val="18"/>
          <w:szCs w:val="18"/>
          <w:lang w:val="nl-NL"/>
        </w:rPr>
      </w:pPr>
    </w:p>
    <w:p w:rsidR="00CC1D79" w:rsidRDefault="00CC1D79" w:rsidP="001A68C4">
      <w:pPr>
        <w:spacing w:line="360" w:lineRule="auto"/>
        <w:jc w:val="both"/>
        <w:rPr>
          <w:rFonts w:ascii="Verdana" w:hAnsi="Verdana"/>
          <w:sz w:val="18"/>
          <w:szCs w:val="18"/>
          <w:lang w:val="nl-NL"/>
        </w:rPr>
      </w:pPr>
    </w:p>
    <w:p w:rsidR="00CC1D79" w:rsidRDefault="00CC1D79" w:rsidP="001A68C4">
      <w:pPr>
        <w:spacing w:line="360" w:lineRule="auto"/>
        <w:jc w:val="both"/>
        <w:rPr>
          <w:rFonts w:ascii="Verdana" w:hAnsi="Verdana"/>
          <w:sz w:val="18"/>
          <w:szCs w:val="18"/>
          <w:lang w:val="nl-NL"/>
        </w:rPr>
      </w:pPr>
      <w:r>
        <w:rPr>
          <w:rFonts w:ascii="Verdana" w:hAnsi="Verdana"/>
          <w:sz w:val="18"/>
          <w:szCs w:val="18"/>
          <w:lang w:val="nl-NL"/>
        </w:rPr>
        <w:t>De Minister van Buitenlandse Zaken,</w:t>
      </w:r>
    </w:p>
    <w:p w:rsidR="00761D6E" w:rsidRPr="000D0695" w:rsidRDefault="00761D6E" w:rsidP="001A68C4">
      <w:pPr>
        <w:spacing w:line="360" w:lineRule="auto"/>
        <w:jc w:val="both"/>
        <w:rPr>
          <w:rFonts w:ascii="Verdana" w:hAnsi="Verdana"/>
          <w:sz w:val="18"/>
          <w:szCs w:val="18"/>
          <w:lang w:val="nl-NL"/>
        </w:rPr>
      </w:pPr>
    </w:p>
    <w:sectPr w:rsidR="00761D6E" w:rsidRPr="000D0695" w:rsidSect="00B6720C">
      <w:footerReference w:type="default" r:id="rId11"/>
      <w:pgSz w:w="12240" w:h="15840"/>
      <w:pgMar w:top="1134" w:right="1797" w:bottom="1134" w:left="1797"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7E39" w:rsidRDefault="00087E39" w:rsidP="003723F3">
      <w:r>
        <w:separator/>
      </w:r>
    </w:p>
  </w:endnote>
  <w:endnote w:type="continuationSeparator" w:id="0">
    <w:p w:rsidR="00087E39" w:rsidRDefault="00087E39" w:rsidP="00372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8847411"/>
      <w:docPartObj>
        <w:docPartGallery w:val="Page Numbers (Bottom of Page)"/>
        <w:docPartUnique/>
      </w:docPartObj>
    </w:sdtPr>
    <w:sdtEndPr>
      <w:rPr>
        <w:noProof/>
      </w:rPr>
    </w:sdtEndPr>
    <w:sdtContent>
      <w:p w:rsidR="00B87F91" w:rsidRDefault="00B87F91">
        <w:pPr>
          <w:pStyle w:val="Voettekst"/>
          <w:jc w:val="center"/>
        </w:pPr>
        <w:r w:rsidRPr="00B87F91">
          <w:rPr>
            <w:rFonts w:ascii="Verdana" w:hAnsi="Verdana"/>
            <w:sz w:val="18"/>
            <w:szCs w:val="18"/>
          </w:rPr>
          <w:fldChar w:fldCharType="begin"/>
        </w:r>
        <w:r w:rsidRPr="00B87F91">
          <w:rPr>
            <w:rFonts w:ascii="Verdana" w:hAnsi="Verdana"/>
            <w:sz w:val="18"/>
            <w:szCs w:val="18"/>
          </w:rPr>
          <w:instrText xml:space="preserve"> PAGE   \* MERGEFORMAT </w:instrText>
        </w:r>
        <w:r w:rsidRPr="00B87F91">
          <w:rPr>
            <w:rFonts w:ascii="Verdana" w:hAnsi="Verdana"/>
            <w:sz w:val="18"/>
            <w:szCs w:val="18"/>
          </w:rPr>
          <w:fldChar w:fldCharType="separate"/>
        </w:r>
        <w:r w:rsidR="00CA1BAF">
          <w:rPr>
            <w:rFonts w:ascii="Verdana" w:hAnsi="Verdana"/>
            <w:noProof/>
            <w:sz w:val="18"/>
            <w:szCs w:val="18"/>
          </w:rPr>
          <w:t>1</w:t>
        </w:r>
        <w:r w:rsidRPr="00B87F91">
          <w:rPr>
            <w:rFonts w:ascii="Verdana" w:hAnsi="Verdana"/>
            <w:noProof/>
            <w:sz w:val="18"/>
            <w:szCs w:val="18"/>
          </w:rPr>
          <w:fldChar w:fldCharType="end"/>
        </w:r>
      </w:p>
    </w:sdtContent>
  </w:sdt>
  <w:p w:rsidR="00B87F91" w:rsidRDefault="00B87F91">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7E39" w:rsidRDefault="00087E39" w:rsidP="003723F3">
      <w:r>
        <w:separator/>
      </w:r>
    </w:p>
  </w:footnote>
  <w:footnote w:type="continuationSeparator" w:id="0">
    <w:p w:rsidR="00087E39" w:rsidRDefault="00087E39" w:rsidP="003723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2A2D97"/>
    <w:multiLevelType w:val="hybridMultilevel"/>
    <w:tmpl w:val="1EFC08BC"/>
    <w:lvl w:ilvl="0" w:tplc="635A068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E340137"/>
    <w:multiLevelType w:val="hybridMultilevel"/>
    <w:tmpl w:val="43B83A02"/>
    <w:lvl w:ilvl="0" w:tplc="C47ECA94">
      <w:start w:val="2"/>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efaultTabStop w:val="720"/>
  <w:hyphenationZone w:val="425"/>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1D6E"/>
    <w:rsid w:val="00017C65"/>
    <w:rsid w:val="0002343B"/>
    <w:rsid w:val="00031411"/>
    <w:rsid w:val="00031E2A"/>
    <w:rsid w:val="00035351"/>
    <w:rsid w:val="00035B54"/>
    <w:rsid w:val="00036ECC"/>
    <w:rsid w:val="00044E45"/>
    <w:rsid w:val="00051B9F"/>
    <w:rsid w:val="00064936"/>
    <w:rsid w:val="0007147B"/>
    <w:rsid w:val="000741E9"/>
    <w:rsid w:val="00075D37"/>
    <w:rsid w:val="000772AB"/>
    <w:rsid w:val="00081ACC"/>
    <w:rsid w:val="000827C8"/>
    <w:rsid w:val="00085490"/>
    <w:rsid w:val="00087E39"/>
    <w:rsid w:val="00092657"/>
    <w:rsid w:val="000A1FA0"/>
    <w:rsid w:val="000C28F0"/>
    <w:rsid w:val="000C6307"/>
    <w:rsid w:val="000D0695"/>
    <w:rsid w:val="000D2068"/>
    <w:rsid w:val="000D3C16"/>
    <w:rsid w:val="00101699"/>
    <w:rsid w:val="00110FC9"/>
    <w:rsid w:val="00111496"/>
    <w:rsid w:val="00123FFF"/>
    <w:rsid w:val="00127F66"/>
    <w:rsid w:val="001352E8"/>
    <w:rsid w:val="001370A0"/>
    <w:rsid w:val="00167729"/>
    <w:rsid w:val="00177884"/>
    <w:rsid w:val="001812DF"/>
    <w:rsid w:val="00186F53"/>
    <w:rsid w:val="001A68C4"/>
    <w:rsid w:val="001B2E83"/>
    <w:rsid w:val="001B4CB8"/>
    <w:rsid w:val="001C0D8D"/>
    <w:rsid w:val="001C30EB"/>
    <w:rsid w:val="001E2BE5"/>
    <w:rsid w:val="00204134"/>
    <w:rsid w:val="00217C4D"/>
    <w:rsid w:val="002337DE"/>
    <w:rsid w:val="002342DE"/>
    <w:rsid w:val="00235C32"/>
    <w:rsid w:val="00236AEE"/>
    <w:rsid w:val="0024200A"/>
    <w:rsid w:val="00247000"/>
    <w:rsid w:val="00252641"/>
    <w:rsid w:val="00255704"/>
    <w:rsid w:val="00265E4D"/>
    <w:rsid w:val="00285DF0"/>
    <w:rsid w:val="00297F4C"/>
    <w:rsid w:val="002A7BE5"/>
    <w:rsid w:val="002B5509"/>
    <w:rsid w:val="002B64FD"/>
    <w:rsid w:val="002C6C2D"/>
    <w:rsid w:val="002D2A16"/>
    <w:rsid w:val="002D7AF1"/>
    <w:rsid w:val="002F15F5"/>
    <w:rsid w:val="002F16AC"/>
    <w:rsid w:val="002F1B85"/>
    <w:rsid w:val="002F67BB"/>
    <w:rsid w:val="00305E98"/>
    <w:rsid w:val="00314E78"/>
    <w:rsid w:val="003179D7"/>
    <w:rsid w:val="00335106"/>
    <w:rsid w:val="00346945"/>
    <w:rsid w:val="0034775E"/>
    <w:rsid w:val="00354475"/>
    <w:rsid w:val="003566F2"/>
    <w:rsid w:val="00356AD9"/>
    <w:rsid w:val="003723F3"/>
    <w:rsid w:val="00373418"/>
    <w:rsid w:val="00376730"/>
    <w:rsid w:val="00381AD9"/>
    <w:rsid w:val="003825BC"/>
    <w:rsid w:val="003864B5"/>
    <w:rsid w:val="0039659E"/>
    <w:rsid w:val="003965F0"/>
    <w:rsid w:val="003A1482"/>
    <w:rsid w:val="003A251E"/>
    <w:rsid w:val="003A30A2"/>
    <w:rsid w:val="003A4C1C"/>
    <w:rsid w:val="003A4C6A"/>
    <w:rsid w:val="003B7BBF"/>
    <w:rsid w:val="003C5EB8"/>
    <w:rsid w:val="003D31D7"/>
    <w:rsid w:val="003D39BC"/>
    <w:rsid w:val="003D7B7F"/>
    <w:rsid w:val="003E5238"/>
    <w:rsid w:val="003F0462"/>
    <w:rsid w:val="003F0C0A"/>
    <w:rsid w:val="003F7C7B"/>
    <w:rsid w:val="00403CCF"/>
    <w:rsid w:val="0040657C"/>
    <w:rsid w:val="004131BB"/>
    <w:rsid w:val="0042373C"/>
    <w:rsid w:val="00427DCF"/>
    <w:rsid w:val="00427EE4"/>
    <w:rsid w:val="00434460"/>
    <w:rsid w:val="0043552F"/>
    <w:rsid w:val="004513AB"/>
    <w:rsid w:val="00462177"/>
    <w:rsid w:val="00472A5B"/>
    <w:rsid w:val="00486B4D"/>
    <w:rsid w:val="00492257"/>
    <w:rsid w:val="004B4FF0"/>
    <w:rsid w:val="004C113A"/>
    <w:rsid w:val="004D3639"/>
    <w:rsid w:val="004F6C5A"/>
    <w:rsid w:val="00502CF0"/>
    <w:rsid w:val="005109FE"/>
    <w:rsid w:val="005126EA"/>
    <w:rsid w:val="00514008"/>
    <w:rsid w:val="00525BA1"/>
    <w:rsid w:val="005303B9"/>
    <w:rsid w:val="00562B65"/>
    <w:rsid w:val="005636C6"/>
    <w:rsid w:val="00573C3B"/>
    <w:rsid w:val="00577408"/>
    <w:rsid w:val="00587901"/>
    <w:rsid w:val="005942B1"/>
    <w:rsid w:val="005C1483"/>
    <w:rsid w:val="005C55BF"/>
    <w:rsid w:val="005C796B"/>
    <w:rsid w:val="005D5239"/>
    <w:rsid w:val="005D58A5"/>
    <w:rsid w:val="00613750"/>
    <w:rsid w:val="00632DC3"/>
    <w:rsid w:val="00636248"/>
    <w:rsid w:val="006418E8"/>
    <w:rsid w:val="00653F89"/>
    <w:rsid w:val="00657E62"/>
    <w:rsid w:val="006731A8"/>
    <w:rsid w:val="0068113F"/>
    <w:rsid w:val="006837A2"/>
    <w:rsid w:val="00685361"/>
    <w:rsid w:val="00696547"/>
    <w:rsid w:val="006A6065"/>
    <w:rsid w:val="006B31E3"/>
    <w:rsid w:val="006E2148"/>
    <w:rsid w:val="006F73A9"/>
    <w:rsid w:val="0070114A"/>
    <w:rsid w:val="0071080E"/>
    <w:rsid w:val="00715DF8"/>
    <w:rsid w:val="0071689C"/>
    <w:rsid w:val="007168DA"/>
    <w:rsid w:val="007342AD"/>
    <w:rsid w:val="00735983"/>
    <w:rsid w:val="007424E9"/>
    <w:rsid w:val="00746E30"/>
    <w:rsid w:val="00754113"/>
    <w:rsid w:val="0075757A"/>
    <w:rsid w:val="00761D6E"/>
    <w:rsid w:val="00764841"/>
    <w:rsid w:val="00776BEB"/>
    <w:rsid w:val="00796DFB"/>
    <w:rsid w:val="007A188C"/>
    <w:rsid w:val="007A2E8C"/>
    <w:rsid w:val="007B0D7B"/>
    <w:rsid w:val="007B1EE9"/>
    <w:rsid w:val="007C4749"/>
    <w:rsid w:val="007D3E7A"/>
    <w:rsid w:val="007D5F8D"/>
    <w:rsid w:val="007F6250"/>
    <w:rsid w:val="007F7A4C"/>
    <w:rsid w:val="00804A78"/>
    <w:rsid w:val="00813F13"/>
    <w:rsid w:val="0081738B"/>
    <w:rsid w:val="008231A7"/>
    <w:rsid w:val="00826262"/>
    <w:rsid w:val="00830F5D"/>
    <w:rsid w:val="00832E7C"/>
    <w:rsid w:val="00836DC5"/>
    <w:rsid w:val="00895E97"/>
    <w:rsid w:val="008B28C3"/>
    <w:rsid w:val="008E7D80"/>
    <w:rsid w:val="009122AA"/>
    <w:rsid w:val="00913009"/>
    <w:rsid w:val="00914910"/>
    <w:rsid w:val="009170D6"/>
    <w:rsid w:val="00921074"/>
    <w:rsid w:val="009352F7"/>
    <w:rsid w:val="00950D41"/>
    <w:rsid w:val="009635F4"/>
    <w:rsid w:val="009747FE"/>
    <w:rsid w:val="009870B1"/>
    <w:rsid w:val="009A1571"/>
    <w:rsid w:val="009B6BF8"/>
    <w:rsid w:val="009C1EE6"/>
    <w:rsid w:val="009D6C87"/>
    <w:rsid w:val="009D7929"/>
    <w:rsid w:val="009E15C0"/>
    <w:rsid w:val="00A021D2"/>
    <w:rsid w:val="00A025EC"/>
    <w:rsid w:val="00A155D9"/>
    <w:rsid w:val="00A2100F"/>
    <w:rsid w:val="00A24B8A"/>
    <w:rsid w:val="00A55539"/>
    <w:rsid w:val="00A63218"/>
    <w:rsid w:val="00A715FF"/>
    <w:rsid w:val="00A741D8"/>
    <w:rsid w:val="00A74BD4"/>
    <w:rsid w:val="00A87782"/>
    <w:rsid w:val="00A90526"/>
    <w:rsid w:val="00A941AE"/>
    <w:rsid w:val="00A955E1"/>
    <w:rsid w:val="00AA3108"/>
    <w:rsid w:val="00AA3826"/>
    <w:rsid w:val="00AB0B7C"/>
    <w:rsid w:val="00AB3289"/>
    <w:rsid w:val="00AC5172"/>
    <w:rsid w:val="00AD6092"/>
    <w:rsid w:val="00AE162B"/>
    <w:rsid w:val="00AE3687"/>
    <w:rsid w:val="00AF25F1"/>
    <w:rsid w:val="00B03136"/>
    <w:rsid w:val="00B03293"/>
    <w:rsid w:val="00B049F8"/>
    <w:rsid w:val="00B07184"/>
    <w:rsid w:val="00B10584"/>
    <w:rsid w:val="00B158AA"/>
    <w:rsid w:val="00B24454"/>
    <w:rsid w:val="00B45FC8"/>
    <w:rsid w:val="00B52342"/>
    <w:rsid w:val="00B605DF"/>
    <w:rsid w:val="00B6720C"/>
    <w:rsid w:val="00B72B1F"/>
    <w:rsid w:val="00B87F91"/>
    <w:rsid w:val="00BA5C58"/>
    <w:rsid w:val="00BB50A3"/>
    <w:rsid w:val="00BB7830"/>
    <w:rsid w:val="00BC2BE7"/>
    <w:rsid w:val="00BD6277"/>
    <w:rsid w:val="00BE23DD"/>
    <w:rsid w:val="00BE36BF"/>
    <w:rsid w:val="00C130F2"/>
    <w:rsid w:val="00C163B7"/>
    <w:rsid w:val="00C3123A"/>
    <w:rsid w:val="00C45925"/>
    <w:rsid w:val="00C52CB8"/>
    <w:rsid w:val="00C72BF6"/>
    <w:rsid w:val="00C76A23"/>
    <w:rsid w:val="00CA068E"/>
    <w:rsid w:val="00CA1BAF"/>
    <w:rsid w:val="00CA2292"/>
    <w:rsid w:val="00CA24A4"/>
    <w:rsid w:val="00CB34EE"/>
    <w:rsid w:val="00CB4915"/>
    <w:rsid w:val="00CC1D79"/>
    <w:rsid w:val="00CD4453"/>
    <w:rsid w:val="00CD49A3"/>
    <w:rsid w:val="00CD54A5"/>
    <w:rsid w:val="00CD6232"/>
    <w:rsid w:val="00D33D50"/>
    <w:rsid w:val="00D40940"/>
    <w:rsid w:val="00D44FCB"/>
    <w:rsid w:val="00D45E31"/>
    <w:rsid w:val="00D60D23"/>
    <w:rsid w:val="00D648A0"/>
    <w:rsid w:val="00D74BEF"/>
    <w:rsid w:val="00D944B6"/>
    <w:rsid w:val="00DA08E7"/>
    <w:rsid w:val="00DB0708"/>
    <w:rsid w:val="00DB097E"/>
    <w:rsid w:val="00DB5D96"/>
    <w:rsid w:val="00DD72D4"/>
    <w:rsid w:val="00DF0C76"/>
    <w:rsid w:val="00DF58ED"/>
    <w:rsid w:val="00E00576"/>
    <w:rsid w:val="00E03B6E"/>
    <w:rsid w:val="00E043B8"/>
    <w:rsid w:val="00E219C2"/>
    <w:rsid w:val="00E3143D"/>
    <w:rsid w:val="00E44173"/>
    <w:rsid w:val="00E545FE"/>
    <w:rsid w:val="00E6086A"/>
    <w:rsid w:val="00E72AA1"/>
    <w:rsid w:val="00E736C2"/>
    <w:rsid w:val="00E94B3D"/>
    <w:rsid w:val="00EA2E65"/>
    <w:rsid w:val="00EA39E7"/>
    <w:rsid w:val="00ED3406"/>
    <w:rsid w:val="00EE42F9"/>
    <w:rsid w:val="00EF4943"/>
    <w:rsid w:val="00F05BCD"/>
    <w:rsid w:val="00F16136"/>
    <w:rsid w:val="00F17229"/>
    <w:rsid w:val="00F20021"/>
    <w:rsid w:val="00F2476D"/>
    <w:rsid w:val="00F420A1"/>
    <w:rsid w:val="00F50241"/>
    <w:rsid w:val="00F549E2"/>
    <w:rsid w:val="00F63B96"/>
    <w:rsid w:val="00F95888"/>
    <w:rsid w:val="00FA5AD1"/>
    <w:rsid w:val="00FA6A6F"/>
    <w:rsid w:val="00FB7CEF"/>
    <w:rsid w:val="00FC010A"/>
    <w:rsid w:val="00FC128B"/>
    <w:rsid w:val="00FC5A34"/>
    <w:rsid w:val="00FC63B6"/>
    <w:rsid w:val="00FC68D9"/>
    <w:rsid w:val="00FD022F"/>
    <w:rsid w:val="00FD5963"/>
    <w:rsid w:val="00FF10FB"/>
  </w:rsids>
  <m:mathPr>
    <m:mathFont m:val="Cambria Math"/>
    <m:brkBin m:val="before"/>
    <m:brkBinSub m:val="--"/>
    <m:smallFrac m:val="0"/>
    <m:dispDef m:val="0"/>
    <m:lMargin m:val="0"/>
    <m:rMargin m:val="0"/>
    <m:defJc m:val="centerGroup"/>
    <m:wrapRight/>
    <m:intLim m:val="subSup"/>
    <m:naryLim m:val="subSup"/>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A3377"/>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61D6E"/>
    <w:pPr>
      <w:ind w:left="720"/>
      <w:contextualSpacing/>
    </w:pPr>
  </w:style>
  <w:style w:type="paragraph" w:styleId="Voetnoottekst">
    <w:name w:val="footnote text"/>
    <w:basedOn w:val="Standaard"/>
    <w:link w:val="VoetnoottekstChar"/>
    <w:uiPriority w:val="99"/>
    <w:semiHidden/>
    <w:unhideWhenUsed/>
    <w:rsid w:val="003723F3"/>
    <w:rPr>
      <w:sz w:val="20"/>
      <w:szCs w:val="20"/>
    </w:rPr>
  </w:style>
  <w:style w:type="character" w:customStyle="1" w:styleId="VoetnoottekstChar">
    <w:name w:val="Voetnoottekst Char"/>
    <w:basedOn w:val="Standaardalinea-lettertype"/>
    <w:link w:val="Voetnoottekst"/>
    <w:uiPriority w:val="99"/>
    <w:semiHidden/>
    <w:rsid w:val="003723F3"/>
  </w:style>
  <w:style w:type="character" w:styleId="Voetnootmarkering">
    <w:name w:val="footnote reference"/>
    <w:basedOn w:val="Standaardalinea-lettertype"/>
    <w:uiPriority w:val="99"/>
    <w:semiHidden/>
    <w:unhideWhenUsed/>
    <w:rsid w:val="003723F3"/>
    <w:rPr>
      <w:vertAlign w:val="superscript"/>
    </w:rPr>
  </w:style>
  <w:style w:type="paragraph" w:styleId="Ballontekst">
    <w:name w:val="Balloon Text"/>
    <w:basedOn w:val="Standaard"/>
    <w:link w:val="BallontekstChar"/>
    <w:uiPriority w:val="99"/>
    <w:semiHidden/>
    <w:unhideWhenUsed/>
    <w:rsid w:val="00236AEE"/>
    <w:rPr>
      <w:rFonts w:ascii="Tahoma" w:hAnsi="Tahoma" w:cs="Tahoma"/>
      <w:sz w:val="16"/>
      <w:szCs w:val="16"/>
    </w:rPr>
  </w:style>
  <w:style w:type="character" w:customStyle="1" w:styleId="BallontekstChar">
    <w:name w:val="Ballontekst Char"/>
    <w:basedOn w:val="Standaardalinea-lettertype"/>
    <w:link w:val="Ballontekst"/>
    <w:uiPriority w:val="99"/>
    <w:semiHidden/>
    <w:rsid w:val="00236AEE"/>
    <w:rPr>
      <w:rFonts w:ascii="Tahoma" w:hAnsi="Tahoma" w:cs="Tahoma"/>
      <w:sz w:val="16"/>
      <w:szCs w:val="16"/>
    </w:rPr>
  </w:style>
  <w:style w:type="paragraph" w:styleId="Koptekst">
    <w:name w:val="header"/>
    <w:basedOn w:val="Standaard"/>
    <w:link w:val="KoptekstChar"/>
    <w:uiPriority w:val="99"/>
    <w:unhideWhenUsed/>
    <w:rsid w:val="00B87F91"/>
    <w:pPr>
      <w:tabs>
        <w:tab w:val="center" w:pos="4513"/>
        <w:tab w:val="right" w:pos="9026"/>
      </w:tabs>
    </w:pPr>
  </w:style>
  <w:style w:type="character" w:customStyle="1" w:styleId="KoptekstChar">
    <w:name w:val="Koptekst Char"/>
    <w:basedOn w:val="Standaardalinea-lettertype"/>
    <w:link w:val="Koptekst"/>
    <w:uiPriority w:val="99"/>
    <w:rsid w:val="00B87F91"/>
    <w:rPr>
      <w:sz w:val="24"/>
      <w:szCs w:val="24"/>
    </w:rPr>
  </w:style>
  <w:style w:type="paragraph" w:styleId="Voettekst">
    <w:name w:val="footer"/>
    <w:basedOn w:val="Standaard"/>
    <w:link w:val="VoettekstChar"/>
    <w:uiPriority w:val="99"/>
    <w:unhideWhenUsed/>
    <w:rsid w:val="00B87F91"/>
    <w:pPr>
      <w:tabs>
        <w:tab w:val="center" w:pos="4513"/>
        <w:tab w:val="right" w:pos="9026"/>
      </w:tabs>
    </w:pPr>
  </w:style>
  <w:style w:type="character" w:customStyle="1" w:styleId="VoettekstChar">
    <w:name w:val="Voettekst Char"/>
    <w:basedOn w:val="Standaardalinea-lettertype"/>
    <w:link w:val="Voettekst"/>
    <w:uiPriority w:val="99"/>
    <w:rsid w:val="00B87F91"/>
    <w:rPr>
      <w:sz w:val="24"/>
      <w:szCs w:val="24"/>
    </w:rPr>
  </w:style>
  <w:style w:type="character" w:styleId="Verwijzingopmerking">
    <w:name w:val="annotation reference"/>
    <w:basedOn w:val="Standaardalinea-lettertype"/>
    <w:uiPriority w:val="99"/>
    <w:semiHidden/>
    <w:unhideWhenUsed/>
    <w:rsid w:val="005D58A5"/>
    <w:rPr>
      <w:sz w:val="16"/>
      <w:szCs w:val="16"/>
    </w:rPr>
  </w:style>
  <w:style w:type="paragraph" w:styleId="Tekstopmerking">
    <w:name w:val="annotation text"/>
    <w:basedOn w:val="Standaard"/>
    <w:link w:val="TekstopmerkingChar"/>
    <w:uiPriority w:val="99"/>
    <w:semiHidden/>
    <w:unhideWhenUsed/>
    <w:rsid w:val="005D58A5"/>
    <w:rPr>
      <w:sz w:val="20"/>
      <w:szCs w:val="20"/>
    </w:rPr>
  </w:style>
  <w:style w:type="character" w:customStyle="1" w:styleId="TekstopmerkingChar">
    <w:name w:val="Tekst opmerking Char"/>
    <w:basedOn w:val="Standaardalinea-lettertype"/>
    <w:link w:val="Tekstopmerking"/>
    <w:uiPriority w:val="99"/>
    <w:semiHidden/>
    <w:rsid w:val="005D58A5"/>
  </w:style>
  <w:style w:type="paragraph" w:styleId="Onderwerpvanopmerking">
    <w:name w:val="annotation subject"/>
    <w:basedOn w:val="Tekstopmerking"/>
    <w:next w:val="Tekstopmerking"/>
    <w:link w:val="OnderwerpvanopmerkingChar"/>
    <w:uiPriority w:val="99"/>
    <w:semiHidden/>
    <w:unhideWhenUsed/>
    <w:rsid w:val="005D58A5"/>
    <w:rPr>
      <w:b/>
      <w:bCs/>
    </w:rPr>
  </w:style>
  <w:style w:type="character" w:customStyle="1" w:styleId="OnderwerpvanopmerkingChar">
    <w:name w:val="Onderwerp van opmerking Char"/>
    <w:basedOn w:val="TekstopmerkingChar"/>
    <w:link w:val="Onderwerpvanopmerking"/>
    <w:uiPriority w:val="99"/>
    <w:semiHidden/>
    <w:rsid w:val="005D58A5"/>
    <w:rPr>
      <w:b/>
      <w:bCs/>
    </w:rPr>
  </w:style>
  <w:style w:type="character" w:styleId="Hyperlink">
    <w:name w:val="Hyperlink"/>
    <w:basedOn w:val="Standaardalinea-lettertype"/>
    <w:uiPriority w:val="99"/>
    <w:unhideWhenUsed/>
    <w:rsid w:val="00813F13"/>
    <w:rPr>
      <w:color w:val="0000FF" w:themeColor="hyperlink"/>
      <w:u w:val="single"/>
    </w:rPr>
  </w:style>
  <w:style w:type="character" w:styleId="GevolgdeHyperlink">
    <w:name w:val="FollowedHyperlink"/>
    <w:basedOn w:val="Standaardalinea-lettertype"/>
    <w:uiPriority w:val="99"/>
    <w:semiHidden/>
    <w:unhideWhenUsed/>
    <w:rsid w:val="008231A7"/>
    <w:rPr>
      <w:color w:val="800080" w:themeColor="followedHyperlink"/>
      <w:u w:val="single"/>
    </w:rPr>
  </w:style>
  <w:style w:type="paragraph" w:styleId="Revisie">
    <w:name w:val="Revision"/>
    <w:hidden/>
    <w:uiPriority w:val="99"/>
    <w:semiHidden/>
    <w:rsid w:val="0040657C"/>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A3377"/>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61D6E"/>
    <w:pPr>
      <w:ind w:left="720"/>
      <w:contextualSpacing/>
    </w:pPr>
  </w:style>
  <w:style w:type="paragraph" w:styleId="Voetnoottekst">
    <w:name w:val="footnote text"/>
    <w:basedOn w:val="Standaard"/>
    <w:link w:val="VoetnoottekstChar"/>
    <w:uiPriority w:val="99"/>
    <w:semiHidden/>
    <w:unhideWhenUsed/>
    <w:rsid w:val="003723F3"/>
    <w:rPr>
      <w:sz w:val="20"/>
      <w:szCs w:val="20"/>
    </w:rPr>
  </w:style>
  <w:style w:type="character" w:customStyle="1" w:styleId="VoetnoottekstChar">
    <w:name w:val="Voetnoottekst Char"/>
    <w:basedOn w:val="Standaardalinea-lettertype"/>
    <w:link w:val="Voetnoottekst"/>
    <w:uiPriority w:val="99"/>
    <w:semiHidden/>
    <w:rsid w:val="003723F3"/>
  </w:style>
  <w:style w:type="character" w:styleId="Voetnootmarkering">
    <w:name w:val="footnote reference"/>
    <w:basedOn w:val="Standaardalinea-lettertype"/>
    <w:uiPriority w:val="99"/>
    <w:semiHidden/>
    <w:unhideWhenUsed/>
    <w:rsid w:val="003723F3"/>
    <w:rPr>
      <w:vertAlign w:val="superscript"/>
    </w:rPr>
  </w:style>
  <w:style w:type="paragraph" w:styleId="Ballontekst">
    <w:name w:val="Balloon Text"/>
    <w:basedOn w:val="Standaard"/>
    <w:link w:val="BallontekstChar"/>
    <w:uiPriority w:val="99"/>
    <w:semiHidden/>
    <w:unhideWhenUsed/>
    <w:rsid w:val="00236AEE"/>
    <w:rPr>
      <w:rFonts w:ascii="Tahoma" w:hAnsi="Tahoma" w:cs="Tahoma"/>
      <w:sz w:val="16"/>
      <w:szCs w:val="16"/>
    </w:rPr>
  </w:style>
  <w:style w:type="character" w:customStyle="1" w:styleId="BallontekstChar">
    <w:name w:val="Ballontekst Char"/>
    <w:basedOn w:val="Standaardalinea-lettertype"/>
    <w:link w:val="Ballontekst"/>
    <w:uiPriority w:val="99"/>
    <w:semiHidden/>
    <w:rsid w:val="00236AEE"/>
    <w:rPr>
      <w:rFonts w:ascii="Tahoma" w:hAnsi="Tahoma" w:cs="Tahoma"/>
      <w:sz w:val="16"/>
      <w:szCs w:val="16"/>
    </w:rPr>
  </w:style>
  <w:style w:type="paragraph" w:styleId="Koptekst">
    <w:name w:val="header"/>
    <w:basedOn w:val="Standaard"/>
    <w:link w:val="KoptekstChar"/>
    <w:uiPriority w:val="99"/>
    <w:unhideWhenUsed/>
    <w:rsid w:val="00B87F91"/>
    <w:pPr>
      <w:tabs>
        <w:tab w:val="center" w:pos="4513"/>
        <w:tab w:val="right" w:pos="9026"/>
      </w:tabs>
    </w:pPr>
  </w:style>
  <w:style w:type="character" w:customStyle="1" w:styleId="KoptekstChar">
    <w:name w:val="Koptekst Char"/>
    <w:basedOn w:val="Standaardalinea-lettertype"/>
    <w:link w:val="Koptekst"/>
    <w:uiPriority w:val="99"/>
    <w:rsid w:val="00B87F91"/>
    <w:rPr>
      <w:sz w:val="24"/>
      <w:szCs w:val="24"/>
    </w:rPr>
  </w:style>
  <w:style w:type="paragraph" w:styleId="Voettekst">
    <w:name w:val="footer"/>
    <w:basedOn w:val="Standaard"/>
    <w:link w:val="VoettekstChar"/>
    <w:uiPriority w:val="99"/>
    <w:unhideWhenUsed/>
    <w:rsid w:val="00B87F91"/>
    <w:pPr>
      <w:tabs>
        <w:tab w:val="center" w:pos="4513"/>
        <w:tab w:val="right" w:pos="9026"/>
      </w:tabs>
    </w:pPr>
  </w:style>
  <w:style w:type="character" w:customStyle="1" w:styleId="VoettekstChar">
    <w:name w:val="Voettekst Char"/>
    <w:basedOn w:val="Standaardalinea-lettertype"/>
    <w:link w:val="Voettekst"/>
    <w:uiPriority w:val="99"/>
    <w:rsid w:val="00B87F91"/>
    <w:rPr>
      <w:sz w:val="24"/>
      <w:szCs w:val="24"/>
    </w:rPr>
  </w:style>
  <w:style w:type="character" w:styleId="Verwijzingopmerking">
    <w:name w:val="annotation reference"/>
    <w:basedOn w:val="Standaardalinea-lettertype"/>
    <w:uiPriority w:val="99"/>
    <w:semiHidden/>
    <w:unhideWhenUsed/>
    <w:rsid w:val="005D58A5"/>
    <w:rPr>
      <w:sz w:val="16"/>
      <w:szCs w:val="16"/>
    </w:rPr>
  </w:style>
  <w:style w:type="paragraph" w:styleId="Tekstopmerking">
    <w:name w:val="annotation text"/>
    <w:basedOn w:val="Standaard"/>
    <w:link w:val="TekstopmerkingChar"/>
    <w:uiPriority w:val="99"/>
    <w:semiHidden/>
    <w:unhideWhenUsed/>
    <w:rsid w:val="005D58A5"/>
    <w:rPr>
      <w:sz w:val="20"/>
      <w:szCs w:val="20"/>
    </w:rPr>
  </w:style>
  <w:style w:type="character" w:customStyle="1" w:styleId="TekstopmerkingChar">
    <w:name w:val="Tekst opmerking Char"/>
    <w:basedOn w:val="Standaardalinea-lettertype"/>
    <w:link w:val="Tekstopmerking"/>
    <w:uiPriority w:val="99"/>
    <w:semiHidden/>
    <w:rsid w:val="005D58A5"/>
  </w:style>
  <w:style w:type="paragraph" w:styleId="Onderwerpvanopmerking">
    <w:name w:val="annotation subject"/>
    <w:basedOn w:val="Tekstopmerking"/>
    <w:next w:val="Tekstopmerking"/>
    <w:link w:val="OnderwerpvanopmerkingChar"/>
    <w:uiPriority w:val="99"/>
    <w:semiHidden/>
    <w:unhideWhenUsed/>
    <w:rsid w:val="005D58A5"/>
    <w:rPr>
      <w:b/>
      <w:bCs/>
    </w:rPr>
  </w:style>
  <w:style w:type="character" w:customStyle="1" w:styleId="OnderwerpvanopmerkingChar">
    <w:name w:val="Onderwerp van opmerking Char"/>
    <w:basedOn w:val="TekstopmerkingChar"/>
    <w:link w:val="Onderwerpvanopmerking"/>
    <w:uiPriority w:val="99"/>
    <w:semiHidden/>
    <w:rsid w:val="005D58A5"/>
    <w:rPr>
      <w:b/>
      <w:bCs/>
    </w:rPr>
  </w:style>
  <w:style w:type="character" w:styleId="Hyperlink">
    <w:name w:val="Hyperlink"/>
    <w:basedOn w:val="Standaardalinea-lettertype"/>
    <w:uiPriority w:val="99"/>
    <w:unhideWhenUsed/>
    <w:rsid w:val="00813F13"/>
    <w:rPr>
      <w:color w:val="0000FF" w:themeColor="hyperlink"/>
      <w:u w:val="single"/>
    </w:rPr>
  </w:style>
  <w:style w:type="character" w:styleId="GevolgdeHyperlink">
    <w:name w:val="FollowedHyperlink"/>
    <w:basedOn w:val="Standaardalinea-lettertype"/>
    <w:uiPriority w:val="99"/>
    <w:semiHidden/>
    <w:unhideWhenUsed/>
    <w:rsid w:val="008231A7"/>
    <w:rPr>
      <w:color w:val="800080" w:themeColor="followedHyperlink"/>
      <w:u w:val="single"/>
    </w:rPr>
  </w:style>
  <w:style w:type="paragraph" w:styleId="Revisie">
    <w:name w:val="Revision"/>
    <w:hidden/>
    <w:uiPriority w:val="99"/>
    <w:semiHidden/>
    <w:rsid w:val="0040657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980626">
      <w:bodyDiv w:val="1"/>
      <w:marLeft w:val="0"/>
      <w:marRight w:val="0"/>
      <w:marTop w:val="0"/>
      <w:marBottom w:val="0"/>
      <w:divBdr>
        <w:top w:val="none" w:sz="0" w:space="0" w:color="auto"/>
        <w:left w:val="none" w:sz="0" w:space="0" w:color="auto"/>
        <w:bottom w:val="none" w:sz="0" w:space="0" w:color="auto"/>
        <w:right w:val="none" w:sz="0" w:space="0" w:color="auto"/>
      </w:divBdr>
    </w:div>
    <w:div w:id="10624070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conventions.coe.int/?pg=/Treaty/projets/Projets_en.asp" TargetMode="External"/><Relationship Id="rId4" Type="http://schemas.microsoft.com/office/2007/relationships/stylesWithEffects" Target="stylesWithEffects.xml"/><Relationship Id="rId9" Type="http://schemas.openxmlformats.org/officeDocument/2006/relationships/hyperlink" Target="http://www.coe.int/t/dgi/brighton-conference/documents/Court-Advisory-opinions_en.pdf"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242AEBC7C58384499D01374F2913D2E" ma:contentTypeVersion="0" ma:contentTypeDescription="Een nieuw document maken." ma:contentTypeScope="" ma:versionID="c4ac83f6aade99656cdf307b9eb4c65b">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DE8F3E1-99B7-4B54-8774-DEFF6C1DD45E}"/>
</file>

<file path=customXml/itemProps2.xml><?xml version="1.0" encoding="utf-8"?>
<ds:datastoreItem xmlns:ds="http://schemas.openxmlformats.org/officeDocument/2006/customXml" ds:itemID="{D5259BA3-62A3-4474-8EA3-E4632636E19C}"/>
</file>

<file path=customXml/itemProps3.xml><?xml version="1.0" encoding="utf-8"?>
<ds:datastoreItem xmlns:ds="http://schemas.openxmlformats.org/officeDocument/2006/customXml" ds:itemID="{5382DAC9-1292-4812-BA49-03B6D5BE4C3B}"/>
</file>

<file path=customXml/itemProps4.xml><?xml version="1.0" encoding="utf-8"?>
<ds:datastoreItem xmlns:ds="http://schemas.openxmlformats.org/officeDocument/2006/customXml" ds:itemID="{7B354FA8-CFE8-482D-ACE4-C48AABF58AEA}"/>
</file>

<file path=docProps/app.xml><?xml version="1.0" encoding="utf-8"?>
<Properties xmlns="http://schemas.openxmlformats.org/officeDocument/2006/extended-properties" xmlns:vt="http://schemas.openxmlformats.org/officeDocument/2006/docPropsVTypes">
  <Template>DA2E3C3F.dotm</Template>
  <TotalTime>1</TotalTime>
  <Pages>12</Pages>
  <Words>5303</Words>
  <Characters>29168</Characters>
  <Application>Microsoft Office Word</Application>
  <DocSecurity>4</DocSecurity>
  <Lines>243</Lines>
  <Paragraphs>68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Membrane Enzymology</Company>
  <LinksUpToDate>false</LinksUpToDate>
  <CharactersWithSpaces>34403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Liselot Egmond</dc:creator>
  <cp:lastModifiedBy>Hans Bouwmeester</cp:lastModifiedBy>
  <cp:revision>2</cp:revision>
  <cp:lastPrinted>2015-03-30T15:28:00Z</cp:lastPrinted>
  <dcterms:created xsi:type="dcterms:W3CDTF">2015-06-19T08:12:00Z</dcterms:created>
  <dcterms:modified xsi:type="dcterms:W3CDTF">2015-06-19T08:12:00Z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0x010100C242AEBC7C58384499D01374F2913D2E</vt:lpwstr>
  </property>
</Properties>
</file>