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2A" w:rsidRDefault="008C6D2A" w:rsidP="007D3751">
      <w:pPr>
        <w:spacing w:line="240" w:lineRule="exact"/>
        <w:jc w:val="right"/>
        <w:rPr>
          <w:b/>
        </w:rPr>
      </w:pPr>
      <w:bookmarkStart w:id="0" w:name="_GoBack"/>
      <w:bookmarkEnd w:id="0"/>
    </w:p>
    <w:p w:rsidR="008C6D2A" w:rsidRDefault="008C6D2A" w:rsidP="007D3751">
      <w:pPr>
        <w:spacing w:line="240" w:lineRule="exact"/>
        <w:jc w:val="right"/>
        <w:rPr>
          <w:b/>
        </w:rPr>
      </w:pPr>
    </w:p>
    <w:p w:rsidR="008C6D2A" w:rsidRDefault="008C6D2A" w:rsidP="007D3751">
      <w:pPr>
        <w:spacing w:line="240" w:lineRule="exact"/>
        <w:jc w:val="right"/>
        <w:rPr>
          <w:b/>
        </w:rPr>
      </w:pPr>
    </w:p>
    <w:p w:rsidR="008C6D2A" w:rsidRDefault="008C6D2A" w:rsidP="007D3751">
      <w:pPr>
        <w:spacing w:line="240" w:lineRule="exact"/>
        <w:jc w:val="right"/>
        <w:rPr>
          <w:b/>
        </w:rPr>
      </w:pPr>
    </w:p>
    <w:p w:rsidR="008C6D2A" w:rsidRDefault="008C6D2A" w:rsidP="007D3751">
      <w:pPr>
        <w:spacing w:line="240" w:lineRule="exact"/>
        <w:jc w:val="right"/>
        <w:rPr>
          <w:b/>
        </w:rPr>
      </w:pPr>
    </w:p>
    <w:p w:rsidR="005E4CA0" w:rsidRDefault="005E4CA0" w:rsidP="007D3751">
      <w:pPr>
        <w:spacing w:line="240" w:lineRule="exact"/>
        <w:jc w:val="right"/>
        <w:rPr>
          <w:b/>
        </w:rPr>
      </w:pPr>
    </w:p>
    <w:p w:rsidR="008926B0" w:rsidRDefault="008926B0" w:rsidP="007D3751">
      <w:pPr>
        <w:spacing w:line="240" w:lineRule="exact"/>
        <w:jc w:val="right"/>
        <w:rPr>
          <w:b/>
        </w:rPr>
      </w:pPr>
    </w:p>
    <w:p w:rsidR="008926B0" w:rsidRDefault="008926B0" w:rsidP="007D3751">
      <w:pPr>
        <w:spacing w:line="240" w:lineRule="exact"/>
        <w:jc w:val="right"/>
        <w:rPr>
          <w:b/>
        </w:rPr>
      </w:pPr>
    </w:p>
    <w:p w:rsidR="008C6D2A" w:rsidRDefault="008C6D2A" w:rsidP="007D3751">
      <w:pPr>
        <w:spacing w:line="240" w:lineRule="exact"/>
        <w:jc w:val="right"/>
        <w:rPr>
          <w:b/>
        </w:rPr>
      </w:pPr>
    </w:p>
    <w:p w:rsidR="00E34312" w:rsidRPr="00A53D91" w:rsidRDefault="000F6BF1" w:rsidP="007D3751">
      <w:pPr>
        <w:spacing w:line="240" w:lineRule="exact"/>
        <w:rPr>
          <w:b/>
        </w:rPr>
      </w:pPr>
      <w:r w:rsidRPr="00A53D91">
        <w:rPr>
          <w:b/>
        </w:rPr>
        <w:t>W</w:t>
      </w:r>
      <w:r w:rsidR="00E34312" w:rsidRPr="00A53D91">
        <w:rPr>
          <w:b/>
        </w:rPr>
        <w:t xml:space="preserve">ijziging van </w:t>
      </w:r>
      <w:r w:rsidR="00907EBE" w:rsidRPr="00A53D91">
        <w:rPr>
          <w:b/>
        </w:rPr>
        <w:t>de</w:t>
      </w:r>
      <w:r w:rsidR="00E34312" w:rsidRPr="00A53D91">
        <w:rPr>
          <w:b/>
        </w:rPr>
        <w:t xml:space="preserve"> </w:t>
      </w:r>
      <w:r w:rsidR="00907EBE" w:rsidRPr="00A53D91">
        <w:rPr>
          <w:b/>
        </w:rPr>
        <w:t xml:space="preserve">wet tot wijziging van de Mijnbouwwet, de Wet milieubeheer en de Wet op de economische delicten in verband met implementatie van richtlijn nr. 2013/30/EU van het Europees parlement en de Raad van 12 juni 2013 betreffende de veiligheid van offshore olie- en gasactiviteiten en tot wijziging van richtlijn 2004/35/EG (PbEU 2013, L 178), en wijziging van Boek 6 van het Burgerlijk Wetboek in verband met de omkering van de bewijslast bij schade binnen het effectgebied van een mijnbouwwerk </w:t>
      </w:r>
      <w:r w:rsidR="00E34312" w:rsidRPr="00A53D91">
        <w:rPr>
          <w:b/>
        </w:rPr>
        <w:t xml:space="preserve">in verband met aanpassing van de bepaling inzake een wettelijk bewijsvermoeden voor mijnbouwschade </w:t>
      </w:r>
      <w:r w:rsidR="009C7F15" w:rsidRPr="00A53D91">
        <w:rPr>
          <w:b/>
        </w:rPr>
        <w:t xml:space="preserve">in Groningen </w:t>
      </w:r>
      <w:r w:rsidR="00E34312" w:rsidRPr="00A53D91">
        <w:rPr>
          <w:b/>
        </w:rPr>
        <w:t>en enkele andere bepalingen</w:t>
      </w:r>
      <w:r w:rsidR="007C4D34" w:rsidRPr="00A53D91">
        <w:rPr>
          <w:b/>
        </w:rPr>
        <w:t xml:space="preserve"> (Wet bewijsvermoeden gaswinning Groningen)</w:t>
      </w:r>
    </w:p>
    <w:p w:rsidR="00E34312" w:rsidRDefault="00E34312" w:rsidP="002709E1">
      <w:pPr>
        <w:spacing w:line="240" w:lineRule="exact"/>
      </w:pPr>
    </w:p>
    <w:p w:rsidR="007D3751" w:rsidRDefault="007D3751" w:rsidP="002709E1">
      <w:pPr>
        <w:spacing w:line="240" w:lineRule="exact"/>
      </w:pPr>
    </w:p>
    <w:p w:rsidR="000F6BF1" w:rsidRDefault="000F6BF1" w:rsidP="002709E1">
      <w:pPr>
        <w:spacing w:line="240" w:lineRule="exact"/>
        <w:rPr>
          <w:b/>
        </w:rPr>
      </w:pPr>
      <w:r w:rsidRPr="007D3751">
        <w:rPr>
          <w:b/>
        </w:rPr>
        <w:t>VOORSTEL VAN WET</w:t>
      </w:r>
    </w:p>
    <w:p w:rsidR="00A07866" w:rsidRDefault="00A07866" w:rsidP="002709E1">
      <w:pPr>
        <w:spacing w:line="240" w:lineRule="exact"/>
        <w:rPr>
          <w:b/>
        </w:rPr>
      </w:pPr>
    </w:p>
    <w:p w:rsidR="000F6BF1" w:rsidRDefault="000F6BF1" w:rsidP="002709E1">
      <w:pPr>
        <w:spacing w:line="240" w:lineRule="exact"/>
      </w:pPr>
    </w:p>
    <w:p w:rsidR="006F6614" w:rsidRDefault="006F6614" w:rsidP="002709E1">
      <w:pPr>
        <w:spacing w:line="240" w:lineRule="exact"/>
        <w:ind w:firstLine="284"/>
      </w:pPr>
      <w:r>
        <w:t>Wij Willem-Alexander, bij de gratie Gods, Koning der Nederlanden, Prins van Oranje-Nassau, enz. enz. enz.</w:t>
      </w:r>
    </w:p>
    <w:p w:rsidR="006F6614" w:rsidRDefault="006F6614" w:rsidP="002709E1">
      <w:pPr>
        <w:spacing w:line="240" w:lineRule="exact"/>
      </w:pPr>
    </w:p>
    <w:p w:rsidR="006F6614" w:rsidRDefault="006F6614" w:rsidP="002709E1">
      <w:pPr>
        <w:spacing w:line="240" w:lineRule="exact"/>
      </w:pPr>
      <w:r>
        <w:tab/>
        <w:t>Allen, die deze zullen zien of horen lezen, saluut! doen te weten:</w:t>
      </w:r>
    </w:p>
    <w:p w:rsidR="006F6614" w:rsidRDefault="006F6614" w:rsidP="002709E1">
      <w:pPr>
        <w:spacing w:line="240" w:lineRule="exact"/>
      </w:pPr>
      <w:r>
        <w:tab/>
        <w:t xml:space="preserve">Alzo Wij in overweging genomen hebben, dat het gewenst is </w:t>
      </w:r>
      <w:r w:rsidR="00907EBE">
        <w:t>de wet tot w</w:t>
      </w:r>
      <w:r w:rsidR="00907EBE" w:rsidRPr="00907EBE">
        <w:t>ijziging van de Mijnbouwwet, de Wet milieubeheer en de Wet op de economische delicten in verband met implementatie van richtlijn nr. 2013/30/EU van het Europees parlement en de Raad van 12 juni 2013 betreffende de veiligheid van offshore olie- en gasactiviteiten en tot wijziging van richtlijn 2004/35/EG (PbEU 2013, L 178), en wijziging van Boek 6 van het Burgerlijk Wetboek in verband met de omkering van de bewijslast bij schade binnen het effectgebied van een mijnbouwwerk</w:t>
      </w:r>
      <w:r w:rsidR="00907EBE">
        <w:t xml:space="preserve"> te wijzigen om </w:t>
      </w:r>
      <w:r>
        <w:t>te komen tot een afgebakend wettelijk bewijsvermoeden voor schade door bodembeweging als gevolg van gaswinning uit het Groningenveld;</w:t>
      </w:r>
    </w:p>
    <w:p w:rsidR="006F6614" w:rsidRDefault="006F6614" w:rsidP="002709E1">
      <w:pPr>
        <w:spacing w:line="240" w:lineRule="exact"/>
      </w:pPr>
      <w:r>
        <w:tab/>
        <w:t>Zo is het, dat Wij, de Afdeling advisering van de Raad van State gehoord, en met gemeen overleg der Staten-Generaal, hebben goedgevonden en verstaan, gelijk Wij goedvinden en verstaan bij deze:</w:t>
      </w:r>
    </w:p>
    <w:p w:rsidR="006F6614" w:rsidRDefault="006F6614" w:rsidP="006F6614">
      <w:pPr>
        <w:spacing w:line="240" w:lineRule="exact"/>
      </w:pPr>
    </w:p>
    <w:p w:rsidR="002709E1" w:rsidRDefault="002709E1" w:rsidP="001C1191">
      <w:pPr>
        <w:spacing w:line="240" w:lineRule="exact"/>
      </w:pPr>
    </w:p>
    <w:p w:rsidR="00685E70" w:rsidRDefault="00685E70" w:rsidP="001C1191">
      <w:pPr>
        <w:spacing w:line="240" w:lineRule="exact"/>
      </w:pPr>
      <w:r>
        <w:t>Artikel I</w:t>
      </w:r>
    </w:p>
    <w:p w:rsidR="00685E70" w:rsidRDefault="00685E70" w:rsidP="001C1191">
      <w:pPr>
        <w:spacing w:line="240" w:lineRule="exact"/>
      </w:pPr>
    </w:p>
    <w:p w:rsidR="00685E70" w:rsidRDefault="00685E70" w:rsidP="002709E1">
      <w:pPr>
        <w:spacing w:line="240" w:lineRule="exact"/>
        <w:ind w:firstLine="284"/>
      </w:pPr>
      <w:r>
        <w:t xml:space="preserve">Indien het bij koninklijke boodschap van 24 september 2014 ingediende voorstel van </w:t>
      </w:r>
      <w:r w:rsidR="009B7B38">
        <w:t>wet tot w</w:t>
      </w:r>
      <w:r w:rsidR="009B7B38" w:rsidRPr="00907EBE">
        <w:t>ijziging van de Mijnbouwwet, de Wet milieubeheer en de Wet op de economische delicten in verband met implementatie van richtlijn nr. 2013/30/EU van het Europees parlement en de Raad van 12 juni 2013 betreffende de veiligheid van offshore olie- en gasactiviteiten en tot wijziging van richtlijn 2004/35/EG (PbEU 2013, L 178), en wijziging van Boek 6 van het Burgerlijk Wetboek in verband met de omkering van de bewijslast bij schade binnen het effectgebied van een mijnbouwwerk</w:t>
      </w:r>
      <w:r>
        <w:t xml:space="preserve"> tot wet wordt verheven, wordt die wet als volgt gewijzigd:</w:t>
      </w:r>
    </w:p>
    <w:p w:rsidR="00685E70" w:rsidRDefault="00685E70" w:rsidP="001C1191">
      <w:pPr>
        <w:spacing w:line="240" w:lineRule="exact"/>
      </w:pPr>
    </w:p>
    <w:p w:rsidR="004246CD" w:rsidRDefault="004246CD" w:rsidP="001C1191">
      <w:pPr>
        <w:spacing w:line="240" w:lineRule="exact"/>
      </w:pPr>
      <w:r>
        <w:t>A</w:t>
      </w:r>
    </w:p>
    <w:p w:rsidR="00E34312" w:rsidRDefault="00E34312" w:rsidP="002709E1">
      <w:pPr>
        <w:ind w:firstLine="284"/>
      </w:pPr>
      <w:r>
        <w:t>In artikel I vervallen de onderdelen Ba, Ca, Da, Db, Dc, Ga, Gb, Gc en Gd.</w:t>
      </w:r>
    </w:p>
    <w:p w:rsidR="00E34312" w:rsidRDefault="008C6D2A" w:rsidP="008926B0">
      <w:pPr>
        <w:spacing w:line="240" w:lineRule="atLeast"/>
      </w:pPr>
      <w:r>
        <w:br w:type="page"/>
      </w:r>
      <w:r w:rsidR="00E34312">
        <w:lastRenderedPageBreak/>
        <w:t>B</w:t>
      </w:r>
    </w:p>
    <w:p w:rsidR="004246CD" w:rsidRDefault="004246CD" w:rsidP="002709E1">
      <w:pPr>
        <w:spacing w:line="240" w:lineRule="exact"/>
        <w:ind w:firstLine="284"/>
      </w:pPr>
      <w:r>
        <w:t>Artikel IA komt te luiden:</w:t>
      </w:r>
    </w:p>
    <w:p w:rsidR="00CB74D0" w:rsidRDefault="00CB74D0" w:rsidP="001C1191">
      <w:pPr>
        <w:spacing w:line="240" w:lineRule="exact"/>
      </w:pPr>
    </w:p>
    <w:p w:rsidR="00CB74D0" w:rsidRPr="00907EBE" w:rsidRDefault="00CB74D0" w:rsidP="001C1191">
      <w:pPr>
        <w:spacing w:line="240" w:lineRule="exact"/>
        <w:rPr>
          <w:b/>
        </w:rPr>
      </w:pPr>
      <w:r w:rsidRPr="00907EBE">
        <w:rPr>
          <w:b/>
        </w:rPr>
        <w:t>Artikel IA</w:t>
      </w:r>
    </w:p>
    <w:p w:rsidR="001C1191" w:rsidRDefault="00E34312" w:rsidP="002709E1">
      <w:pPr>
        <w:spacing w:line="240" w:lineRule="exact"/>
        <w:ind w:firstLine="284"/>
      </w:pPr>
      <w:r>
        <w:t>Na artikel 177 van B</w:t>
      </w:r>
      <w:r w:rsidR="001C1191">
        <w:t>oek 6 van het Burgerlijk Wetboek wordt een artikel ingevoegd, luidende:</w:t>
      </w:r>
    </w:p>
    <w:p w:rsidR="007D3751" w:rsidRDefault="007D3751" w:rsidP="001C1191">
      <w:pPr>
        <w:spacing w:line="240" w:lineRule="exact"/>
      </w:pPr>
    </w:p>
    <w:p w:rsidR="00685E70" w:rsidRPr="00907EBE" w:rsidRDefault="00685E70" w:rsidP="001C1191">
      <w:pPr>
        <w:spacing w:line="240" w:lineRule="exact"/>
        <w:rPr>
          <w:b/>
        </w:rPr>
      </w:pPr>
      <w:r w:rsidRPr="00907EBE">
        <w:rPr>
          <w:b/>
        </w:rPr>
        <w:t>Artikel 177a</w:t>
      </w:r>
    </w:p>
    <w:p w:rsidR="00685E70" w:rsidRDefault="00685E70" w:rsidP="002709E1">
      <w:pPr>
        <w:spacing w:line="240" w:lineRule="exact"/>
        <w:ind w:firstLine="284"/>
      </w:pPr>
      <w:r>
        <w:t xml:space="preserve">1. Indien binnen het effectgebied van een mijnbouwwerk ten behoeve van het winnen van gas uit het </w:t>
      </w:r>
      <w:r w:rsidR="00D15F7C" w:rsidRPr="00D15F7C">
        <w:t xml:space="preserve">Groningenveld op basis van de bij koninklijk besluit van 30 mei 1963, nr. 39 (Stcrt. </w:t>
      </w:r>
      <w:r w:rsidR="00D15F7C">
        <w:t xml:space="preserve">1963, </w:t>
      </w:r>
      <w:r w:rsidR="00D15F7C" w:rsidRPr="00D15F7C">
        <w:t>126) verleende winningsvergunning</w:t>
      </w:r>
      <w:r w:rsidR="00D15F7C">
        <w:t xml:space="preserve"> </w:t>
      </w:r>
      <w:r w:rsidR="005B7793">
        <w:t xml:space="preserve">fysieke schade </w:t>
      </w:r>
      <w:r>
        <w:t xml:space="preserve">aan gebouwen en werken ontstaat, die naar </w:t>
      </w:r>
      <w:r w:rsidR="009C7F15">
        <w:t>haar</w:t>
      </w:r>
      <w:r>
        <w:t xml:space="preserve"> aard schade als gevolg van bodembeweging door de aanleg of exploitatie van dat mijnbouwwerk zou kunnen zijn, wordt vermoed dat die schade door de aanleg of de exploitatie van dat mijnbouwwerk veroorzaakt is.</w:t>
      </w:r>
    </w:p>
    <w:p w:rsidR="001C1191" w:rsidRDefault="001C1191" w:rsidP="002709E1">
      <w:pPr>
        <w:spacing w:line="240" w:lineRule="exact"/>
        <w:ind w:firstLine="284"/>
      </w:pPr>
      <w:r>
        <w:t>2</w:t>
      </w:r>
      <w:r w:rsidRPr="00D6511B">
        <w:t xml:space="preserve">. De </w:t>
      </w:r>
      <w:r>
        <w:t>benadeelde</w:t>
      </w:r>
      <w:r w:rsidRPr="00D6511B">
        <w:t xml:space="preserve"> </w:t>
      </w:r>
      <w:r>
        <w:t>kan zich slechts</w:t>
      </w:r>
      <w:r w:rsidRPr="00D6511B">
        <w:t xml:space="preserve"> beroep</w:t>
      </w:r>
      <w:r>
        <w:t>en</w:t>
      </w:r>
      <w:r w:rsidRPr="00D6511B">
        <w:t xml:space="preserve"> op het vermoeden, bedoeld in het </w:t>
      </w:r>
      <w:r>
        <w:t>eerste</w:t>
      </w:r>
      <w:r w:rsidRPr="00D6511B">
        <w:t xml:space="preserve"> lid, </w:t>
      </w:r>
      <w:r>
        <w:t>indien hij</w:t>
      </w:r>
      <w:r w:rsidRPr="00D6511B">
        <w:t xml:space="preserve"> de exploitant</w:t>
      </w:r>
      <w:r w:rsidR="00114148">
        <w:t>, bedoeld in artikel 177,</w:t>
      </w:r>
      <w:r w:rsidRPr="00D6511B">
        <w:t xml:space="preserve"> op diens verzoek de </w:t>
      </w:r>
      <w:r w:rsidR="00114148">
        <w:t>relevante bescheiden</w:t>
      </w:r>
      <w:r w:rsidR="009C7F15">
        <w:t xml:space="preserve"> </w:t>
      </w:r>
      <w:r w:rsidR="00114148">
        <w:t>betreffende</w:t>
      </w:r>
      <w:r w:rsidRPr="00D6511B">
        <w:t xml:space="preserve"> het gebouw of werk ter inzage</w:t>
      </w:r>
      <w:r>
        <w:t xml:space="preserve"> geeft</w:t>
      </w:r>
      <w:r w:rsidRPr="00D6511B">
        <w:t xml:space="preserve"> indien hij daarover beschikt</w:t>
      </w:r>
      <w:r w:rsidR="009C7F15">
        <w:t>,</w:t>
      </w:r>
      <w:r>
        <w:t xml:space="preserve"> en de exploitant </w:t>
      </w:r>
      <w:r w:rsidR="00114148">
        <w:t xml:space="preserve">genoegzaam </w:t>
      </w:r>
      <w:r>
        <w:t>gelegenheid geeft de schade te onderzoeken</w:t>
      </w:r>
      <w:r w:rsidRPr="00D6511B">
        <w:t xml:space="preserve">. </w:t>
      </w:r>
    </w:p>
    <w:p w:rsidR="001C1191" w:rsidRPr="00D6511B" w:rsidRDefault="001C1191" w:rsidP="002709E1">
      <w:pPr>
        <w:spacing w:line="240" w:lineRule="exact"/>
        <w:ind w:firstLine="284"/>
      </w:pPr>
      <w:r>
        <w:t xml:space="preserve">3. </w:t>
      </w:r>
      <w:r w:rsidRPr="00D6511B">
        <w:t xml:space="preserve">Bij </w:t>
      </w:r>
      <w:r>
        <w:t>ministeriële regeling</w:t>
      </w:r>
      <w:r w:rsidRPr="00D6511B">
        <w:t xml:space="preserve"> wordt het effectgebied</w:t>
      </w:r>
      <w:r>
        <w:t xml:space="preserve">, bedoeld in het </w:t>
      </w:r>
      <w:r w:rsidR="00D4221A">
        <w:t>eerste</w:t>
      </w:r>
      <w:r>
        <w:t xml:space="preserve"> lid,</w:t>
      </w:r>
      <w:r w:rsidRPr="00D6511B">
        <w:t xml:space="preserve"> vastgesteld. </w:t>
      </w:r>
      <w:r>
        <w:t xml:space="preserve">Voor de toepassing van het </w:t>
      </w:r>
      <w:r w:rsidR="00D4221A">
        <w:t>eerste</w:t>
      </w:r>
      <w:r>
        <w:t xml:space="preserve"> lid geldt het effectgebied zoals dat was vastgesteld op het moment waarop </w:t>
      </w:r>
      <w:r w:rsidRPr="00D30D0F">
        <w:t>de</w:t>
      </w:r>
      <w:r>
        <w:t xml:space="preserve"> benadeelde met de schade bekend is geworden. </w:t>
      </w:r>
    </w:p>
    <w:p w:rsidR="001C1191" w:rsidRDefault="001C1191" w:rsidP="00685E70"/>
    <w:p w:rsidR="001C3287" w:rsidRDefault="001C3287" w:rsidP="00685E70">
      <w:r>
        <w:t>C</w:t>
      </w:r>
    </w:p>
    <w:p w:rsidR="001C3287" w:rsidRDefault="001C3287" w:rsidP="00685E70">
      <w:r>
        <w:tab/>
        <w:t>Artikel V komt te luiden:</w:t>
      </w:r>
    </w:p>
    <w:p w:rsidR="001C3287" w:rsidRDefault="001C3287" w:rsidP="00685E70"/>
    <w:p w:rsidR="00907EBE" w:rsidRPr="00907EBE" w:rsidRDefault="00907EBE" w:rsidP="00907EBE">
      <w:pPr>
        <w:rPr>
          <w:b/>
        </w:rPr>
      </w:pPr>
      <w:r w:rsidRPr="00907EBE">
        <w:rPr>
          <w:b/>
        </w:rPr>
        <w:t>Artikel V</w:t>
      </w:r>
    </w:p>
    <w:p w:rsidR="001C3287" w:rsidRDefault="001C3287" w:rsidP="009F4CB1">
      <w:pPr>
        <w:ind w:firstLine="284"/>
      </w:pPr>
      <w:r w:rsidRPr="001C3287">
        <w:t>Onder toepassing van artikel 12 van de Wet raadgevend referendum treedt deze wet in werking met ingang va</w:t>
      </w:r>
      <w:r>
        <w:t>n de dag na de datum van uitgif</w:t>
      </w:r>
      <w:r w:rsidRPr="001C3287">
        <w:t>te van het Staatsblad waarin zij wordt geplaatst.</w:t>
      </w:r>
    </w:p>
    <w:p w:rsidR="00CB74D0" w:rsidRDefault="00CB74D0" w:rsidP="001C1191">
      <w:pPr>
        <w:spacing w:line="240" w:lineRule="exact"/>
      </w:pPr>
    </w:p>
    <w:p w:rsidR="00C95647" w:rsidRDefault="00C95647" w:rsidP="001C1191">
      <w:pPr>
        <w:spacing w:line="240" w:lineRule="exact"/>
      </w:pPr>
      <w:r>
        <w:t>Artikel II</w:t>
      </w:r>
    </w:p>
    <w:p w:rsidR="00C95647" w:rsidRDefault="00C95647" w:rsidP="001C1191">
      <w:pPr>
        <w:spacing w:line="240" w:lineRule="exact"/>
      </w:pPr>
    </w:p>
    <w:p w:rsidR="001C1191" w:rsidRDefault="001C1191" w:rsidP="002709E1">
      <w:pPr>
        <w:spacing w:line="240" w:lineRule="exact"/>
        <w:ind w:firstLine="284"/>
      </w:pPr>
      <w:r>
        <w:t xml:space="preserve">Indien het bij koninklijke boodschap van 24 september 2014 ingediende voorstel van wet </w:t>
      </w:r>
      <w:r w:rsidR="009B7B38">
        <w:t>tot w</w:t>
      </w:r>
      <w:r w:rsidR="009B7B38" w:rsidRPr="00907EBE">
        <w:t>ijziging van de Mijnbouwwet, de Wet milieubeheer en de Wet op de economische delicten in verband met implementatie van richtlijn nr. 2013/30/EU van het Europees parlement en de Raad van 12 juni 2013 betreffende de veiligheid van offshore olie- en gasactiviteiten en tot wijziging van richtlijn 2004/35/EG (PbEU 2013, L 178), en wijziging van Boek 6 van het Burgerlijk Wetboek in verband met de omkering van de bewijslast bij schade binnen het effectgebied van een mijnbouwwerk</w:t>
      </w:r>
      <w:r>
        <w:t xml:space="preserve"> tot wet is of wordt verheven en die wet in werking treedt, treedt deze wet </w:t>
      </w:r>
      <w:r w:rsidR="001C3287">
        <w:t xml:space="preserve">onder toepassing van artikel 12 van de Wet raadgevend referendum </w:t>
      </w:r>
      <w:r>
        <w:t>op hetzelfde tijdstip in werking.</w:t>
      </w:r>
    </w:p>
    <w:p w:rsidR="0030347D" w:rsidRDefault="0030347D" w:rsidP="001C1191">
      <w:pPr>
        <w:spacing w:line="240" w:lineRule="exact"/>
      </w:pPr>
    </w:p>
    <w:p w:rsidR="0030347D" w:rsidRDefault="00A92496" w:rsidP="0030347D">
      <w:pPr>
        <w:spacing w:line="240" w:lineRule="exact"/>
      </w:pPr>
      <w:r>
        <w:t>Artikel</w:t>
      </w:r>
      <w:r w:rsidR="00453F1B">
        <w:t xml:space="preserve"> I</w:t>
      </w:r>
      <w:r w:rsidR="00BD27BB">
        <w:t>II</w:t>
      </w:r>
    </w:p>
    <w:p w:rsidR="00453F1B" w:rsidRDefault="00453F1B" w:rsidP="0030347D">
      <w:pPr>
        <w:spacing w:line="240" w:lineRule="exact"/>
      </w:pPr>
    </w:p>
    <w:p w:rsidR="00453F1B" w:rsidRDefault="00453F1B" w:rsidP="0030347D">
      <w:pPr>
        <w:spacing w:line="240" w:lineRule="exact"/>
      </w:pPr>
      <w:r>
        <w:tab/>
        <w:t>Deze wet wordt aangehaald als: Wet bewijsvermoeden gaswinning Groningen.</w:t>
      </w:r>
    </w:p>
    <w:p w:rsidR="00453F1B" w:rsidRDefault="00453F1B" w:rsidP="0030347D">
      <w:pPr>
        <w:spacing w:line="240" w:lineRule="exact"/>
      </w:pPr>
    </w:p>
    <w:p w:rsidR="00E65319" w:rsidRDefault="009D1B72" w:rsidP="002709E1">
      <w:pPr>
        <w:spacing w:line="240" w:lineRule="atLeast"/>
        <w:ind w:firstLine="284"/>
      </w:pPr>
      <w:r w:rsidRPr="009D1B72">
        <w:t>Lasten en bevelen dat deze in het Staatsblad zal worden geplaatst en dat alle ministeries, autoriteiten, colleges en ambtenaren die zulks aangaat, aan de nauwkeurige uitvoering de hand zullen houden.</w:t>
      </w:r>
    </w:p>
    <w:p w:rsidR="00E65319" w:rsidRDefault="00E65319">
      <w:pPr>
        <w:spacing w:line="240" w:lineRule="atLeast"/>
      </w:pPr>
    </w:p>
    <w:p w:rsidR="007D3751" w:rsidRDefault="007D3751">
      <w:pPr>
        <w:spacing w:line="240" w:lineRule="atLeast"/>
      </w:pPr>
    </w:p>
    <w:p w:rsidR="00C96F32" w:rsidRDefault="00C96F32">
      <w:pPr>
        <w:spacing w:line="240" w:lineRule="atLeast"/>
      </w:pPr>
    </w:p>
    <w:p w:rsidR="00C96F32" w:rsidRDefault="00C96F32">
      <w:pPr>
        <w:spacing w:line="240" w:lineRule="atLeast"/>
      </w:pPr>
    </w:p>
    <w:p w:rsidR="00C96F32" w:rsidRDefault="00C96F32">
      <w:pPr>
        <w:spacing w:line="240" w:lineRule="atLeast"/>
      </w:pPr>
    </w:p>
    <w:p w:rsidR="00C96F32" w:rsidRDefault="00C96F32">
      <w:pPr>
        <w:spacing w:line="240" w:lineRule="atLeast"/>
      </w:pPr>
    </w:p>
    <w:p w:rsidR="00C96F32" w:rsidRDefault="00C96F32">
      <w:pPr>
        <w:spacing w:line="240" w:lineRule="atLeast"/>
      </w:pPr>
    </w:p>
    <w:p w:rsidR="00C96F32" w:rsidRDefault="00C96F32">
      <w:pPr>
        <w:spacing w:line="240" w:lineRule="atLeast"/>
      </w:pPr>
    </w:p>
    <w:p w:rsidR="000F6BF1" w:rsidRDefault="008C6D2A" w:rsidP="008E0A5C">
      <w:pPr>
        <w:spacing w:line="240" w:lineRule="atLeast"/>
      </w:pPr>
      <w:r>
        <w:lastRenderedPageBreak/>
        <w:t xml:space="preserve">Gegeven </w:t>
      </w:r>
    </w:p>
    <w:p w:rsidR="000F6BF1" w:rsidRDefault="000F6BF1" w:rsidP="008E0A5C">
      <w:pPr>
        <w:spacing w:line="240" w:lineRule="atLeast"/>
      </w:pPr>
    </w:p>
    <w:p w:rsidR="000F6BF1" w:rsidRDefault="000F6BF1" w:rsidP="008E0A5C">
      <w:pPr>
        <w:spacing w:line="240" w:lineRule="atLeast"/>
      </w:pPr>
    </w:p>
    <w:p w:rsidR="007D3751" w:rsidRDefault="007D3751" w:rsidP="008E0A5C">
      <w:pPr>
        <w:spacing w:line="240" w:lineRule="atLeast"/>
      </w:pPr>
    </w:p>
    <w:p w:rsidR="007D3751" w:rsidRDefault="007D3751" w:rsidP="008E0A5C">
      <w:pPr>
        <w:spacing w:line="240" w:lineRule="atLeast"/>
      </w:pPr>
    </w:p>
    <w:p w:rsidR="007D3751" w:rsidRDefault="007D3751" w:rsidP="008E0A5C">
      <w:pPr>
        <w:spacing w:line="240" w:lineRule="atLeast"/>
      </w:pPr>
    </w:p>
    <w:p w:rsidR="00C96F32" w:rsidRDefault="00C96F32" w:rsidP="008E0A5C">
      <w:pPr>
        <w:spacing w:line="240" w:lineRule="atLeast"/>
      </w:pPr>
    </w:p>
    <w:p w:rsidR="00C96F32" w:rsidRDefault="00C96F32" w:rsidP="008E0A5C">
      <w:pPr>
        <w:spacing w:line="240" w:lineRule="atLeast"/>
      </w:pPr>
    </w:p>
    <w:p w:rsidR="007D3751" w:rsidRDefault="007D3751" w:rsidP="008E0A5C">
      <w:pPr>
        <w:spacing w:line="240" w:lineRule="atLeast"/>
      </w:pPr>
    </w:p>
    <w:p w:rsidR="007D3751" w:rsidRDefault="007D3751" w:rsidP="008E0A5C">
      <w:pPr>
        <w:spacing w:line="240" w:lineRule="atLeast"/>
      </w:pPr>
    </w:p>
    <w:p w:rsidR="007D3751" w:rsidRDefault="007D3751" w:rsidP="008E0A5C">
      <w:pPr>
        <w:spacing w:line="240" w:lineRule="atLeast"/>
      </w:pPr>
    </w:p>
    <w:p w:rsidR="007D3751" w:rsidRDefault="007D3751" w:rsidP="008E0A5C">
      <w:pPr>
        <w:spacing w:line="240" w:lineRule="atLeast"/>
      </w:pPr>
    </w:p>
    <w:p w:rsidR="00E65319" w:rsidRDefault="00E65319" w:rsidP="008E0A5C">
      <w:pPr>
        <w:spacing w:line="240" w:lineRule="atLeast"/>
      </w:pPr>
      <w:r>
        <w:t>De Minister van Economische Zaken,</w:t>
      </w:r>
    </w:p>
    <w:p w:rsidR="00E65319" w:rsidRDefault="00E65319">
      <w:pPr>
        <w:spacing w:line="240" w:lineRule="atLeast"/>
      </w:pPr>
    </w:p>
    <w:p w:rsidR="00E65319" w:rsidRDefault="00E65319">
      <w:pPr>
        <w:spacing w:line="240" w:lineRule="atLeast"/>
      </w:pPr>
    </w:p>
    <w:p w:rsidR="008C6D2A" w:rsidRDefault="008C6D2A">
      <w:pPr>
        <w:spacing w:line="240" w:lineRule="atLeast"/>
      </w:pPr>
    </w:p>
    <w:p w:rsidR="00E65319" w:rsidRDefault="00E65319">
      <w:pPr>
        <w:spacing w:line="240" w:lineRule="atLeast"/>
      </w:pPr>
    </w:p>
    <w:p w:rsidR="008C6D2A" w:rsidRDefault="008C6D2A">
      <w:pPr>
        <w:spacing w:line="240" w:lineRule="atLeast"/>
      </w:pPr>
    </w:p>
    <w:p w:rsidR="00464C7E" w:rsidRDefault="00464C7E">
      <w:pPr>
        <w:spacing w:line="240" w:lineRule="atLeast"/>
      </w:pPr>
    </w:p>
    <w:p w:rsidR="00E65319" w:rsidRDefault="00E65319">
      <w:pPr>
        <w:spacing w:line="240" w:lineRule="atLeast"/>
      </w:pPr>
    </w:p>
    <w:p w:rsidR="007D3751" w:rsidRDefault="007D3751">
      <w:pPr>
        <w:spacing w:line="240" w:lineRule="atLeast"/>
      </w:pPr>
    </w:p>
    <w:p w:rsidR="007D3751" w:rsidRDefault="007D3751">
      <w:pPr>
        <w:spacing w:line="240" w:lineRule="atLeast"/>
      </w:pPr>
      <w:r>
        <w:t>De Minister van Economische Zaken,</w:t>
      </w:r>
    </w:p>
    <w:p w:rsidR="007D3751" w:rsidRDefault="007D3751">
      <w:pPr>
        <w:spacing w:line="240" w:lineRule="atLeast"/>
      </w:pPr>
    </w:p>
    <w:p w:rsidR="007D3751" w:rsidRDefault="007D3751">
      <w:pPr>
        <w:spacing w:line="240" w:lineRule="atLeast"/>
      </w:pPr>
    </w:p>
    <w:p w:rsidR="00464C7E" w:rsidRDefault="00464C7E">
      <w:pPr>
        <w:spacing w:line="240" w:lineRule="atLeast"/>
      </w:pPr>
    </w:p>
    <w:p w:rsidR="008C6D2A" w:rsidRDefault="008C6D2A">
      <w:pPr>
        <w:spacing w:line="240" w:lineRule="atLeast"/>
      </w:pPr>
    </w:p>
    <w:p w:rsidR="007D3751" w:rsidRDefault="007D3751">
      <w:pPr>
        <w:spacing w:line="240" w:lineRule="atLeast"/>
      </w:pPr>
    </w:p>
    <w:p w:rsidR="008C6D2A" w:rsidRDefault="008C6D2A">
      <w:pPr>
        <w:spacing w:line="240" w:lineRule="atLeast"/>
      </w:pPr>
    </w:p>
    <w:p w:rsidR="007D3751" w:rsidRDefault="007D3751">
      <w:pPr>
        <w:spacing w:line="240" w:lineRule="atLeast"/>
      </w:pPr>
    </w:p>
    <w:p w:rsidR="007D3751" w:rsidRDefault="007D3751">
      <w:pPr>
        <w:spacing w:line="240" w:lineRule="atLeast"/>
      </w:pPr>
    </w:p>
    <w:p w:rsidR="00E34312" w:rsidRDefault="00E65319" w:rsidP="008E0A5C">
      <w:pPr>
        <w:spacing w:line="240" w:lineRule="atLeast"/>
      </w:pPr>
      <w:r>
        <w:t>De Minister van Veiligheid en Justitie,</w:t>
      </w:r>
    </w:p>
    <w:p w:rsidR="007D3751" w:rsidRDefault="007D3751" w:rsidP="008E0A5C">
      <w:pPr>
        <w:spacing w:line="240" w:lineRule="atLeast"/>
      </w:pPr>
    </w:p>
    <w:p w:rsidR="007D3751" w:rsidRDefault="007D3751" w:rsidP="008E0A5C">
      <w:pPr>
        <w:spacing w:line="240" w:lineRule="atLeast"/>
      </w:pPr>
    </w:p>
    <w:p w:rsidR="00464C7E" w:rsidRDefault="00464C7E" w:rsidP="008E0A5C">
      <w:pPr>
        <w:spacing w:line="240" w:lineRule="atLeast"/>
      </w:pPr>
    </w:p>
    <w:p w:rsidR="008C6D2A" w:rsidRDefault="008C6D2A" w:rsidP="008E0A5C">
      <w:pPr>
        <w:spacing w:line="240" w:lineRule="atLeast"/>
      </w:pPr>
    </w:p>
    <w:p w:rsidR="008C6D2A" w:rsidRDefault="008C6D2A" w:rsidP="008E0A5C">
      <w:pPr>
        <w:spacing w:line="240" w:lineRule="atLeast"/>
      </w:pPr>
    </w:p>
    <w:p w:rsidR="007D3751" w:rsidRDefault="007D3751" w:rsidP="008E0A5C">
      <w:pPr>
        <w:spacing w:line="240" w:lineRule="atLeast"/>
      </w:pPr>
    </w:p>
    <w:p w:rsidR="007D3751" w:rsidRDefault="007D3751" w:rsidP="008E0A5C">
      <w:pPr>
        <w:spacing w:line="240" w:lineRule="atLeast"/>
      </w:pPr>
    </w:p>
    <w:p w:rsidR="007D3751" w:rsidRDefault="007D3751" w:rsidP="008E0A5C">
      <w:pPr>
        <w:spacing w:line="240" w:lineRule="atLeast"/>
      </w:pPr>
    </w:p>
    <w:p w:rsidR="007D3751" w:rsidRDefault="007D3751" w:rsidP="008E0A5C">
      <w:pPr>
        <w:spacing w:line="240" w:lineRule="atLeast"/>
      </w:pPr>
      <w:r>
        <w:t>De Minister van Veiligheid en Justitie,</w:t>
      </w:r>
    </w:p>
    <w:sectPr w:rsidR="007D3751" w:rsidSect="0089543D">
      <w:footerReference w:type="default" r:id="rId8"/>
      <w:pgSz w:w="12240" w:h="15840" w:code="1"/>
      <w:pgMar w:top="1440" w:right="1440" w:bottom="1440" w:left="1440"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A55" w:rsidRDefault="00462A55" w:rsidP="00462A55">
      <w:r>
        <w:separator/>
      </w:r>
    </w:p>
  </w:endnote>
  <w:endnote w:type="continuationSeparator" w:id="0">
    <w:p w:rsidR="00462A55" w:rsidRDefault="00462A55" w:rsidP="0046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481106"/>
      <w:docPartObj>
        <w:docPartGallery w:val="Page Numbers (Bottom of Page)"/>
        <w:docPartUnique/>
      </w:docPartObj>
    </w:sdtPr>
    <w:sdtEndPr/>
    <w:sdtContent>
      <w:p w:rsidR="00462A55" w:rsidRDefault="00462A55">
        <w:pPr>
          <w:pStyle w:val="Voettekst"/>
          <w:jc w:val="center"/>
        </w:pPr>
        <w:r>
          <w:fldChar w:fldCharType="begin"/>
        </w:r>
        <w:r>
          <w:instrText>PAGE   \* MERGEFORMAT</w:instrText>
        </w:r>
        <w:r>
          <w:fldChar w:fldCharType="separate"/>
        </w:r>
        <w:r w:rsidR="00C171AB">
          <w:rPr>
            <w:noProof/>
          </w:rPr>
          <w:t>2</w:t>
        </w:r>
        <w:r>
          <w:fldChar w:fldCharType="end"/>
        </w:r>
      </w:p>
    </w:sdtContent>
  </w:sdt>
  <w:p w:rsidR="00462A55" w:rsidRDefault="00462A5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A55" w:rsidRDefault="00462A55" w:rsidP="00462A55">
      <w:r>
        <w:separator/>
      </w:r>
    </w:p>
  </w:footnote>
  <w:footnote w:type="continuationSeparator" w:id="0">
    <w:p w:rsidR="00462A55" w:rsidRDefault="00462A55" w:rsidP="00462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A500D"/>
    <w:multiLevelType w:val="hybridMultilevel"/>
    <w:tmpl w:val="985473B4"/>
    <w:lvl w:ilvl="0" w:tplc="5F96886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C911319"/>
    <w:multiLevelType w:val="hybridMultilevel"/>
    <w:tmpl w:val="2A042A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70"/>
    <w:rsid w:val="0003373F"/>
    <w:rsid w:val="0005709D"/>
    <w:rsid w:val="00077676"/>
    <w:rsid w:val="000B4824"/>
    <w:rsid w:val="000E107B"/>
    <w:rsid w:val="000E31E3"/>
    <w:rsid w:val="000F6BF1"/>
    <w:rsid w:val="00105C16"/>
    <w:rsid w:val="00114148"/>
    <w:rsid w:val="00144757"/>
    <w:rsid w:val="001528E1"/>
    <w:rsid w:val="001C1191"/>
    <w:rsid w:val="001C1A4B"/>
    <w:rsid w:val="001C3287"/>
    <w:rsid w:val="001E13E6"/>
    <w:rsid w:val="002024FB"/>
    <w:rsid w:val="00212138"/>
    <w:rsid w:val="002709E1"/>
    <w:rsid w:val="00277C9E"/>
    <w:rsid w:val="002A1B04"/>
    <w:rsid w:val="0030347D"/>
    <w:rsid w:val="00355566"/>
    <w:rsid w:val="0035663F"/>
    <w:rsid w:val="00361DA0"/>
    <w:rsid w:val="0039574E"/>
    <w:rsid w:val="003B145E"/>
    <w:rsid w:val="0040334F"/>
    <w:rsid w:val="0042376F"/>
    <w:rsid w:val="004246CD"/>
    <w:rsid w:val="00453F1B"/>
    <w:rsid w:val="00462A55"/>
    <w:rsid w:val="00464C7E"/>
    <w:rsid w:val="00473983"/>
    <w:rsid w:val="004B01BD"/>
    <w:rsid w:val="004B105A"/>
    <w:rsid w:val="004C3C94"/>
    <w:rsid w:val="00514B92"/>
    <w:rsid w:val="005B3990"/>
    <w:rsid w:val="005B7793"/>
    <w:rsid w:val="005E29CE"/>
    <w:rsid w:val="005E4CA0"/>
    <w:rsid w:val="00636FB7"/>
    <w:rsid w:val="006428E7"/>
    <w:rsid w:val="00685E70"/>
    <w:rsid w:val="006F6614"/>
    <w:rsid w:val="00712F1C"/>
    <w:rsid w:val="00716829"/>
    <w:rsid w:val="007267C4"/>
    <w:rsid w:val="00730E06"/>
    <w:rsid w:val="00737FF4"/>
    <w:rsid w:val="007810AA"/>
    <w:rsid w:val="007C4D34"/>
    <w:rsid w:val="007D3751"/>
    <w:rsid w:val="007F1AC1"/>
    <w:rsid w:val="007F3AA2"/>
    <w:rsid w:val="008118AE"/>
    <w:rsid w:val="00834B55"/>
    <w:rsid w:val="00847AD9"/>
    <w:rsid w:val="00852E8D"/>
    <w:rsid w:val="00862317"/>
    <w:rsid w:val="008926B0"/>
    <w:rsid w:val="0089543D"/>
    <w:rsid w:val="008A3A9D"/>
    <w:rsid w:val="008C6D2A"/>
    <w:rsid w:val="008E0A5C"/>
    <w:rsid w:val="00907378"/>
    <w:rsid w:val="00907EBE"/>
    <w:rsid w:val="00941F20"/>
    <w:rsid w:val="009552E8"/>
    <w:rsid w:val="009B7B38"/>
    <w:rsid w:val="009C7F15"/>
    <w:rsid w:val="009D1B72"/>
    <w:rsid w:val="009F4CB1"/>
    <w:rsid w:val="00A036DE"/>
    <w:rsid w:val="00A07866"/>
    <w:rsid w:val="00A264BB"/>
    <w:rsid w:val="00A328F2"/>
    <w:rsid w:val="00A4372B"/>
    <w:rsid w:val="00A519A1"/>
    <w:rsid w:val="00A53D91"/>
    <w:rsid w:val="00A92496"/>
    <w:rsid w:val="00AD1E2C"/>
    <w:rsid w:val="00AD6AAD"/>
    <w:rsid w:val="00AE616B"/>
    <w:rsid w:val="00AF3FA6"/>
    <w:rsid w:val="00BB3204"/>
    <w:rsid w:val="00BD27BB"/>
    <w:rsid w:val="00BF0E86"/>
    <w:rsid w:val="00C05EAC"/>
    <w:rsid w:val="00C171AB"/>
    <w:rsid w:val="00C72E4C"/>
    <w:rsid w:val="00C95647"/>
    <w:rsid w:val="00C96F32"/>
    <w:rsid w:val="00CB74D0"/>
    <w:rsid w:val="00CE1115"/>
    <w:rsid w:val="00D055F6"/>
    <w:rsid w:val="00D15F7C"/>
    <w:rsid w:val="00D32B11"/>
    <w:rsid w:val="00D4221A"/>
    <w:rsid w:val="00D71DAD"/>
    <w:rsid w:val="00D73F1E"/>
    <w:rsid w:val="00DB7B9E"/>
    <w:rsid w:val="00DC5708"/>
    <w:rsid w:val="00E34312"/>
    <w:rsid w:val="00E43B52"/>
    <w:rsid w:val="00E65319"/>
    <w:rsid w:val="00E70DFA"/>
    <w:rsid w:val="00E9512C"/>
    <w:rsid w:val="00ED6EDE"/>
    <w:rsid w:val="00EF678B"/>
    <w:rsid w:val="00F11D7C"/>
    <w:rsid w:val="00F32331"/>
    <w:rsid w:val="00F440C1"/>
    <w:rsid w:val="00F66209"/>
    <w:rsid w:val="00F8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5E70"/>
    <w:pPr>
      <w:spacing w:line="240" w:lineRule="auto"/>
    </w:pPr>
    <w:rPr>
      <w:rFonts w:ascii="Verdana" w:hAnsi="Verdana" w:cs="Times New Roman"/>
      <w:sz w:val="18"/>
      <w:szCs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1191"/>
    <w:pPr>
      <w:ind w:left="720"/>
      <w:contextualSpacing/>
    </w:pPr>
  </w:style>
  <w:style w:type="character" w:styleId="Verwijzingopmerking">
    <w:name w:val="annotation reference"/>
    <w:basedOn w:val="Standaardalinea-lettertype"/>
    <w:uiPriority w:val="99"/>
    <w:semiHidden/>
    <w:unhideWhenUsed/>
    <w:rsid w:val="001C1191"/>
    <w:rPr>
      <w:sz w:val="16"/>
      <w:szCs w:val="16"/>
    </w:rPr>
  </w:style>
  <w:style w:type="paragraph" w:styleId="Tekstopmerking">
    <w:name w:val="annotation text"/>
    <w:basedOn w:val="Standaard"/>
    <w:link w:val="TekstopmerkingChar"/>
    <w:uiPriority w:val="99"/>
    <w:semiHidden/>
    <w:unhideWhenUsed/>
    <w:rsid w:val="001C1191"/>
    <w:rPr>
      <w:sz w:val="20"/>
      <w:szCs w:val="20"/>
    </w:rPr>
  </w:style>
  <w:style w:type="character" w:customStyle="1" w:styleId="TekstopmerkingChar">
    <w:name w:val="Tekst opmerking Char"/>
    <w:basedOn w:val="Standaardalinea-lettertype"/>
    <w:link w:val="Tekstopmerking"/>
    <w:uiPriority w:val="99"/>
    <w:semiHidden/>
    <w:rsid w:val="001C1191"/>
    <w:rPr>
      <w:rFonts w:ascii="Verdana" w:hAnsi="Verdana"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C1191"/>
    <w:rPr>
      <w:b/>
      <w:bCs/>
    </w:rPr>
  </w:style>
  <w:style w:type="character" w:customStyle="1" w:styleId="OnderwerpvanopmerkingChar">
    <w:name w:val="Onderwerp van opmerking Char"/>
    <w:basedOn w:val="TekstopmerkingChar"/>
    <w:link w:val="Onderwerpvanopmerking"/>
    <w:uiPriority w:val="99"/>
    <w:semiHidden/>
    <w:rsid w:val="001C1191"/>
    <w:rPr>
      <w:rFonts w:ascii="Verdana" w:hAnsi="Verdana" w:cs="Times New Roman"/>
      <w:b/>
      <w:bCs/>
      <w:sz w:val="20"/>
      <w:szCs w:val="20"/>
      <w:lang w:val="nl-NL"/>
    </w:rPr>
  </w:style>
  <w:style w:type="paragraph" w:styleId="Ballontekst">
    <w:name w:val="Balloon Text"/>
    <w:basedOn w:val="Standaard"/>
    <w:link w:val="BallontekstChar"/>
    <w:uiPriority w:val="99"/>
    <w:semiHidden/>
    <w:unhideWhenUsed/>
    <w:rsid w:val="001C1191"/>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191"/>
    <w:rPr>
      <w:rFonts w:ascii="Tahoma" w:hAnsi="Tahoma" w:cs="Tahoma"/>
      <w:sz w:val="16"/>
      <w:szCs w:val="16"/>
      <w:lang w:val="nl-NL"/>
    </w:rPr>
  </w:style>
  <w:style w:type="paragraph" w:styleId="Koptekst">
    <w:name w:val="header"/>
    <w:basedOn w:val="Standaard"/>
    <w:link w:val="KoptekstChar"/>
    <w:uiPriority w:val="99"/>
    <w:unhideWhenUsed/>
    <w:rsid w:val="00462A55"/>
    <w:pPr>
      <w:tabs>
        <w:tab w:val="center" w:pos="4536"/>
        <w:tab w:val="right" w:pos="9072"/>
      </w:tabs>
    </w:pPr>
  </w:style>
  <w:style w:type="character" w:customStyle="1" w:styleId="KoptekstChar">
    <w:name w:val="Koptekst Char"/>
    <w:basedOn w:val="Standaardalinea-lettertype"/>
    <w:link w:val="Koptekst"/>
    <w:uiPriority w:val="99"/>
    <w:rsid w:val="00462A55"/>
    <w:rPr>
      <w:rFonts w:ascii="Verdana" w:hAnsi="Verdana" w:cs="Times New Roman"/>
      <w:sz w:val="18"/>
      <w:szCs w:val="18"/>
      <w:lang w:val="nl-NL"/>
    </w:rPr>
  </w:style>
  <w:style w:type="paragraph" w:styleId="Voettekst">
    <w:name w:val="footer"/>
    <w:basedOn w:val="Standaard"/>
    <w:link w:val="VoettekstChar"/>
    <w:uiPriority w:val="99"/>
    <w:unhideWhenUsed/>
    <w:rsid w:val="00462A55"/>
    <w:pPr>
      <w:tabs>
        <w:tab w:val="center" w:pos="4536"/>
        <w:tab w:val="right" w:pos="9072"/>
      </w:tabs>
    </w:pPr>
  </w:style>
  <w:style w:type="character" w:customStyle="1" w:styleId="VoettekstChar">
    <w:name w:val="Voettekst Char"/>
    <w:basedOn w:val="Standaardalinea-lettertype"/>
    <w:link w:val="Voettekst"/>
    <w:uiPriority w:val="99"/>
    <w:rsid w:val="00462A55"/>
    <w:rPr>
      <w:rFonts w:ascii="Verdana" w:hAnsi="Verdana" w:cs="Times New Roman"/>
      <w:sz w:val="18"/>
      <w:szCs w:val="1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5E70"/>
    <w:pPr>
      <w:spacing w:line="240" w:lineRule="auto"/>
    </w:pPr>
    <w:rPr>
      <w:rFonts w:ascii="Verdana" w:hAnsi="Verdana" w:cs="Times New Roman"/>
      <w:sz w:val="18"/>
      <w:szCs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1191"/>
    <w:pPr>
      <w:ind w:left="720"/>
      <w:contextualSpacing/>
    </w:pPr>
  </w:style>
  <w:style w:type="character" w:styleId="Verwijzingopmerking">
    <w:name w:val="annotation reference"/>
    <w:basedOn w:val="Standaardalinea-lettertype"/>
    <w:uiPriority w:val="99"/>
    <w:semiHidden/>
    <w:unhideWhenUsed/>
    <w:rsid w:val="001C1191"/>
    <w:rPr>
      <w:sz w:val="16"/>
      <w:szCs w:val="16"/>
    </w:rPr>
  </w:style>
  <w:style w:type="paragraph" w:styleId="Tekstopmerking">
    <w:name w:val="annotation text"/>
    <w:basedOn w:val="Standaard"/>
    <w:link w:val="TekstopmerkingChar"/>
    <w:uiPriority w:val="99"/>
    <w:semiHidden/>
    <w:unhideWhenUsed/>
    <w:rsid w:val="001C1191"/>
    <w:rPr>
      <w:sz w:val="20"/>
      <w:szCs w:val="20"/>
    </w:rPr>
  </w:style>
  <w:style w:type="character" w:customStyle="1" w:styleId="TekstopmerkingChar">
    <w:name w:val="Tekst opmerking Char"/>
    <w:basedOn w:val="Standaardalinea-lettertype"/>
    <w:link w:val="Tekstopmerking"/>
    <w:uiPriority w:val="99"/>
    <w:semiHidden/>
    <w:rsid w:val="001C1191"/>
    <w:rPr>
      <w:rFonts w:ascii="Verdana" w:hAnsi="Verdana"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C1191"/>
    <w:rPr>
      <w:b/>
      <w:bCs/>
    </w:rPr>
  </w:style>
  <w:style w:type="character" w:customStyle="1" w:styleId="OnderwerpvanopmerkingChar">
    <w:name w:val="Onderwerp van opmerking Char"/>
    <w:basedOn w:val="TekstopmerkingChar"/>
    <w:link w:val="Onderwerpvanopmerking"/>
    <w:uiPriority w:val="99"/>
    <w:semiHidden/>
    <w:rsid w:val="001C1191"/>
    <w:rPr>
      <w:rFonts w:ascii="Verdana" w:hAnsi="Verdana" w:cs="Times New Roman"/>
      <w:b/>
      <w:bCs/>
      <w:sz w:val="20"/>
      <w:szCs w:val="20"/>
      <w:lang w:val="nl-NL"/>
    </w:rPr>
  </w:style>
  <w:style w:type="paragraph" w:styleId="Ballontekst">
    <w:name w:val="Balloon Text"/>
    <w:basedOn w:val="Standaard"/>
    <w:link w:val="BallontekstChar"/>
    <w:uiPriority w:val="99"/>
    <w:semiHidden/>
    <w:unhideWhenUsed/>
    <w:rsid w:val="001C1191"/>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191"/>
    <w:rPr>
      <w:rFonts w:ascii="Tahoma" w:hAnsi="Tahoma" w:cs="Tahoma"/>
      <w:sz w:val="16"/>
      <w:szCs w:val="16"/>
      <w:lang w:val="nl-NL"/>
    </w:rPr>
  </w:style>
  <w:style w:type="paragraph" w:styleId="Koptekst">
    <w:name w:val="header"/>
    <w:basedOn w:val="Standaard"/>
    <w:link w:val="KoptekstChar"/>
    <w:uiPriority w:val="99"/>
    <w:unhideWhenUsed/>
    <w:rsid w:val="00462A55"/>
    <w:pPr>
      <w:tabs>
        <w:tab w:val="center" w:pos="4536"/>
        <w:tab w:val="right" w:pos="9072"/>
      </w:tabs>
    </w:pPr>
  </w:style>
  <w:style w:type="character" w:customStyle="1" w:styleId="KoptekstChar">
    <w:name w:val="Koptekst Char"/>
    <w:basedOn w:val="Standaardalinea-lettertype"/>
    <w:link w:val="Koptekst"/>
    <w:uiPriority w:val="99"/>
    <w:rsid w:val="00462A55"/>
    <w:rPr>
      <w:rFonts w:ascii="Verdana" w:hAnsi="Verdana" w:cs="Times New Roman"/>
      <w:sz w:val="18"/>
      <w:szCs w:val="18"/>
      <w:lang w:val="nl-NL"/>
    </w:rPr>
  </w:style>
  <w:style w:type="paragraph" w:styleId="Voettekst">
    <w:name w:val="footer"/>
    <w:basedOn w:val="Standaard"/>
    <w:link w:val="VoettekstChar"/>
    <w:uiPriority w:val="99"/>
    <w:unhideWhenUsed/>
    <w:rsid w:val="00462A55"/>
    <w:pPr>
      <w:tabs>
        <w:tab w:val="center" w:pos="4536"/>
        <w:tab w:val="right" w:pos="9072"/>
      </w:tabs>
    </w:pPr>
  </w:style>
  <w:style w:type="character" w:customStyle="1" w:styleId="VoettekstChar">
    <w:name w:val="Voettekst Char"/>
    <w:basedOn w:val="Standaardalinea-lettertype"/>
    <w:link w:val="Voettekst"/>
    <w:uiPriority w:val="99"/>
    <w:rsid w:val="00462A55"/>
    <w:rPr>
      <w:rFonts w:ascii="Verdana" w:hAnsi="Verdana" w:cs="Times New Roman"/>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351">
      <w:bodyDiv w:val="1"/>
      <w:marLeft w:val="0"/>
      <w:marRight w:val="0"/>
      <w:marTop w:val="0"/>
      <w:marBottom w:val="0"/>
      <w:divBdr>
        <w:top w:val="none" w:sz="0" w:space="0" w:color="auto"/>
        <w:left w:val="none" w:sz="0" w:space="0" w:color="auto"/>
        <w:bottom w:val="none" w:sz="0" w:space="0" w:color="auto"/>
        <w:right w:val="none" w:sz="0" w:space="0" w:color="auto"/>
      </w:divBdr>
      <w:divsChild>
        <w:div w:id="567308306">
          <w:marLeft w:val="0"/>
          <w:marRight w:val="0"/>
          <w:marTop w:val="0"/>
          <w:marBottom w:val="0"/>
          <w:divBdr>
            <w:top w:val="none" w:sz="0" w:space="0" w:color="auto"/>
            <w:left w:val="none" w:sz="0" w:space="0" w:color="auto"/>
            <w:bottom w:val="none" w:sz="0" w:space="0" w:color="auto"/>
            <w:right w:val="none" w:sz="0" w:space="0" w:color="auto"/>
          </w:divBdr>
          <w:divsChild>
            <w:div w:id="2135632002">
              <w:marLeft w:val="0"/>
              <w:marRight w:val="0"/>
              <w:marTop w:val="0"/>
              <w:marBottom w:val="0"/>
              <w:divBdr>
                <w:top w:val="none" w:sz="0" w:space="0" w:color="auto"/>
                <w:left w:val="none" w:sz="0" w:space="0" w:color="auto"/>
                <w:bottom w:val="none" w:sz="0" w:space="0" w:color="auto"/>
                <w:right w:val="none" w:sz="0" w:space="0" w:color="auto"/>
              </w:divBdr>
              <w:divsChild>
                <w:div w:id="346761996">
                  <w:marLeft w:val="0"/>
                  <w:marRight w:val="0"/>
                  <w:marTop w:val="0"/>
                  <w:marBottom w:val="0"/>
                  <w:divBdr>
                    <w:top w:val="none" w:sz="0" w:space="0" w:color="auto"/>
                    <w:left w:val="none" w:sz="0" w:space="0" w:color="auto"/>
                    <w:bottom w:val="none" w:sz="0" w:space="0" w:color="auto"/>
                    <w:right w:val="none" w:sz="0" w:space="0" w:color="auto"/>
                  </w:divBdr>
                  <w:divsChild>
                    <w:div w:id="332800977">
                      <w:marLeft w:val="0"/>
                      <w:marRight w:val="0"/>
                      <w:marTop w:val="0"/>
                      <w:marBottom w:val="0"/>
                      <w:divBdr>
                        <w:top w:val="none" w:sz="0" w:space="0" w:color="auto"/>
                        <w:left w:val="none" w:sz="0" w:space="0" w:color="auto"/>
                        <w:bottom w:val="none" w:sz="0" w:space="0" w:color="auto"/>
                        <w:right w:val="none" w:sz="0" w:space="0" w:color="auto"/>
                      </w:divBdr>
                      <w:divsChild>
                        <w:div w:id="1620331562">
                          <w:marLeft w:val="0"/>
                          <w:marRight w:val="0"/>
                          <w:marTop w:val="0"/>
                          <w:marBottom w:val="0"/>
                          <w:divBdr>
                            <w:top w:val="none" w:sz="0" w:space="0" w:color="auto"/>
                            <w:left w:val="none" w:sz="0" w:space="0" w:color="auto"/>
                            <w:bottom w:val="none" w:sz="0" w:space="0" w:color="auto"/>
                            <w:right w:val="none" w:sz="0" w:space="0" w:color="auto"/>
                          </w:divBdr>
                          <w:divsChild>
                            <w:div w:id="1963346671">
                              <w:marLeft w:val="0"/>
                              <w:marRight w:val="0"/>
                              <w:marTop w:val="0"/>
                              <w:marBottom w:val="0"/>
                              <w:divBdr>
                                <w:top w:val="none" w:sz="0" w:space="0" w:color="auto"/>
                                <w:left w:val="none" w:sz="0" w:space="0" w:color="auto"/>
                                <w:bottom w:val="none" w:sz="0" w:space="0" w:color="auto"/>
                                <w:right w:val="none" w:sz="0" w:space="0" w:color="auto"/>
                              </w:divBdr>
                              <w:divsChild>
                                <w:div w:id="1305813217">
                                  <w:marLeft w:val="0"/>
                                  <w:marRight w:val="0"/>
                                  <w:marTop w:val="0"/>
                                  <w:marBottom w:val="0"/>
                                  <w:divBdr>
                                    <w:top w:val="none" w:sz="0" w:space="0" w:color="auto"/>
                                    <w:left w:val="none" w:sz="0" w:space="0" w:color="auto"/>
                                    <w:bottom w:val="none" w:sz="0" w:space="0" w:color="auto"/>
                                    <w:right w:val="none" w:sz="0" w:space="0" w:color="auto"/>
                                  </w:divBdr>
                                </w:div>
                                <w:div w:id="19517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469632">
      <w:bodyDiv w:val="1"/>
      <w:marLeft w:val="0"/>
      <w:marRight w:val="0"/>
      <w:marTop w:val="0"/>
      <w:marBottom w:val="0"/>
      <w:divBdr>
        <w:top w:val="none" w:sz="0" w:space="0" w:color="auto"/>
        <w:left w:val="none" w:sz="0" w:space="0" w:color="auto"/>
        <w:bottom w:val="none" w:sz="0" w:space="0" w:color="auto"/>
        <w:right w:val="none" w:sz="0" w:space="0" w:color="auto"/>
      </w:divBdr>
    </w:div>
    <w:div w:id="213182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B508473CD58C498F577F9CFBE1403F" ma:contentTypeVersion="0" ma:contentTypeDescription="Een nieuw document maken." ma:contentTypeScope="" ma:versionID="9e6d951f4a32967b03a3cc8ba3668ca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6012BA-23D4-422E-A4F2-34707F91376B}"/>
</file>

<file path=customXml/itemProps2.xml><?xml version="1.0" encoding="utf-8"?>
<ds:datastoreItem xmlns:ds="http://schemas.openxmlformats.org/officeDocument/2006/customXml" ds:itemID="{5636BC25-B8C0-4040-ADA8-4D8A61056252}"/>
</file>

<file path=customXml/itemProps3.xml><?xml version="1.0" encoding="utf-8"?>
<ds:datastoreItem xmlns:ds="http://schemas.openxmlformats.org/officeDocument/2006/customXml" ds:itemID="{F8541BB2-DD7C-48EA-9233-434C9568C2D5}"/>
</file>

<file path=docProps/app.xml><?xml version="1.0" encoding="utf-8"?>
<Properties xmlns="http://schemas.openxmlformats.org/officeDocument/2006/extended-properties" xmlns:vt="http://schemas.openxmlformats.org/officeDocument/2006/docPropsVTypes">
  <Template>DDBA62F2</Template>
  <TotalTime>1</TotalTime>
  <Pages>3</Pages>
  <Words>799</Words>
  <Characters>4398</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Ostendorf, V.I. LLM (Vera)</dc:creator>
  <cp:lastModifiedBy>Stefano Tamin</cp:lastModifiedBy>
  <cp:revision>2</cp:revision>
  <cp:lastPrinted>2016-01-18T15:18:00Z</cp:lastPrinted>
  <dcterms:created xsi:type="dcterms:W3CDTF">2016-01-22T08:52:00Z</dcterms:created>
  <dcterms:modified xsi:type="dcterms:W3CDTF">2016-01-22T08:52:00Z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0x010100ABB508473CD58C498F577F9CFBE1403F</vt:lpwstr>
  </property>
</Properties>
</file>