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568" w:rsidRDefault="00296568" w:rsidP="00296568">
      <w:pPr>
        <w:pStyle w:val="Default"/>
        <w:rPr>
          <w:rFonts w:ascii="Verdana" w:hAnsi="Verdana"/>
          <w:b/>
          <w:bCs/>
        </w:rPr>
      </w:pPr>
      <w:r w:rsidRPr="009B4F8F">
        <w:rPr>
          <w:rFonts w:ascii="Verdana" w:hAnsi="Verdana"/>
          <w:b/>
          <w:bCs/>
        </w:rPr>
        <w:t xml:space="preserve">Verklaring dat er grond bestaat een voorstel in overweging te nemen tot </w:t>
      </w:r>
      <w:bookmarkStart w:id="0" w:name="_GoBack"/>
      <w:r>
        <w:rPr>
          <w:rFonts w:ascii="Verdana" w:hAnsi="Verdana"/>
          <w:b/>
          <w:bCs/>
        </w:rPr>
        <w:t xml:space="preserve">verandering van de </w:t>
      </w:r>
      <w:r w:rsidRPr="009B4F8F">
        <w:rPr>
          <w:rFonts w:ascii="Verdana" w:hAnsi="Verdana"/>
          <w:b/>
          <w:bCs/>
        </w:rPr>
        <w:t>Grondwet</w:t>
      </w:r>
      <w:bookmarkEnd w:id="0"/>
      <w:r>
        <w:rPr>
          <w:rFonts w:ascii="Verdana" w:hAnsi="Verdana"/>
          <w:b/>
          <w:bCs/>
        </w:rPr>
        <w:t>, strekkende tot het opnemen</w:t>
      </w:r>
      <w:r w:rsidRPr="009B4F8F">
        <w:rPr>
          <w:rFonts w:ascii="Verdana" w:hAnsi="Verdana"/>
          <w:b/>
          <w:bCs/>
        </w:rPr>
        <w:t xml:space="preserve"> van </w:t>
      </w:r>
      <w:r>
        <w:rPr>
          <w:rFonts w:ascii="Verdana" w:hAnsi="Verdana"/>
          <w:b/>
          <w:bCs/>
        </w:rPr>
        <w:t>een bepaling over het recht op een eerlijk proces</w:t>
      </w:r>
    </w:p>
    <w:p w:rsidR="00296568" w:rsidRDefault="00296568" w:rsidP="00296568">
      <w:pPr>
        <w:rPr>
          <w:rFonts w:ascii="Verdana" w:hAnsi="Verdana"/>
          <w:b/>
          <w:bCs/>
        </w:rPr>
      </w:pPr>
    </w:p>
    <w:p w:rsidR="00E93A06" w:rsidRPr="00734442" w:rsidRDefault="00296568" w:rsidP="00E93A06">
      <w:pPr>
        <w:spacing w:line="312" w:lineRule="auto"/>
        <w:rPr>
          <w:rFonts w:ascii="Verdana" w:hAnsi="Verdana"/>
          <w:b/>
        </w:rPr>
      </w:pPr>
      <w:r>
        <w:rPr>
          <w:rFonts w:ascii="Verdana" w:hAnsi="Verdana" w:cs="GJKIN D+ Univers"/>
          <w:b/>
          <w:bCs/>
          <w:color w:val="000000"/>
        </w:rPr>
        <w:t>M</w:t>
      </w:r>
      <w:r w:rsidR="00E93A06" w:rsidRPr="00734442">
        <w:rPr>
          <w:rFonts w:ascii="Verdana" w:hAnsi="Verdana"/>
          <w:b/>
        </w:rPr>
        <w:t>emorie van toelichting</w:t>
      </w:r>
    </w:p>
    <w:p w:rsidR="00E93A06" w:rsidRPr="00812FFA" w:rsidRDefault="00E93A06" w:rsidP="00E93A06">
      <w:pPr>
        <w:spacing w:line="312" w:lineRule="auto"/>
        <w:rPr>
          <w:rFonts w:ascii="Verdana" w:hAnsi="Verdana"/>
          <w:b/>
          <w:sz w:val="20"/>
          <w:szCs w:val="20"/>
        </w:rPr>
      </w:pPr>
    </w:p>
    <w:p w:rsidR="00E93A06" w:rsidRPr="00812FFA" w:rsidRDefault="00734442" w:rsidP="00E93A06">
      <w:pPr>
        <w:pStyle w:val="Lijstalinea"/>
        <w:numPr>
          <w:ilvl w:val="0"/>
          <w:numId w:val="18"/>
        </w:numPr>
        <w:spacing w:line="312" w:lineRule="auto"/>
        <w:rPr>
          <w:rFonts w:ascii="Verdana" w:hAnsi="Verdana"/>
          <w:b/>
          <w:sz w:val="18"/>
          <w:szCs w:val="18"/>
        </w:rPr>
      </w:pPr>
      <w:r w:rsidRPr="00812FFA">
        <w:rPr>
          <w:rFonts w:ascii="Verdana" w:hAnsi="Verdana"/>
          <w:b/>
          <w:sz w:val="18"/>
          <w:szCs w:val="18"/>
        </w:rPr>
        <w:t>ALGEMEEN</w:t>
      </w:r>
    </w:p>
    <w:p w:rsidR="00E93A06" w:rsidRDefault="00E93A06" w:rsidP="00E93A06">
      <w:pPr>
        <w:pStyle w:val="Lijstalinea"/>
        <w:spacing w:line="312" w:lineRule="auto"/>
        <w:ind w:left="360"/>
        <w:rPr>
          <w:rFonts w:ascii="Verdana" w:hAnsi="Verdana"/>
          <w:sz w:val="18"/>
          <w:szCs w:val="18"/>
        </w:rPr>
      </w:pPr>
    </w:p>
    <w:p w:rsidR="00E93A06" w:rsidRDefault="00E93A06" w:rsidP="00E93A06">
      <w:pPr>
        <w:pStyle w:val="Lijstalinea"/>
        <w:numPr>
          <w:ilvl w:val="0"/>
          <w:numId w:val="16"/>
        </w:numPr>
        <w:spacing w:line="312" w:lineRule="auto"/>
        <w:rPr>
          <w:rFonts w:ascii="Verdana" w:hAnsi="Verdana"/>
          <w:sz w:val="18"/>
          <w:szCs w:val="18"/>
        </w:rPr>
      </w:pPr>
      <w:r>
        <w:rPr>
          <w:rFonts w:ascii="Verdana" w:hAnsi="Verdana"/>
          <w:sz w:val="18"/>
          <w:szCs w:val="18"/>
        </w:rPr>
        <w:t>Inleiding</w:t>
      </w:r>
    </w:p>
    <w:p w:rsidR="00E93A06" w:rsidRDefault="0018369F" w:rsidP="00E93A06">
      <w:pPr>
        <w:pStyle w:val="Lijstalinea"/>
        <w:numPr>
          <w:ilvl w:val="1"/>
          <w:numId w:val="16"/>
        </w:numPr>
        <w:spacing w:line="312" w:lineRule="auto"/>
        <w:rPr>
          <w:rFonts w:ascii="Verdana" w:hAnsi="Verdana"/>
          <w:sz w:val="18"/>
          <w:szCs w:val="18"/>
        </w:rPr>
      </w:pPr>
      <w:r>
        <w:rPr>
          <w:rFonts w:ascii="Verdana" w:hAnsi="Verdana"/>
          <w:sz w:val="18"/>
          <w:szCs w:val="18"/>
        </w:rPr>
        <w:t>Aanleiding</w:t>
      </w:r>
    </w:p>
    <w:p w:rsidR="00E93A06" w:rsidRPr="00812FFA" w:rsidRDefault="0018369F" w:rsidP="00E93A06">
      <w:pPr>
        <w:pStyle w:val="Lijstalinea"/>
        <w:numPr>
          <w:ilvl w:val="1"/>
          <w:numId w:val="16"/>
        </w:numPr>
        <w:spacing w:line="312" w:lineRule="auto"/>
        <w:rPr>
          <w:rFonts w:ascii="Verdana" w:hAnsi="Verdana"/>
          <w:sz w:val="18"/>
          <w:szCs w:val="18"/>
        </w:rPr>
      </w:pPr>
      <w:r>
        <w:rPr>
          <w:rFonts w:ascii="Verdana" w:hAnsi="Verdana"/>
          <w:sz w:val="18"/>
          <w:szCs w:val="18"/>
        </w:rPr>
        <w:t>Doelstelling</w:t>
      </w:r>
    </w:p>
    <w:p w:rsidR="00E93A06" w:rsidRDefault="00E93A06" w:rsidP="00E93A06">
      <w:pPr>
        <w:pStyle w:val="Lijstalinea"/>
        <w:numPr>
          <w:ilvl w:val="1"/>
          <w:numId w:val="16"/>
        </w:numPr>
        <w:spacing w:line="312" w:lineRule="auto"/>
        <w:rPr>
          <w:rFonts w:ascii="Verdana" w:hAnsi="Verdana"/>
          <w:sz w:val="18"/>
          <w:szCs w:val="18"/>
        </w:rPr>
      </w:pPr>
      <w:r>
        <w:rPr>
          <w:rFonts w:ascii="Verdana" w:hAnsi="Verdana"/>
          <w:sz w:val="18"/>
          <w:szCs w:val="18"/>
        </w:rPr>
        <w:t>Opzet van de memorie van toelichting</w:t>
      </w:r>
    </w:p>
    <w:p w:rsidR="00E93A06" w:rsidRDefault="00E93A06" w:rsidP="00E93A06">
      <w:pPr>
        <w:pStyle w:val="Lijstalinea"/>
        <w:numPr>
          <w:ilvl w:val="0"/>
          <w:numId w:val="16"/>
        </w:numPr>
        <w:spacing w:line="312" w:lineRule="auto"/>
        <w:rPr>
          <w:rFonts w:ascii="Verdana" w:hAnsi="Verdana"/>
          <w:sz w:val="18"/>
          <w:szCs w:val="18"/>
        </w:rPr>
      </w:pPr>
      <w:r>
        <w:rPr>
          <w:rFonts w:ascii="Verdana" w:hAnsi="Verdana"/>
          <w:sz w:val="18"/>
          <w:szCs w:val="18"/>
        </w:rPr>
        <w:t xml:space="preserve">Consultatie </w:t>
      </w:r>
    </w:p>
    <w:p w:rsidR="00E93A06" w:rsidRDefault="008E1205" w:rsidP="00E93A06">
      <w:pPr>
        <w:pStyle w:val="Lijstalinea"/>
        <w:numPr>
          <w:ilvl w:val="0"/>
          <w:numId w:val="16"/>
        </w:numPr>
        <w:spacing w:line="312" w:lineRule="auto"/>
        <w:rPr>
          <w:rFonts w:ascii="Verdana" w:hAnsi="Verdana"/>
          <w:sz w:val="18"/>
          <w:szCs w:val="18"/>
        </w:rPr>
      </w:pPr>
      <w:r>
        <w:rPr>
          <w:rFonts w:ascii="Verdana" w:hAnsi="Verdana"/>
          <w:sz w:val="18"/>
          <w:szCs w:val="18"/>
        </w:rPr>
        <w:t>Het recht op een eerlijk proces in een d</w:t>
      </w:r>
      <w:r w:rsidR="00E93A06">
        <w:rPr>
          <w:rFonts w:ascii="Verdana" w:hAnsi="Verdana"/>
          <w:sz w:val="18"/>
          <w:szCs w:val="18"/>
        </w:rPr>
        <w:t>emocratische rechtsstaat</w:t>
      </w:r>
    </w:p>
    <w:p w:rsidR="00E93A06" w:rsidRDefault="00E93A06" w:rsidP="00E93A06">
      <w:pPr>
        <w:pStyle w:val="Lijstalinea"/>
        <w:numPr>
          <w:ilvl w:val="0"/>
          <w:numId w:val="16"/>
        </w:numPr>
        <w:spacing w:line="312" w:lineRule="auto"/>
        <w:rPr>
          <w:rFonts w:ascii="Verdana" w:hAnsi="Verdana"/>
          <w:sz w:val="18"/>
          <w:szCs w:val="18"/>
        </w:rPr>
      </w:pPr>
      <w:r>
        <w:rPr>
          <w:rFonts w:ascii="Verdana" w:hAnsi="Verdana"/>
          <w:sz w:val="18"/>
          <w:szCs w:val="18"/>
        </w:rPr>
        <w:t xml:space="preserve">Het recht op een eerlijk proces als grondrecht mede in relatie tot andere grondwetsbepalingen </w:t>
      </w:r>
    </w:p>
    <w:p w:rsidR="00E93A06" w:rsidRDefault="00E93A06" w:rsidP="00E93A06">
      <w:pPr>
        <w:pStyle w:val="Lijstalinea"/>
        <w:numPr>
          <w:ilvl w:val="1"/>
          <w:numId w:val="16"/>
        </w:numPr>
        <w:spacing w:line="312" w:lineRule="auto"/>
        <w:rPr>
          <w:rFonts w:ascii="Verdana" w:hAnsi="Verdana"/>
          <w:sz w:val="18"/>
          <w:szCs w:val="18"/>
        </w:rPr>
      </w:pPr>
      <w:r>
        <w:rPr>
          <w:rFonts w:ascii="Verdana" w:hAnsi="Verdana"/>
          <w:sz w:val="18"/>
          <w:szCs w:val="18"/>
        </w:rPr>
        <w:t xml:space="preserve">Grondrechtelijke benadering </w:t>
      </w:r>
    </w:p>
    <w:p w:rsidR="00E93A06" w:rsidRDefault="00E93A06" w:rsidP="00E93A06">
      <w:pPr>
        <w:pStyle w:val="Lijstalinea"/>
        <w:numPr>
          <w:ilvl w:val="1"/>
          <w:numId w:val="16"/>
        </w:numPr>
        <w:spacing w:line="312" w:lineRule="auto"/>
        <w:rPr>
          <w:rFonts w:ascii="Verdana" w:hAnsi="Verdana"/>
          <w:sz w:val="18"/>
          <w:szCs w:val="18"/>
        </w:rPr>
      </w:pPr>
      <w:r>
        <w:rPr>
          <w:rFonts w:ascii="Verdana" w:hAnsi="Verdana"/>
          <w:sz w:val="18"/>
          <w:szCs w:val="18"/>
        </w:rPr>
        <w:t>Hoofdstuk 6 van de Grondwet</w:t>
      </w:r>
    </w:p>
    <w:p w:rsidR="002B53EC" w:rsidRDefault="002B53EC" w:rsidP="00E93A06">
      <w:pPr>
        <w:pStyle w:val="Lijstalinea"/>
        <w:numPr>
          <w:ilvl w:val="1"/>
          <w:numId w:val="16"/>
        </w:numPr>
        <w:spacing w:line="312" w:lineRule="auto"/>
        <w:rPr>
          <w:rFonts w:ascii="Verdana" w:hAnsi="Verdana"/>
          <w:sz w:val="18"/>
          <w:szCs w:val="18"/>
        </w:rPr>
      </w:pPr>
      <w:r w:rsidRPr="002B53EC">
        <w:rPr>
          <w:rFonts w:ascii="Verdana" w:hAnsi="Verdana"/>
          <w:sz w:val="18"/>
          <w:szCs w:val="18"/>
        </w:rPr>
        <w:t>Eerlijk proces tijdens een uitzonderingstoestand (artikel 103 Grondwet)</w:t>
      </w:r>
    </w:p>
    <w:p w:rsidR="00DF731E" w:rsidRDefault="00DF731E" w:rsidP="00E93A06">
      <w:pPr>
        <w:pStyle w:val="Lijstalinea"/>
        <w:numPr>
          <w:ilvl w:val="1"/>
          <w:numId w:val="16"/>
        </w:numPr>
        <w:spacing w:line="312" w:lineRule="auto"/>
        <w:rPr>
          <w:rFonts w:ascii="Verdana" w:hAnsi="Verdana"/>
          <w:sz w:val="18"/>
          <w:szCs w:val="18"/>
        </w:rPr>
      </w:pPr>
      <w:r>
        <w:rPr>
          <w:rFonts w:ascii="Verdana" w:hAnsi="Verdana"/>
          <w:sz w:val="18"/>
          <w:szCs w:val="18"/>
        </w:rPr>
        <w:t>Subjecten van het recht op een eerlijk proces</w:t>
      </w:r>
    </w:p>
    <w:p w:rsidR="00E93A06" w:rsidRPr="00B67605" w:rsidRDefault="00E93A06" w:rsidP="00E93A06">
      <w:pPr>
        <w:pStyle w:val="Lijstalinea"/>
        <w:numPr>
          <w:ilvl w:val="0"/>
          <w:numId w:val="16"/>
        </w:numPr>
        <w:spacing w:line="312" w:lineRule="auto"/>
        <w:rPr>
          <w:rFonts w:ascii="Verdana" w:hAnsi="Verdana"/>
          <w:sz w:val="18"/>
          <w:szCs w:val="18"/>
        </w:rPr>
      </w:pPr>
      <w:r w:rsidRPr="00B67605">
        <w:rPr>
          <w:rFonts w:ascii="Verdana" w:hAnsi="Verdana"/>
          <w:sz w:val="18"/>
          <w:szCs w:val="18"/>
        </w:rPr>
        <w:t>Toegang tot de rechter</w:t>
      </w:r>
    </w:p>
    <w:p w:rsidR="00E93A06" w:rsidRDefault="00E93A06" w:rsidP="00E93A06">
      <w:pPr>
        <w:pStyle w:val="Lijstalinea"/>
        <w:numPr>
          <w:ilvl w:val="1"/>
          <w:numId w:val="16"/>
        </w:numPr>
        <w:spacing w:line="312" w:lineRule="auto"/>
        <w:rPr>
          <w:rFonts w:ascii="Verdana" w:hAnsi="Verdana"/>
          <w:sz w:val="18"/>
          <w:szCs w:val="18"/>
        </w:rPr>
      </w:pPr>
      <w:r>
        <w:rPr>
          <w:rFonts w:ascii="Verdana" w:hAnsi="Verdana"/>
          <w:sz w:val="18"/>
          <w:szCs w:val="18"/>
        </w:rPr>
        <w:t>Samenhang tussen het recht op een eerlijk proces en het recht op toegang tot de rechter</w:t>
      </w:r>
    </w:p>
    <w:p w:rsidR="00E93A06" w:rsidRDefault="00841E29" w:rsidP="00E93A06">
      <w:pPr>
        <w:pStyle w:val="Lijstalinea"/>
        <w:numPr>
          <w:ilvl w:val="1"/>
          <w:numId w:val="16"/>
        </w:numPr>
        <w:spacing w:line="312" w:lineRule="auto"/>
        <w:rPr>
          <w:rFonts w:ascii="Verdana" w:hAnsi="Verdana"/>
          <w:sz w:val="18"/>
          <w:szCs w:val="18"/>
        </w:rPr>
      </w:pPr>
      <w:r>
        <w:rPr>
          <w:rFonts w:ascii="Verdana" w:hAnsi="Verdana"/>
          <w:sz w:val="18"/>
          <w:szCs w:val="18"/>
        </w:rPr>
        <w:t>Grondwet</w:t>
      </w:r>
    </w:p>
    <w:p w:rsidR="00E93A06" w:rsidRPr="00F476B2" w:rsidRDefault="00E93A06" w:rsidP="00E93A06">
      <w:pPr>
        <w:pStyle w:val="Lijstalinea"/>
        <w:numPr>
          <w:ilvl w:val="1"/>
          <w:numId w:val="16"/>
        </w:numPr>
        <w:spacing w:line="312" w:lineRule="auto"/>
        <w:rPr>
          <w:rFonts w:ascii="Verdana" w:hAnsi="Verdana"/>
          <w:sz w:val="18"/>
          <w:szCs w:val="18"/>
        </w:rPr>
      </w:pPr>
      <w:r>
        <w:rPr>
          <w:rFonts w:ascii="Verdana" w:hAnsi="Verdana"/>
          <w:sz w:val="18"/>
          <w:szCs w:val="18"/>
        </w:rPr>
        <w:t>Artikelen 6 en 13 EVRM</w:t>
      </w:r>
      <w:r w:rsidR="003D7B16">
        <w:rPr>
          <w:rFonts w:ascii="Verdana" w:hAnsi="Verdana"/>
          <w:sz w:val="18"/>
          <w:szCs w:val="18"/>
        </w:rPr>
        <w:t xml:space="preserve">, </w:t>
      </w:r>
      <w:r w:rsidR="001A7A98">
        <w:rPr>
          <w:rFonts w:ascii="Verdana" w:hAnsi="Verdana"/>
          <w:sz w:val="18"/>
          <w:szCs w:val="18"/>
        </w:rPr>
        <w:t>artikel 47 EU-Handvest</w:t>
      </w:r>
    </w:p>
    <w:p w:rsidR="00E93A06" w:rsidRDefault="00E93A06" w:rsidP="00E93A06">
      <w:pPr>
        <w:pStyle w:val="Lijstalinea"/>
        <w:numPr>
          <w:ilvl w:val="1"/>
          <w:numId w:val="16"/>
        </w:numPr>
        <w:spacing w:line="312" w:lineRule="auto"/>
        <w:rPr>
          <w:rFonts w:ascii="Verdana" w:hAnsi="Verdana"/>
          <w:sz w:val="18"/>
          <w:szCs w:val="18"/>
        </w:rPr>
      </w:pPr>
      <w:r>
        <w:rPr>
          <w:rFonts w:ascii="Verdana" w:hAnsi="Verdana"/>
          <w:sz w:val="18"/>
          <w:szCs w:val="18"/>
        </w:rPr>
        <w:t>Beperkingen op toegang tot de rechter</w:t>
      </w:r>
    </w:p>
    <w:p w:rsidR="00D70A5B" w:rsidRPr="00722130" w:rsidRDefault="00E93A06">
      <w:pPr>
        <w:pStyle w:val="Lijstalinea"/>
        <w:numPr>
          <w:ilvl w:val="0"/>
          <w:numId w:val="16"/>
        </w:numPr>
        <w:spacing w:line="312" w:lineRule="auto"/>
      </w:pPr>
      <w:r>
        <w:rPr>
          <w:rFonts w:ascii="Verdana" w:hAnsi="Verdana"/>
          <w:sz w:val="18"/>
          <w:szCs w:val="18"/>
        </w:rPr>
        <w:t>Reikwijdte van het recht op een eerlijk proces</w:t>
      </w:r>
    </w:p>
    <w:p w:rsidR="00722130" w:rsidRPr="00722130" w:rsidRDefault="00722130" w:rsidP="00722130">
      <w:pPr>
        <w:pStyle w:val="Lijstalinea"/>
        <w:numPr>
          <w:ilvl w:val="1"/>
          <w:numId w:val="16"/>
        </w:numPr>
        <w:spacing w:line="312" w:lineRule="auto"/>
      </w:pPr>
      <w:r>
        <w:rPr>
          <w:rFonts w:ascii="Verdana" w:hAnsi="Verdana"/>
          <w:sz w:val="18"/>
          <w:szCs w:val="18"/>
        </w:rPr>
        <w:t>Reikwijdte</w:t>
      </w:r>
    </w:p>
    <w:p w:rsidR="00722130" w:rsidRPr="00722130" w:rsidRDefault="00722130" w:rsidP="00722130">
      <w:pPr>
        <w:pStyle w:val="Lijstalinea"/>
        <w:numPr>
          <w:ilvl w:val="1"/>
          <w:numId w:val="16"/>
        </w:numPr>
        <w:spacing w:line="312" w:lineRule="auto"/>
      </w:pPr>
      <w:r>
        <w:rPr>
          <w:rFonts w:ascii="Verdana" w:hAnsi="Verdana"/>
          <w:sz w:val="18"/>
          <w:szCs w:val="18"/>
        </w:rPr>
        <w:t>Formulering</w:t>
      </w:r>
    </w:p>
    <w:p w:rsidR="00722130" w:rsidRPr="00722130" w:rsidRDefault="00722130" w:rsidP="00722130">
      <w:pPr>
        <w:pStyle w:val="Lijstalinea"/>
        <w:numPr>
          <w:ilvl w:val="1"/>
          <w:numId w:val="16"/>
        </w:numPr>
        <w:spacing w:line="312" w:lineRule="auto"/>
      </w:pPr>
      <w:r>
        <w:rPr>
          <w:rFonts w:ascii="Verdana" w:hAnsi="Verdana"/>
          <w:sz w:val="18"/>
          <w:szCs w:val="18"/>
        </w:rPr>
        <w:t>Vaststelling van rechten en plichten</w:t>
      </w:r>
    </w:p>
    <w:p w:rsidR="00722130" w:rsidRDefault="00722130" w:rsidP="00722130">
      <w:pPr>
        <w:pStyle w:val="Lijstalinea"/>
        <w:numPr>
          <w:ilvl w:val="1"/>
          <w:numId w:val="16"/>
        </w:numPr>
        <w:spacing w:line="312" w:lineRule="auto"/>
      </w:pPr>
      <w:r>
        <w:rPr>
          <w:rFonts w:ascii="Verdana" w:hAnsi="Verdana"/>
          <w:sz w:val="18"/>
          <w:szCs w:val="18"/>
        </w:rPr>
        <w:t>De gegr</w:t>
      </w:r>
      <w:r w:rsidR="002A3114">
        <w:rPr>
          <w:rFonts w:ascii="Verdana" w:hAnsi="Verdana"/>
          <w:sz w:val="18"/>
          <w:szCs w:val="18"/>
        </w:rPr>
        <w:t xml:space="preserve">ondheid van een ingestelde </w:t>
      </w:r>
      <w:r>
        <w:rPr>
          <w:rFonts w:ascii="Verdana" w:hAnsi="Verdana"/>
          <w:sz w:val="18"/>
          <w:szCs w:val="18"/>
        </w:rPr>
        <w:t>vervolging</w:t>
      </w:r>
    </w:p>
    <w:p w:rsidR="00E93A06" w:rsidRDefault="00E93A06" w:rsidP="00E93A06">
      <w:pPr>
        <w:pStyle w:val="Lijstalinea"/>
        <w:numPr>
          <w:ilvl w:val="0"/>
          <w:numId w:val="16"/>
        </w:numPr>
        <w:spacing w:line="312" w:lineRule="auto"/>
        <w:rPr>
          <w:rFonts w:ascii="Verdana" w:hAnsi="Verdana"/>
          <w:sz w:val="18"/>
          <w:szCs w:val="18"/>
        </w:rPr>
      </w:pPr>
      <w:r>
        <w:rPr>
          <w:rFonts w:ascii="Verdana" w:hAnsi="Verdana"/>
          <w:sz w:val="18"/>
          <w:szCs w:val="18"/>
        </w:rPr>
        <w:t>Elementen van een eerlijk proces</w:t>
      </w:r>
    </w:p>
    <w:p w:rsidR="00E93A06" w:rsidRDefault="00E93A06" w:rsidP="00E93A06">
      <w:pPr>
        <w:pStyle w:val="Lijstalinea"/>
        <w:numPr>
          <w:ilvl w:val="1"/>
          <w:numId w:val="16"/>
        </w:numPr>
        <w:spacing w:line="312" w:lineRule="auto"/>
        <w:rPr>
          <w:rFonts w:ascii="Verdana" w:hAnsi="Verdana"/>
          <w:sz w:val="18"/>
          <w:szCs w:val="18"/>
        </w:rPr>
      </w:pPr>
      <w:r>
        <w:rPr>
          <w:rFonts w:ascii="Verdana" w:hAnsi="Verdana"/>
          <w:sz w:val="18"/>
          <w:szCs w:val="18"/>
        </w:rPr>
        <w:t>Inleiding</w:t>
      </w:r>
    </w:p>
    <w:p w:rsidR="00E93A06" w:rsidRDefault="00E93A06" w:rsidP="00E93A06">
      <w:pPr>
        <w:pStyle w:val="Lijstalinea"/>
        <w:numPr>
          <w:ilvl w:val="1"/>
          <w:numId w:val="16"/>
        </w:numPr>
        <w:spacing w:line="312" w:lineRule="auto"/>
        <w:rPr>
          <w:rFonts w:ascii="Verdana" w:hAnsi="Verdana"/>
          <w:sz w:val="18"/>
          <w:szCs w:val="18"/>
        </w:rPr>
      </w:pPr>
      <w:r>
        <w:rPr>
          <w:rFonts w:ascii="Verdana" w:hAnsi="Verdana"/>
          <w:sz w:val="18"/>
          <w:szCs w:val="18"/>
        </w:rPr>
        <w:t>Beslissing en berechting door een neutrale overheidsinstantie</w:t>
      </w:r>
    </w:p>
    <w:p w:rsidR="00E93A06" w:rsidRDefault="00E93A06" w:rsidP="00E93A06">
      <w:pPr>
        <w:pStyle w:val="Lijstalinea"/>
        <w:numPr>
          <w:ilvl w:val="2"/>
          <w:numId w:val="16"/>
        </w:numPr>
        <w:spacing w:line="312" w:lineRule="auto"/>
        <w:rPr>
          <w:rFonts w:ascii="Verdana" w:hAnsi="Verdana"/>
          <w:sz w:val="18"/>
          <w:szCs w:val="18"/>
        </w:rPr>
      </w:pPr>
      <w:r>
        <w:rPr>
          <w:rFonts w:ascii="Verdana" w:hAnsi="Verdana"/>
          <w:sz w:val="18"/>
          <w:szCs w:val="18"/>
        </w:rPr>
        <w:t>Rechterlijke onafhankelijkheid</w:t>
      </w:r>
    </w:p>
    <w:p w:rsidR="00E93A06" w:rsidRDefault="00E93A06" w:rsidP="00E93A06">
      <w:pPr>
        <w:pStyle w:val="Lijstalinea"/>
        <w:numPr>
          <w:ilvl w:val="2"/>
          <w:numId w:val="16"/>
        </w:numPr>
        <w:spacing w:line="312" w:lineRule="auto"/>
        <w:rPr>
          <w:rFonts w:ascii="Verdana" w:hAnsi="Verdana"/>
          <w:sz w:val="18"/>
          <w:szCs w:val="18"/>
        </w:rPr>
      </w:pPr>
      <w:r>
        <w:rPr>
          <w:rFonts w:ascii="Verdana" w:hAnsi="Verdana"/>
          <w:sz w:val="18"/>
          <w:szCs w:val="18"/>
        </w:rPr>
        <w:t>Rechterlijke onpartijdigheid</w:t>
      </w:r>
    </w:p>
    <w:p w:rsidR="00E93A06" w:rsidRDefault="00E93A06" w:rsidP="00E93A06">
      <w:pPr>
        <w:pStyle w:val="Lijstalinea"/>
        <w:numPr>
          <w:ilvl w:val="1"/>
          <w:numId w:val="16"/>
        </w:numPr>
        <w:spacing w:line="312" w:lineRule="auto"/>
        <w:rPr>
          <w:rFonts w:ascii="Verdana" w:hAnsi="Verdana"/>
          <w:sz w:val="18"/>
          <w:szCs w:val="18"/>
        </w:rPr>
      </w:pPr>
      <w:r>
        <w:rPr>
          <w:rFonts w:ascii="Verdana" w:hAnsi="Verdana"/>
          <w:sz w:val="18"/>
          <w:szCs w:val="18"/>
        </w:rPr>
        <w:t>Redelijke termijn</w:t>
      </w:r>
    </w:p>
    <w:p w:rsidR="00E93A06" w:rsidRDefault="00E93A06" w:rsidP="00E93A06">
      <w:pPr>
        <w:pStyle w:val="Lijstalinea"/>
        <w:numPr>
          <w:ilvl w:val="1"/>
          <w:numId w:val="16"/>
        </w:numPr>
        <w:spacing w:line="312" w:lineRule="auto"/>
        <w:rPr>
          <w:rFonts w:ascii="Verdana" w:hAnsi="Verdana"/>
          <w:sz w:val="18"/>
          <w:szCs w:val="18"/>
        </w:rPr>
      </w:pPr>
      <w:r>
        <w:rPr>
          <w:rFonts w:ascii="Verdana" w:hAnsi="Verdana"/>
          <w:sz w:val="18"/>
          <w:szCs w:val="18"/>
        </w:rPr>
        <w:t>Overige elementen</w:t>
      </w:r>
      <w:r w:rsidR="0018369F">
        <w:rPr>
          <w:rFonts w:ascii="Verdana" w:hAnsi="Verdana"/>
          <w:sz w:val="18"/>
          <w:szCs w:val="18"/>
        </w:rPr>
        <w:t xml:space="preserve"> van een eerlijk proces</w:t>
      </w:r>
    </w:p>
    <w:p w:rsidR="00E93A06" w:rsidRDefault="00E93A06" w:rsidP="00E93A06">
      <w:pPr>
        <w:pStyle w:val="Lijstalinea"/>
        <w:numPr>
          <w:ilvl w:val="2"/>
          <w:numId w:val="16"/>
        </w:numPr>
        <w:spacing w:line="312" w:lineRule="auto"/>
        <w:rPr>
          <w:rFonts w:ascii="Verdana" w:hAnsi="Verdana"/>
          <w:sz w:val="18"/>
          <w:szCs w:val="18"/>
        </w:rPr>
      </w:pPr>
      <w:r>
        <w:rPr>
          <w:rFonts w:ascii="Verdana" w:hAnsi="Verdana"/>
          <w:sz w:val="18"/>
          <w:szCs w:val="18"/>
        </w:rPr>
        <w:t>Openbare en eerlijke behandeling</w:t>
      </w:r>
    </w:p>
    <w:p w:rsidR="00E93A06" w:rsidRDefault="005273E4" w:rsidP="00E93A06">
      <w:pPr>
        <w:pStyle w:val="Lijstalinea"/>
        <w:numPr>
          <w:ilvl w:val="2"/>
          <w:numId w:val="16"/>
        </w:numPr>
        <w:spacing w:line="312" w:lineRule="auto"/>
        <w:rPr>
          <w:rFonts w:ascii="Verdana" w:hAnsi="Verdana"/>
          <w:sz w:val="18"/>
          <w:szCs w:val="18"/>
        </w:rPr>
      </w:pPr>
      <w:r>
        <w:rPr>
          <w:rFonts w:ascii="Verdana" w:hAnsi="Verdana"/>
          <w:sz w:val="18"/>
          <w:szCs w:val="18"/>
        </w:rPr>
        <w:t>R</w:t>
      </w:r>
      <w:r w:rsidR="00E93A06">
        <w:rPr>
          <w:rFonts w:ascii="Verdana" w:hAnsi="Verdana"/>
          <w:sz w:val="18"/>
          <w:szCs w:val="18"/>
        </w:rPr>
        <w:t>echten</w:t>
      </w:r>
      <w:r>
        <w:rPr>
          <w:rFonts w:ascii="Verdana" w:hAnsi="Verdana"/>
          <w:sz w:val="18"/>
          <w:szCs w:val="18"/>
        </w:rPr>
        <w:t xml:space="preserve"> van de verdediging</w:t>
      </w:r>
    </w:p>
    <w:p w:rsidR="00E93A06" w:rsidRDefault="00E93A06" w:rsidP="00E93A06">
      <w:pPr>
        <w:pStyle w:val="Lijstalinea"/>
        <w:numPr>
          <w:ilvl w:val="2"/>
          <w:numId w:val="16"/>
        </w:numPr>
        <w:spacing w:line="312" w:lineRule="auto"/>
        <w:rPr>
          <w:rFonts w:ascii="Verdana" w:hAnsi="Verdana"/>
          <w:sz w:val="18"/>
          <w:szCs w:val="18"/>
        </w:rPr>
      </w:pPr>
      <w:r>
        <w:rPr>
          <w:rFonts w:ascii="Verdana" w:hAnsi="Verdana"/>
          <w:sz w:val="18"/>
          <w:szCs w:val="18"/>
        </w:rPr>
        <w:t xml:space="preserve">Hoger beroep </w:t>
      </w:r>
    </w:p>
    <w:p w:rsidR="00E93A06" w:rsidRDefault="00ED67B0" w:rsidP="00E93A06">
      <w:pPr>
        <w:pStyle w:val="Lijstalinea"/>
        <w:numPr>
          <w:ilvl w:val="0"/>
          <w:numId w:val="16"/>
        </w:numPr>
        <w:spacing w:line="312" w:lineRule="auto"/>
        <w:rPr>
          <w:rFonts w:ascii="Verdana" w:hAnsi="Verdana"/>
          <w:sz w:val="18"/>
          <w:szCs w:val="18"/>
        </w:rPr>
      </w:pPr>
      <w:r>
        <w:rPr>
          <w:rFonts w:ascii="Verdana" w:hAnsi="Verdana"/>
          <w:sz w:val="18"/>
          <w:szCs w:val="18"/>
        </w:rPr>
        <w:t>Verhouding</w:t>
      </w:r>
      <w:r w:rsidR="00E93A06">
        <w:rPr>
          <w:rFonts w:ascii="Verdana" w:hAnsi="Verdana"/>
          <w:sz w:val="18"/>
          <w:szCs w:val="18"/>
        </w:rPr>
        <w:t xml:space="preserve"> tot internationa</w:t>
      </w:r>
      <w:r>
        <w:rPr>
          <w:rFonts w:ascii="Verdana" w:hAnsi="Verdana"/>
          <w:sz w:val="18"/>
          <w:szCs w:val="18"/>
        </w:rPr>
        <w:t>le regelgeving</w:t>
      </w:r>
    </w:p>
    <w:p w:rsidR="00E93A06" w:rsidRDefault="00CB1909" w:rsidP="00E93A06">
      <w:pPr>
        <w:pStyle w:val="Lijstalinea"/>
        <w:numPr>
          <w:ilvl w:val="0"/>
          <w:numId w:val="16"/>
        </w:numPr>
        <w:spacing w:line="312" w:lineRule="auto"/>
        <w:rPr>
          <w:rFonts w:ascii="Verdana" w:hAnsi="Verdana"/>
          <w:sz w:val="18"/>
          <w:szCs w:val="18"/>
        </w:rPr>
      </w:pPr>
      <w:r>
        <w:rPr>
          <w:rFonts w:ascii="Verdana" w:hAnsi="Verdana"/>
          <w:sz w:val="18"/>
          <w:szCs w:val="18"/>
        </w:rPr>
        <w:t>Administrat</w:t>
      </w:r>
      <w:r w:rsidR="00190A77">
        <w:rPr>
          <w:rFonts w:ascii="Verdana" w:hAnsi="Verdana"/>
          <w:sz w:val="18"/>
          <w:szCs w:val="18"/>
        </w:rPr>
        <w:t>ieve lasten</w:t>
      </w:r>
      <w:r w:rsidR="00E93A06">
        <w:rPr>
          <w:rFonts w:ascii="Verdana" w:hAnsi="Verdana"/>
          <w:sz w:val="18"/>
          <w:szCs w:val="18"/>
        </w:rPr>
        <w:t xml:space="preserve"> </w:t>
      </w:r>
    </w:p>
    <w:p w:rsidR="00E93A06" w:rsidRDefault="00E93A06" w:rsidP="00E93A06">
      <w:pPr>
        <w:pStyle w:val="Lijstalinea"/>
        <w:spacing w:line="312" w:lineRule="auto"/>
        <w:ind w:left="360"/>
        <w:rPr>
          <w:rFonts w:ascii="Verdana" w:hAnsi="Verdana"/>
          <w:sz w:val="18"/>
          <w:szCs w:val="18"/>
        </w:rPr>
      </w:pPr>
    </w:p>
    <w:p w:rsidR="00E93A06" w:rsidRPr="00812FFA" w:rsidRDefault="00734442" w:rsidP="00E93A06">
      <w:pPr>
        <w:pStyle w:val="Lijstalinea"/>
        <w:numPr>
          <w:ilvl w:val="0"/>
          <w:numId w:val="17"/>
        </w:numPr>
        <w:spacing w:line="312" w:lineRule="auto"/>
        <w:rPr>
          <w:rFonts w:ascii="Verdana" w:hAnsi="Verdana"/>
          <w:b/>
          <w:sz w:val="18"/>
          <w:szCs w:val="18"/>
        </w:rPr>
      </w:pPr>
      <w:r w:rsidRPr="00812FFA">
        <w:rPr>
          <w:rFonts w:ascii="Verdana" w:hAnsi="Verdana"/>
          <w:b/>
          <w:sz w:val="18"/>
          <w:szCs w:val="18"/>
        </w:rPr>
        <w:t>ARTIKELSGEWIJZE TOELICHTING</w:t>
      </w:r>
    </w:p>
    <w:p w:rsidR="00570E03" w:rsidRDefault="001A7A98" w:rsidP="00570E03">
      <w:pPr>
        <w:spacing w:line="280" w:lineRule="atLeast"/>
        <w:rPr>
          <w:rFonts w:ascii="Verdana" w:hAnsi="Verdana"/>
          <w:b/>
          <w:bCs/>
        </w:rPr>
      </w:pPr>
      <w:r w:rsidRPr="001A7A98">
        <w:rPr>
          <w:rFonts w:ascii="Verdana" w:hAnsi="Verdana"/>
          <w:sz w:val="18"/>
          <w:szCs w:val="18"/>
        </w:rPr>
        <w:t xml:space="preserve">Artikel II </w:t>
      </w:r>
      <w:r w:rsidR="00040176">
        <w:rPr>
          <w:rFonts w:ascii="Verdana" w:hAnsi="Verdana"/>
          <w:b/>
          <w:bCs/>
        </w:rPr>
        <w:br w:type="page"/>
      </w:r>
    </w:p>
    <w:p w:rsidR="00E04790" w:rsidRPr="0096780C" w:rsidRDefault="00B70BC4" w:rsidP="00612BA5">
      <w:pPr>
        <w:pStyle w:val="Lijstalinea"/>
        <w:numPr>
          <w:ilvl w:val="0"/>
          <w:numId w:val="24"/>
        </w:numPr>
        <w:rPr>
          <w:rFonts w:ascii="Verdana" w:hAnsi="Verdana"/>
          <w:b/>
          <w:sz w:val="18"/>
          <w:szCs w:val="18"/>
        </w:rPr>
      </w:pPr>
      <w:r w:rsidRPr="00B70BC4">
        <w:rPr>
          <w:rFonts w:ascii="Verdana" w:hAnsi="Verdana"/>
          <w:b/>
          <w:sz w:val="18"/>
          <w:szCs w:val="18"/>
        </w:rPr>
        <w:lastRenderedPageBreak/>
        <w:t>ALGEMEEN</w:t>
      </w:r>
    </w:p>
    <w:p w:rsidR="00612BA5" w:rsidRPr="00612BA5" w:rsidRDefault="00612BA5" w:rsidP="00E04790">
      <w:pPr>
        <w:pStyle w:val="Lijstalinea"/>
        <w:rPr>
          <w:rFonts w:ascii="Verdana" w:hAnsi="Verdana"/>
          <w:sz w:val="18"/>
          <w:szCs w:val="18"/>
        </w:rPr>
      </w:pPr>
    </w:p>
    <w:p w:rsidR="003C7913" w:rsidRDefault="003C7913" w:rsidP="002D675E">
      <w:pPr>
        <w:pStyle w:val="Lijstalinea"/>
        <w:numPr>
          <w:ilvl w:val="0"/>
          <w:numId w:val="5"/>
        </w:numPr>
        <w:rPr>
          <w:rFonts w:ascii="Verdana" w:hAnsi="Verdana"/>
          <w:b/>
          <w:sz w:val="18"/>
          <w:szCs w:val="18"/>
        </w:rPr>
      </w:pPr>
      <w:r w:rsidRPr="002D675E">
        <w:rPr>
          <w:rFonts w:ascii="Verdana" w:hAnsi="Verdana"/>
          <w:b/>
          <w:sz w:val="18"/>
          <w:szCs w:val="18"/>
        </w:rPr>
        <w:t>Inleiding</w:t>
      </w:r>
    </w:p>
    <w:p w:rsidR="004F74E5" w:rsidRDefault="004F74E5" w:rsidP="004F74E5">
      <w:pPr>
        <w:pStyle w:val="Lijstalinea"/>
        <w:spacing w:after="0" w:line="280" w:lineRule="atLeast"/>
        <w:rPr>
          <w:rFonts w:ascii="Verdana" w:hAnsi="Verdana"/>
          <w:sz w:val="18"/>
          <w:szCs w:val="18"/>
        </w:rPr>
      </w:pPr>
    </w:p>
    <w:p w:rsidR="004F74E5" w:rsidRPr="004F74E5" w:rsidRDefault="004F74E5" w:rsidP="004F74E5">
      <w:pPr>
        <w:spacing w:after="0" w:line="280" w:lineRule="atLeast"/>
        <w:rPr>
          <w:rFonts w:ascii="Verdana" w:hAnsi="Verdana"/>
          <w:sz w:val="18"/>
          <w:szCs w:val="18"/>
        </w:rPr>
      </w:pPr>
      <w:r>
        <w:rPr>
          <w:rFonts w:ascii="Verdana" w:hAnsi="Verdana"/>
          <w:sz w:val="18"/>
          <w:szCs w:val="18"/>
        </w:rPr>
        <w:t>1.1</w:t>
      </w:r>
      <w:r>
        <w:rPr>
          <w:rFonts w:ascii="Verdana" w:hAnsi="Verdana"/>
          <w:sz w:val="18"/>
          <w:szCs w:val="18"/>
        </w:rPr>
        <w:tab/>
      </w:r>
      <w:r w:rsidRPr="004F74E5">
        <w:rPr>
          <w:rFonts w:ascii="Verdana" w:hAnsi="Verdana"/>
          <w:sz w:val="18"/>
          <w:szCs w:val="18"/>
        </w:rPr>
        <w:t>Aanleiding</w:t>
      </w:r>
    </w:p>
    <w:p w:rsidR="004F74E5" w:rsidRPr="00787D5C" w:rsidRDefault="004F74E5" w:rsidP="004F74E5">
      <w:pPr>
        <w:pStyle w:val="Lijstalinea"/>
        <w:spacing w:after="0" w:line="280" w:lineRule="atLeast"/>
        <w:ind w:left="1080"/>
        <w:rPr>
          <w:rFonts w:ascii="Verdana" w:hAnsi="Verdana"/>
          <w:sz w:val="18"/>
          <w:szCs w:val="18"/>
        </w:rPr>
      </w:pPr>
    </w:p>
    <w:p w:rsidR="004F74E5" w:rsidRDefault="004F74E5" w:rsidP="004F74E5">
      <w:pPr>
        <w:spacing w:after="0" w:line="280" w:lineRule="atLeast"/>
        <w:rPr>
          <w:rFonts w:ascii="Verdana" w:hAnsi="Verdana" w:cs="Arial"/>
          <w:sz w:val="18"/>
          <w:szCs w:val="18"/>
        </w:rPr>
      </w:pPr>
      <w:r w:rsidRPr="00B900EE">
        <w:rPr>
          <w:rFonts w:ascii="Verdana" w:hAnsi="Verdana"/>
          <w:sz w:val="18"/>
          <w:szCs w:val="18"/>
        </w:rPr>
        <w:t xml:space="preserve">Het voorstel </w:t>
      </w:r>
      <w:r w:rsidR="008C197C">
        <w:rPr>
          <w:rFonts w:ascii="Verdana" w:hAnsi="Verdana"/>
          <w:sz w:val="18"/>
          <w:szCs w:val="18"/>
        </w:rPr>
        <w:t>voert</w:t>
      </w:r>
      <w:r w:rsidRPr="00B900EE">
        <w:rPr>
          <w:rFonts w:ascii="Verdana" w:hAnsi="Verdana"/>
          <w:sz w:val="18"/>
          <w:szCs w:val="18"/>
        </w:rPr>
        <w:t xml:space="preserve"> de </w:t>
      </w:r>
      <w:r>
        <w:rPr>
          <w:rFonts w:ascii="Verdana" w:hAnsi="Verdana"/>
          <w:sz w:val="18"/>
          <w:szCs w:val="18"/>
        </w:rPr>
        <w:t xml:space="preserve">door de Eerste Kamer aangenomen </w:t>
      </w:r>
      <w:r w:rsidRPr="00B900EE">
        <w:rPr>
          <w:rFonts w:ascii="Verdana" w:hAnsi="Verdana" w:cs="Arial"/>
          <w:sz w:val="18"/>
          <w:szCs w:val="18"/>
        </w:rPr>
        <w:t>mo</w:t>
      </w:r>
      <w:r>
        <w:rPr>
          <w:rFonts w:ascii="Verdana" w:hAnsi="Verdana" w:cs="Arial"/>
          <w:sz w:val="18"/>
          <w:szCs w:val="18"/>
        </w:rPr>
        <w:t xml:space="preserve">tie </w:t>
      </w:r>
      <w:proofErr w:type="spellStart"/>
      <w:r>
        <w:rPr>
          <w:rFonts w:ascii="Verdana" w:hAnsi="Verdana" w:cs="Arial"/>
          <w:sz w:val="18"/>
          <w:szCs w:val="18"/>
        </w:rPr>
        <w:t>Lokin</w:t>
      </w:r>
      <w:proofErr w:type="spellEnd"/>
      <w:r>
        <w:rPr>
          <w:rFonts w:ascii="Verdana" w:hAnsi="Verdana" w:cs="Arial"/>
          <w:sz w:val="18"/>
          <w:szCs w:val="18"/>
        </w:rPr>
        <w:t>-Sassen c.s. van 7 februari</w:t>
      </w:r>
      <w:r w:rsidRPr="00B900EE">
        <w:rPr>
          <w:rFonts w:ascii="Verdana" w:hAnsi="Verdana" w:cs="Arial"/>
          <w:sz w:val="18"/>
          <w:szCs w:val="18"/>
        </w:rPr>
        <w:t xml:space="preserve"> 2012</w:t>
      </w:r>
      <w:r>
        <w:rPr>
          <w:rStyle w:val="Voetnootmarkering"/>
          <w:rFonts w:ascii="Verdana" w:hAnsi="Verdana" w:cs="Arial"/>
          <w:sz w:val="18"/>
          <w:szCs w:val="18"/>
        </w:rPr>
        <w:footnoteReference w:id="1"/>
      </w:r>
      <w:r w:rsidRPr="00B900EE">
        <w:rPr>
          <w:rFonts w:ascii="Verdana" w:hAnsi="Verdana" w:cs="Arial"/>
          <w:sz w:val="18"/>
          <w:szCs w:val="18"/>
        </w:rPr>
        <w:t xml:space="preserve"> </w:t>
      </w:r>
      <w:r w:rsidR="008C197C">
        <w:rPr>
          <w:rFonts w:ascii="Verdana" w:hAnsi="Verdana" w:cs="Arial"/>
          <w:sz w:val="18"/>
          <w:szCs w:val="18"/>
        </w:rPr>
        <w:t xml:space="preserve">uit, </w:t>
      </w:r>
      <w:r w:rsidRPr="00B900EE">
        <w:rPr>
          <w:rFonts w:ascii="Verdana" w:hAnsi="Verdana" w:cs="Arial"/>
          <w:sz w:val="18"/>
          <w:szCs w:val="18"/>
        </w:rPr>
        <w:t>waarin de regering is gevraagd een voorstel tot wijziging van de Grondwet voor te bereid</w:t>
      </w:r>
      <w:r w:rsidRPr="00720B32">
        <w:rPr>
          <w:rFonts w:ascii="Verdana" w:hAnsi="Verdana" w:cs="Arial"/>
          <w:sz w:val="18"/>
          <w:szCs w:val="18"/>
        </w:rPr>
        <w:t>e</w:t>
      </w:r>
      <w:r w:rsidRPr="00B900EE">
        <w:rPr>
          <w:rFonts w:ascii="Verdana" w:hAnsi="Verdana" w:cs="Arial"/>
          <w:sz w:val="18"/>
          <w:szCs w:val="18"/>
        </w:rPr>
        <w:t>n, dat ertoe strekt een artikel op te nemen, waarbij een algemeen recht op een eerlijk proces voor een onafhankelijke en onparti</w:t>
      </w:r>
      <w:r>
        <w:rPr>
          <w:rFonts w:ascii="Verdana" w:hAnsi="Verdana" w:cs="Arial"/>
          <w:sz w:val="18"/>
          <w:szCs w:val="18"/>
        </w:rPr>
        <w:t xml:space="preserve">jdige rechter wordt opgenomen. </w:t>
      </w:r>
      <w:r w:rsidRPr="00B900EE">
        <w:rPr>
          <w:rFonts w:ascii="Verdana" w:hAnsi="Verdana" w:cs="Arial"/>
          <w:sz w:val="18"/>
          <w:szCs w:val="18"/>
        </w:rPr>
        <w:t>Per brief van 6 juni 2013 heeft</w:t>
      </w:r>
      <w:r>
        <w:rPr>
          <w:rFonts w:ascii="Verdana" w:hAnsi="Verdana" w:cs="Arial"/>
          <w:sz w:val="18"/>
          <w:szCs w:val="18"/>
        </w:rPr>
        <w:t xml:space="preserve"> de Minister van Binnenlandse Zaken en Koninkrijksrelaties aangekondigd dat het</w:t>
      </w:r>
      <w:r w:rsidRPr="00B900EE">
        <w:rPr>
          <w:rFonts w:ascii="Verdana" w:hAnsi="Verdana" w:cs="Arial"/>
          <w:sz w:val="18"/>
          <w:szCs w:val="18"/>
        </w:rPr>
        <w:t xml:space="preserve"> </w:t>
      </w:r>
      <w:r>
        <w:rPr>
          <w:rFonts w:ascii="Verdana" w:hAnsi="Verdana" w:cs="Arial"/>
          <w:sz w:val="18"/>
          <w:szCs w:val="18"/>
        </w:rPr>
        <w:t xml:space="preserve">kabinet </w:t>
      </w:r>
      <w:r w:rsidRPr="00B900EE">
        <w:rPr>
          <w:rFonts w:ascii="Verdana" w:hAnsi="Verdana" w:cs="Arial"/>
          <w:sz w:val="18"/>
          <w:szCs w:val="18"/>
        </w:rPr>
        <w:t>deze motie zal uitvoeren</w:t>
      </w:r>
      <w:r>
        <w:rPr>
          <w:rStyle w:val="Voetnootmarkering"/>
          <w:rFonts w:ascii="Verdana" w:hAnsi="Verdana" w:cs="Arial"/>
          <w:sz w:val="18"/>
          <w:szCs w:val="18"/>
        </w:rPr>
        <w:footnoteReference w:id="2"/>
      </w:r>
      <w:r w:rsidRPr="00B900EE">
        <w:rPr>
          <w:rFonts w:ascii="Verdana" w:hAnsi="Verdana" w:cs="Arial"/>
          <w:sz w:val="18"/>
          <w:szCs w:val="18"/>
        </w:rPr>
        <w:t xml:space="preserve"> en per brief van 25 september 2013 </w:t>
      </w:r>
      <w:r>
        <w:rPr>
          <w:rFonts w:ascii="Verdana" w:hAnsi="Verdana" w:cs="Arial"/>
          <w:sz w:val="18"/>
          <w:szCs w:val="18"/>
        </w:rPr>
        <w:t xml:space="preserve">is </w:t>
      </w:r>
      <w:r w:rsidR="0018369F">
        <w:rPr>
          <w:rFonts w:ascii="Verdana" w:hAnsi="Verdana" w:cs="Arial"/>
          <w:sz w:val="18"/>
          <w:szCs w:val="18"/>
        </w:rPr>
        <w:t xml:space="preserve">aan </w:t>
      </w:r>
      <w:r>
        <w:rPr>
          <w:rFonts w:ascii="Verdana" w:hAnsi="Verdana" w:cs="Arial"/>
          <w:sz w:val="18"/>
          <w:szCs w:val="18"/>
        </w:rPr>
        <w:t xml:space="preserve">de Eerste Kamer </w:t>
      </w:r>
      <w:r w:rsidRPr="00B900EE">
        <w:rPr>
          <w:rFonts w:ascii="Verdana" w:hAnsi="Verdana" w:cs="Arial"/>
          <w:sz w:val="18"/>
          <w:szCs w:val="18"/>
        </w:rPr>
        <w:t xml:space="preserve">meegedeeld dat een voorstel </w:t>
      </w:r>
      <w:r>
        <w:rPr>
          <w:rFonts w:ascii="Verdana" w:hAnsi="Verdana" w:cs="Arial"/>
          <w:sz w:val="18"/>
          <w:szCs w:val="18"/>
        </w:rPr>
        <w:t xml:space="preserve">tot wijziging van de Grondwet </w:t>
      </w:r>
      <w:r w:rsidR="00701428">
        <w:rPr>
          <w:rFonts w:ascii="Verdana" w:hAnsi="Verdana" w:cs="Arial"/>
          <w:sz w:val="18"/>
          <w:szCs w:val="18"/>
        </w:rPr>
        <w:t xml:space="preserve">in het voorjaar van 2014 </w:t>
      </w:r>
      <w:r w:rsidRPr="00B900EE">
        <w:rPr>
          <w:rFonts w:ascii="Verdana" w:hAnsi="Verdana" w:cs="Arial"/>
          <w:sz w:val="18"/>
          <w:szCs w:val="18"/>
        </w:rPr>
        <w:t>in (internet)consultatie wordt gegeven.</w:t>
      </w:r>
      <w:r>
        <w:rPr>
          <w:rStyle w:val="Voetnootmarkering"/>
          <w:rFonts w:ascii="Verdana" w:hAnsi="Verdana" w:cs="Arial"/>
          <w:sz w:val="18"/>
          <w:szCs w:val="18"/>
        </w:rPr>
        <w:footnoteReference w:id="3"/>
      </w:r>
      <w:r w:rsidRPr="00B900EE">
        <w:rPr>
          <w:rFonts w:ascii="Verdana" w:hAnsi="Verdana" w:cs="Arial"/>
          <w:sz w:val="18"/>
          <w:szCs w:val="18"/>
        </w:rPr>
        <w:t xml:space="preserve"> De toezegging tot uitvoering van de motie is tevens meegedeeld aan de Tweede Kamer in de kabinetsreactie op de jaarrapportage 2012 van het College voor de Rechten van de Mens</w:t>
      </w:r>
      <w:r>
        <w:rPr>
          <w:rStyle w:val="Voetnootmarkering"/>
          <w:rFonts w:ascii="Verdana" w:hAnsi="Verdana" w:cs="Arial"/>
          <w:sz w:val="18"/>
          <w:szCs w:val="18"/>
        </w:rPr>
        <w:footnoteReference w:id="4"/>
      </w:r>
      <w:r w:rsidRPr="00B900EE">
        <w:rPr>
          <w:rFonts w:ascii="Verdana" w:hAnsi="Verdana" w:cs="Arial"/>
          <w:sz w:val="18"/>
          <w:szCs w:val="18"/>
        </w:rPr>
        <w:t xml:space="preserve"> en in het Nationaal Actieplan Mensenrechten.</w:t>
      </w:r>
      <w:r>
        <w:rPr>
          <w:rStyle w:val="Voetnootmarkering"/>
          <w:rFonts w:ascii="Verdana" w:hAnsi="Verdana" w:cs="Arial"/>
          <w:sz w:val="18"/>
          <w:szCs w:val="18"/>
        </w:rPr>
        <w:footnoteReference w:id="5"/>
      </w:r>
      <w:r w:rsidRPr="00B900EE">
        <w:rPr>
          <w:rFonts w:ascii="Verdana" w:hAnsi="Verdana" w:cs="Arial"/>
          <w:sz w:val="18"/>
          <w:szCs w:val="18"/>
        </w:rPr>
        <w:t xml:space="preserve"> </w:t>
      </w:r>
      <w:r>
        <w:rPr>
          <w:rFonts w:ascii="Verdana" w:hAnsi="Verdana" w:cs="Arial"/>
          <w:sz w:val="18"/>
          <w:szCs w:val="18"/>
        </w:rPr>
        <w:t xml:space="preserve"> </w:t>
      </w:r>
    </w:p>
    <w:p w:rsidR="008271DA" w:rsidRDefault="008271DA" w:rsidP="004F74E5">
      <w:pPr>
        <w:spacing w:after="0" w:line="280" w:lineRule="atLeast"/>
        <w:rPr>
          <w:rFonts w:ascii="Verdana" w:hAnsi="Verdana" w:cs="Arial"/>
          <w:sz w:val="18"/>
          <w:szCs w:val="18"/>
        </w:rPr>
      </w:pPr>
    </w:p>
    <w:p w:rsidR="00B4620A" w:rsidRDefault="004F74E5" w:rsidP="004F74E5">
      <w:pPr>
        <w:spacing w:after="0" w:line="280" w:lineRule="atLeast"/>
        <w:rPr>
          <w:rFonts w:ascii="Verdana" w:hAnsi="Verdana" w:cs="Arial"/>
          <w:sz w:val="18"/>
          <w:szCs w:val="18"/>
        </w:rPr>
      </w:pPr>
      <w:r w:rsidRPr="00B900EE">
        <w:rPr>
          <w:rFonts w:ascii="Verdana" w:hAnsi="Verdana" w:cs="Arial"/>
          <w:sz w:val="18"/>
          <w:szCs w:val="18"/>
        </w:rPr>
        <w:t xml:space="preserve">De </w:t>
      </w:r>
      <w:r>
        <w:rPr>
          <w:rFonts w:ascii="Verdana" w:hAnsi="Verdana" w:cs="Arial"/>
          <w:sz w:val="18"/>
          <w:szCs w:val="18"/>
        </w:rPr>
        <w:t xml:space="preserve">directe </w:t>
      </w:r>
      <w:r w:rsidRPr="00B900EE">
        <w:rPr>
          <w:rFonts w:ascii="Verdana" w:hAnsi="Verdana" w:cs="Arial"/>
          <w:sz w:val="18"/>
          <w:szCs w:val="18"/>
        </w:rPr>
        <w:t xml:space="preserve">aanleiding voor </w:t>
      </w:r>
      <w:r>
        <w:rPr>
          <w:rFonts w:ascii="Verdana" w:hAnsi="Verdana" w:cs="Arial"/>
          <w:sz w:val="18"/>
          <w:szCs w:val="18"/>
        </w:rPr>
        <w:t xml:space="preserve">voormelde motie </w:t>
      </w:r>
      <w:r w:rsidRPr="00B900EE">
        <w:rPr>
          <w:rFonts w:ascii="Verdana" w:hAnsi="Verdana" w:cs="Arial"/>
          <w:sz w:val="18"/>
          <w:szCs w:val="18"/>
        </w:rPr>
        <w:t xml:space="preserve">is gelegen in het rapport van de </w:t>
      </w:r>
      <w:r w:rsidR="00701428">
        <w:rPr>
          <w:rFonts w:ascii="Verdana" w:hAnsi="Verdana" w:cs="Arial"/>
          <w:sz w:val="18"/>
          <w:szCs w:val="18"/>
        </w:rPr>
        <w:t>s</w:t>
      </w:r>
      <w:r w:rsidRPr="00B900EE">
        <w:rPr>
          <w:rFonts w:ascii="Verdana" w:hAnsi="Verdana" w:cs="Arial"/>
          <w:sz w:val="18"/>
          <w:szCs w:val="18"/>
        </w:rPr>
        <w:t xml:space="preserve">taatscommissie Grondwet </w:t>
      </w:r>
      <w:r>
        <w:rPr>
          <w:rFonts w:ascii="Verdana" w:hAnsi="Verdana" w:cs="Arial"/>
          <w:sz w:val="18"/>
          <w:szCs w:val="18"/>
        </w:rPr>
        <w:t xml:space="preserve">(hierna: staatscommissie) </w:t>
      </w:r>
      <w:r w:rsidRPr="00B900EE">
        <w:rPr>
          <w:rFonts w:ascii="Verdana" w:hAnsi="Verdana" w:cs="Arial"/>
          <w:sz w:val="18"/>
          <w:szCs w:val="18"/>
        </w:rPr>
        <w:t>van november 2010 en de daaropvolgende kabinetsreactie.</w:t>
      </w:r>
      <w:r w:rsidRPr="001D287E">
        <w:rPr>
          <w:rStyle w:val="Voetnootmarkering"/>
          <w:rFonts w:ascii="Verdana" w:hAnsi="Verdana" w:cs="Arial"/>
          <w:sz w:val="18"/>
          <w:szCs w:val="18"/>
        </w:rPr>
        <w:footnoteReference w:id="6"/>
      </w:r>
      <w:r>
        <w:rPr>
          <w:rFonts w:ascii="Verdana" w:hAnsi="Verdana" w:cs="Arial"/>
          <w:sz w:val="18"/>
          <w:szCs w:val="18"/>
        </w:rPr>
        <w:t xml:space="preserve"> De staatscommissie</w:t>
      </w:r>
      <w:r w:rsidRPr="00B900EE">
        <w:rPr>
          <w:rFonts w:ascii="Verdana" w:hAnsi="Verdana" w:cs="Arial"/>
          <w:sz w:val="18"/>
          <w:szCs w:val="18"/>
        </w:rPr>
        <w:t xml:space="preserve"> ging in haar rapport onder meer in op </w:t>
      </w:r>
      <w:r>
        <w:rPr>
          <w:rFonts w:ascii="Verdana" w:hAnsi="Verdana" w:cs="Arial"/>
          <w:sz w:val="18"/>
          <w:szCs w:val="18"/>
        </w:rPr>
        <w:t xml:space="preserve">de vraag of, en zo ja welke </w:t>
      </w:r>
      <w:r w:rsidRPr="00B900EE">
        <w:rPr>
          <w:rFonts w:ascii="Verdana" w:hAnsi="Verdana" w:cs="Arial"/>
          <w:sz w:val="18"/>
          <w:szCs w:val="18"/>
        </w:rPr>
        <w:t xml:space="preserve">grondrechten </w:t>
      </w:r>
      <w:r>
        <w:rPr>
          <w:rFonts w:ascii="Verdana" w:hAnsi="Verdana" w:cs="Arial"/>
          <w:sz w:val="18"/>
          <w:szCs w:val="18"/>
        </w:rPr>
        <w:t xml:space="preserve">opneming verdienen in de Grondwet. </w:t>
      </w:r>
      <w:r w:rsidRPr="00B900EE">
        <w:rPr>
          <w:rFonts w:ascii="Verdana" w:hAnsi="Verdana" w:cs="Arial"/>
          <w:sz w:val="18"/>
          <w:szCs w:val="18"/>
        </w:rPr>
        <w:t xml:space="preserve">Zij adviseerde </w:t>
      </w:r>
      <w:r>
        <w:rPr>
          <w:rFonts w:ascii="Verdana" w:hAnsi="Verdana" w:cs="Arial"/>
          <w:sz w:val="18"/>
          <w:szCs w:val="18"/>
        </w:rPr>
        <w:t>unaniem dat het recht op een eerlijk proces en het recht op toegang tot de rechter moeten worden toegevoegd aan de Grondwet, omdat deze nu niet in de Grondwet zijn te vinden en naar het oordeel van de staatscommissie ook onvoldoende bescherming vinden in een ieder verbindende verdragsbepalingen. Met name de rechtsbescherming tegen overheidshandelen is volgens haar minder volledig dan wenselijk is.</w:t>
      </w:r>
      <w:r w:rsidR="003A35B3">
        <w:rPr>
          <w:rStyle w:val="Voetnootmarkering"/>
          <w:rFonts w:ascii="Verdana" w:hAnsi="Verdana" w:cs="Arial"/>
          <w:sz w:val="18"/>
          <w:szCs w:val="18"/>
        </w:rPr>
        <w:footnoteReference w:id="7"/>
      </w:r>
      <w:r w:rsidRPr="00B900EE">
        <w:rPr>
          <w:rFonts w:ascii="Verdana" w:hAnsi="Verdana" w:cs="Arial"/>
          <w:sz w:val="18"/>
          <w:szCs w:val="18"/>
        </w:rPr>
        <w:t xml:space="preserve"> </w:t>
      </w:r>
    </w:p>
    <w:p w:rsidR="004F74E5" w:rsidRPr="006F040F" w:rsidRDefault="006F040F" w:rsidP="004F74E5">
      <w:pPr>
        <w:spacing w:after="0" w:line="280" w:lineRule="atLeast"/>
        <w:rPr>
          <w:rFonts w:ascii="Verdana" w:hAnsi="Verdana"/>
          <w:sz w:val="18"/>
          <w:szCs w:val="18"/>
        </w:rPr>
      </w:pPr>
      <w:r w:rsidRPr="00B900EE">
        <w:rPr>
          <w:rFonts w:ascii="Verdana" w:hAnsi="Verdana" w:cs="Arial"/>
          <w:sz w:val="18"/>
          <w:szCs w:val="18"/>
        </w:rPr>
        <w:t xml:space="preserve">Het </w:t>
      </w:r>
      <w:r>
        <w:rPr>
          <w:rFonts w:ascii="Verdana" w:hAnsi="Verdana" w:cs="Arial"/>
          <w:sz w:val="18"/>
          <w:szCs w:val="18"/>
        </w:rPr>
        <w:t xml:space="preserve">toenmalige </w:t>
      </w:r>
      <w:r w:rsidR="00985F6C">
        <w:rPr>
          <w:rFonts w:ascii="Verdana" w:hAnsi="Verdana" w:cs="Arial"/>
          <w:sz w:val="18"/>
          <w:szCs w:val="18"/>
        </w:rPr>
        <w:t>kabinet gaf</w:t>
      </w:r>
      <w:r w:rsidRPr="00B900EE">
        <w:rPr>
          <w:rFonts w:ascii="Verdana" w:hAnsi="Verdana" w:cs="Arial"/>
          <w:sz w:val="18"/>
          <w:szCs w:val="18"/>
        </w:rPr>
        <w:t xml:space="preserve"> in reactie op het advies</w:t>
      </w:r>
      <w:r>
        <w:rPr>
          <w:rFonts w:ascii="Verdana" w:hAnsi="Verdana" w:cs="Arial"/>
          <w:sz w:val="18"/>
          <w:szCs w:val="18"/>
        </w:rPr>
        <w:t xml:space="preserve"> van de staatscommissie</w:t>
      </w:r>
      <w:r w:rsidRPr="00B900EE">
        <w:rPr>
          <w:rFonts w:ascii="Verdana" w:hAnsi="Verdana" w:cs="Arial"/>
          <w:sz w:val="18"/>
          <w:szCs w:val="18"/>
        </w:rPr>
        <w:t xml:space="preserve"> </w:t>
      </w:r>
      <w:r w:rsidR="00985F6C">
        <w:rPr>
          <w:rFonts w:ascii="Verdana" w:hAnsi="Verdana" w:cs="Arial"/>
          <w:sz w:val="18"/>
          <w:szCs w:val="18"/>
        </w:rPr>
        <w:t xml:space="preserve">aan </w:t>
      </w:r>
      <w:r w:rsidRPr="00B900EE">
        <w:rPr>
          <w:rFonts w:ascii="Verdana" w:hAnsi="Verdana" w:cs="Arial"/>
          <w:sz w:val="18"/>
          <w:szCs w:val="18"/>
        </w:rPr>
        <w:t>dat</w:t>
      </w:r>
      <w:r w:rsidR="006A6FD7">
        <w:rPr>
          <w:rFonts w:ascii="Verdana" w:hAnsi="Verdana"/>
          <w:sz w:val="18"/>
          <w:szCs w:val="18"/>
        </w:rPr>
        <w:t xml:space="preserve"> </w:t>
      </w:r>
      <w:r>
        <w:rPr>
          <w:rFonts w:ascii="Verdana" w:hAnsi="Verdana"/>
          <w:sz w:val="18"/>
          <w:szCs w:val="18"/>
        </w:rPr>
        <w:t xml:space="preserve">de </w:t>
      </w:r>
      <w:r w:rsidR="006A6FD7">
        <w:rPr>
          <w:rFonts w:ascii="Verdana" w:hAnsi="Verdana"/>
          <w:sz w:val="18"/>
          <w:szCs w:val="18"/>
        </w:rPr>
        <w:t xml:space="preserve">organisatie van de </w:t>
      </w:r>
      <w:r>
        <w:rPr>
          <w:rFonts w:ascii="Verdana" w:hAnsi="Verdana"/>
          <w:sz w:val="18"/>
          <w:szCs w:val="18"/>
        </w:rPr>
        <w:t xml:space="preserve">Nederlandse rechtspraak </w:t>
      </w:r>
      <w:r w:rsidR="006A6FD7">
        <w:rPr>
          <w:rFonts w:ascii="Verdana" w:hAnsi="Verdana"/>
          <w:sz w:val="18"/>
          <w:szCs w:val="18"/>
        </w:rPr>
        <w:t>zodanig</w:t>
      </w:r>
      <w:r>
        <w:rPr>
          <w:rFonts w:ascii="Verdana" w:hAnsi="Verdana"/>
          <w:sz w:val="18"/>
          <w:szCs w:val="18"/>
        </w:rPr>
        <w:t xml:space="preserve"> is</w:t>
      </w:r>
      <w:r w:rsidRPr="005C6EF5">
        <w:rPr>
          <w:rFonts w:ascii="Verdana" w:hAnsi="Verdana"/>
          <w:sz w:val="18"/>
          <w:szCs w:val="18"/>
        </w:rPr>
        <w:t xml:space="preserve"> ingericht dat </w:t>
      </w:r>
      <w:r>
        <w:rPr>
          <w:rFonts w:ascii="Verdana" w:hAnsi="Verdana"/>
          <w:sz w:val="18"/>
          <w:szCs w:val="18"/>
        </w:rPr>
        <w:t xml:space="preserve">in Nederland </w:t>
      </w:r>
      <w:r w:rsidRPr="005C6EF5">
        <w:rPr>
          <w:rFonts w:ascii="Verdana" w:hAnsi="Verdana"/>
          <w:sz w:val="18"/>
          <w:szCs w:val="18"/>
        </w:rPr>
        <w:t xml:space="preserve">ook </w:t>
      </w:r>
      <w:r>
        <w:rPr>
          <w:rFonts w:ascii="Verdana" w:hAnsi="Verdana"/>
          <w:sz w:val="18"/>
          <w:szCs w:val="18"/>
        </w:rPr>
        <w:t>ten aanzien van de</w:t>
      </w:r>
      <w:r w:rsidRPr="005C6EF5">
        <w:rPr>
          <w:rFonts w:ascii="Verdana" w:hAnsi="Verdana"/>
          <w:sz w:val="18"/>
          <w:szCs w:val="18"/>
        </w:rPr>
        <w:t xml:space="preserve"> rechtsgebieden</w:t>
      </w:r>
      <w:r>
        <w:rPr>
          <w:rFonts w:ascii="Verdana" w:hAnsi="Verdana"/>
          <w:sz w:val="18"/>
          <w:szCs w:val="18"/>
        </w:rPr>
        <w:t xml:space="preserve"> die buiten de reikwijdte van </w:t>
      </w:r>
      <w:r w:rsidR="008C197C">
        <w:rPr>
          <w:rFonts w:ascii="Verdana" w:hAnsi="Verdana"/>
          <w:sz w:val="18"/>
          <w:szCs w:val="18"/>
        </w:rPr>
        <w:t>de verdragsbepalingen</w:t>
      </w:r>
      <w:r>
        <w:rPr>
          <w:rFonts w:ascii="Verdana" w:hAnsi="Verdana"/>
          <w:sz w:val="18"/>
          <w:szCs w:val="18"/>
        </w:rPr>
        <w:t xml:space="preserve"> vallen</w:t>
      </w:r>
      <w:r w:rsidR="006A6FD7">
        <w:rPr>
          <w:rFonts w:ascii="Verdana" w:hAnsi="Verdana"/>
          <w:sz w:val="18"/>
          <w:szCs w:val="18"/>
        </w:rPr>
        <w:t xml:space="preserve"> nu reeds</w:t>
      </w:r>
      <w:r w:rsidRPr="005C6EF5">
        <w:rPr>
          <w:rFonts w:ascii="Verdana" w:hAnsi="Verdana"/>
          <w:sz w:val="18"/>
          <w:szCs w:val="18"/>
        </w:rPr>
        <w:t xml:space="preserve"> toegang tot een rechter bestaat, en een eerlijk proces is gewaarborgd.</w:t>
      </w:r>
      <w:r w:rsidR="00820E3B">
        <w:rPr>
          <w:rStyle w:val="Voetnootmarkering"/>
          <w:rFonts w:ascii="Verdana" w:hAnsi="Verdana"/>
          <w:sz w:val="18"/>
          <w:szCs w:val="18"/>
        </w:rPr>
        <w:footnoteReference w:id="8"/>
      </w:r>
      <w:r w:rsidRPr="005C6EF5">
        <w:rPr>
          <w:rFonts w:ascii="Verdana" w:hAnsi="Verdana"/>
          <w:sz w:val="18"/>
          <w:szCs w:val="18"/>
        </w:rPr>
        <w:t xml:space="preserve"> </w:t>
      </w:r>
      <w:r w:rsidR="008C197C">
        <w:rPr>
          <w:rFonts w:ascii="Verdana" w:hAnsi="Verdana"/>
          <w:sz w:val="18"/>
          <w:szCs w:val="18"/>
        </w:rPr>
        <w:t>Het huidige kabinet bevestigt het bestaan van deze waarborgen in de huidige Nederlandse wetgeving en rechtspraktijk</w:t>
      </w:r>
      <w:r>
        <w:rPr>
          <w:rFonts w:ascii="Verdana" w:hAnsi="Verdana"/>
          <w:sz w:val="18"/>
          <w:szCs w:val="18"/>
        </w:rPr>
        <w:t xml:space="preserve">. </w:t>
      </w:r>
      <w:r w:rsidR="00985F6C">
        <w:rPr>
          <w:rFonts w:ascii="Verdana" w:hAnsi="Verdana"/>
          <w:sz w:val="18"/>
          <w:szCs w:val="18"/>
        </w:rPr>
        <w:t>In aanvulling daarop stelt</w:t>
      </w:r>
      <w:r w:rsidR="006A6FD7">
        <w:rPr>
          <w:rFonts w:ascii="Verdana" w:hAnsi="Verdana"/>
          <w:sz w:val="18"/>
          <w:szCs w:val="18"/>
        </w:rPr>
        <w:t xml:space="preserve"> het kabinet, mede in reactie op het debat</w:t>
      </w:r>
      <w:r w:rsidR="001A4C3D">
        <w:rPr>
          <w:rFonts w:ascii="Verdana" w:hAnsi="Verdana" w:cs="Arial"/>
          <w:sz w:val="18"/>
          <w:szCs w:val="18"/>
        </w:rPr>
        <w:t xml:space="preserve"> met de Eerste Kamer</w:t>
      </w:r>
      <w:r w:rsidR="00985F6C">
        <w:rPr>
          <w:rFonts w:ascii="Verdana" w:hAnsi="Verdana" w:cs="Arial"/>
          <w:sz w:val="18"/>
          <w:szCs w:val="18"/>
        </w:rPr>
        <w:t xml:space="preserve"> en de aangenomen motie</w:t>
      </w:r>
      <w:r w:rsidR="006A6FD7">
        <w:rPr>
          <w:rFonts w:ascii="Verdana" w:hAnsi="Verdana" w:cs="Arial"/>
          <w:sz w:val="18"/>
          <w:szCs w:val="18"/>
        </w:rPr>
        <w:t xml:space="preserve">, </w:t>
      </w:r>
      <w:r w:rsidR="00985F6C">
        <w:rPr>
          <w:rFonts w:ascii="Verdana" w:hAnsi="Verdana" w:cs="Arial"/>
          <w:sz w:val="18"/>
          <w:szCs w:val="18"/>
        </w:rPr>
        <w:t xml:space="preserve">nu voor om </w:t>
      </w:r>
      <w:r w:rsidR="006A6FD7">
        <w:rPr>
          <w:rFonts w:ascii="Verdana" w:hAnsi="Verdana" w:cs="Arial"/>
          <w:sz w:val="18"/>
          <w:szCs w:val="18"/>
        </w:rPr>
        <w:t xml:space="preserve">dit </w:t>
      </w:r>
      <w:r w:rsidR="001A4C3D">
        <w:rPr>
          <w:rFonts w:ascii="Verdana" w:hAnsi="Verdana" w:cs="Arial"/>
          <w:sz w:val="18"/>
          <w:szCs w:val="18"/>
        </w:rPr>
        <w:t>recht op een eerlijk proces</w:t>
      </w:r>
      <w:r w:rsidR="006A6FD7">
        <w:rPr>
          <w:rFonts w:ascii="Verdana" w:hAnsi="Verdana" w:cs="Arial"/>
          <w:sz w:val="18"/>
          <w:szCs w:val="18"/>
        </w:rPr>
        <w:t xml:space="preserve"> ook op </w:t>
      </w:r>
      <w:r>
        <w:rPr>
          <w:rFonts w:ascii="Verdana" w:hAnsi="Verdana" w:cs="Arial"/>
          <w:sz w:val="18"/>
          <w:szCs w:val="18"/>
        </w:rPr>
        <w:t>grondwettelijk niveau te verankeren</w:t>
      </w:r>
      <w:r w:rsidR="001A4C3D">
        <w:rPr>
          <w:rFonts w:ascii="Verdana" w:hAnsi="Verdana" w:cs="Arial"/>
          <w:sz w:val="18"/>
          <w:szCs w:val="18"/>
        </w:rPr>
        <w:t>.</w:t>
      </w:r>
    </w:p>
    <w:p w:rsidR="00B4620A" w:rsidRPr="0090316B" w:rsidRDefault="00B4620A" w:rsidP="004F74E5">
      <w:pPr>
        <w:pStyle w:val="Geenafstand"/>
        <w:spacing w:line="280" w:lineRule="atLeast"/>
        <w:rPr>
          <w:rFonts w:ascii="Verdana" w:hAnsi="Verdana"/>
          <w:sz w:val="18"/>
          <w:szCs w:val="18"/>
        </w:rPr>
      </w:pPr>
    </w:p>
    <w:p w:rsidR="00B900EE" w:rsidRPr="004F74E5" w:rsidRDefault="004F74E5" w:rsidP="004F74E5">
      <w:pPr>
        <w:pStyle w:val="Lijstalinea"/>
        <w:numPr>
          <w:ilvl w:val="1"/>
          <w:numId w:val="24"/>
        </w:numPr>
        <w:shd w:val="clear" w:color="auto" w:fill="FFFFFF"/>
        <w:tabs>
          <w:tab w:val="left" w:pos="300"/>
        </w:tabs>
        <w:spacing w:line="280" w:lineRule="atLeast"/>
        <w:rPr>
          <w:rFonts w:ascii="Verdana" w:hAnsi="Verdana"/>
          <w:color w:val="000000"/>
          <w:sz w:val="18"/>
          <w:szCs w:val="18"/>
        </w:rPr>
      </w:pPr>
      <w:r>
        <w:rPr>
          <w:rFonts w:ascii="Verdana" w:hAnsi="Verdana"/>
          <w:color w:val="000000"/>
          <w:sz w:val="18"/>
          <w:szCs w:val="18"/>
        </w:rPr>
        <w:t xml:space="preserve"> </w:t>
      </w:r>
      <w:r>
        <w:rPr>
          <w:rFonts w:ascii="Verdana" w:hAnsi="Verdana"/>
          <w:color w:val="000000"/>
          <w:sz w:val="18"/>
          <w:szCs w:val="18"/>
        </w:rPr>
        <w:tab/>
      </w:r>
      <w:r w:rsidR="002B38CF" w:rsidRPr="004F74E5">
        <w:rPr>
          <w:rFonts w:ascii="Verdana" w:hAnsi="Verdana"/>
          <w:color w:val="000000"/>
          <w:sz w:val="18"/>
          <w:szCs w:val="18"/>
        </w:rPr>
        <w:t>Doelstelling</w:t>
      </w:r>
    </w:p>
    <w:p w:rsidR="00B900EE" w:rsidRDefault="00B900EE" w:rsidP="00284432">
      <w:pPr>
        <w:spacing w:after="0" w:line="280" w:lineRule="atLeast"/>
        <w:rPr>
          <w:rFonts w:ascii="Verdana" w:hAnsi="Verdana"/>
          <w:sz w:val="18"/>
          <w:szCs w:val="18"/>
        </w:rPr>
      </w:pPr>
      <w:r>
        <w:rPr>
          <w:rFonts w:ascii="Verdana" w:hAnsi="Verdana"/>
          <w:sz w:val="18"/>
          <w:szCs w:val="18"/>
        </w:rPr>
        <w:t>H</w:t>
      </w:r>
      <w:r w:rsidR="003C7913" w:rsidRPr="00336868">
        <w:rPr>
          <w:rFonts w:ascii="Verdana" w:hAnsi="Verdana"/>
          <w:sz w:val="18"/>
          <w:szCs w:val="18"/>
        </w:rPr>
        <w:t xml:space="preserve">et recht op een eerlijk proces voor een onafhankelijke en onpartijdige rechter </w:t>
      </w:r>
      <w:r w:rsidR="00480B6F" w:rsidRPr="00336868">
        <w:rPr>
          <w:rFonts w:ascii="Verdana" w:hAnsi="Verdana"/>
          <w:sz w:val="18"/>
          <w:szCs w:val="18"/>
        </w:rPr>
        <w:t>is van fun</w:t>
      </w:r>
      <w:r w:rsidR="00042C8F" w:rsidRPr="00336868">
        <w:rPr>
          <w:rFonts w:ascii="Verdana" w:hAnsi="Verdana"/>
          <w:sz w:val="18"/>
          <w:szCs w:val="18"/>
        </w:rPr>
        <w:t>d</w:t>
      </w:r>
      <w:r w:rsidR="00480B6F" w:rsidRPr="00336868">
        <w:rPr>
          <w:rFonts w:ascii="Verdana" w:hAnsi="Verdana"/>
          <w:sz w:val="18"/>
          <w:szCs w:val="18"/>
        </w:rPr>
        <w:t>ame</w:t>
      </w:r>
      <w:r w:rsidR="00042C8F" w:rsidRPr="00336868">
        <w:rPr>
          <w:rFonts w:ascii="Verdana" w:hAnsi="Verdana"/>
          <w:sz w:val="18"/>
          <w:szCs w:val="18"/>
        </w:rPr>
        <w:t>nteel</w:t>
      </w:r>
      <w:r w:rsidR="00480B6F" w:rsidRPr="00336868">
        <w:rPr>
          <w:rFonts w:ascii="Verdana" w:hAnsi="Verdana"/>
          <w:sz w:val="18"/>
          <w:szCs w:val="18"/>
        </w:rPr>
        <w:t xml:space="preserve"> belang in e</w:t>
      </w:r>
      <w:r w:rsidR="00042C8F" w:rsidRPr="00336868">
        <w:rPr>
          <w:rFonts w:ascii="Verdana" w:hAnsi="Verdana"/>
          <w:sz w:val="18"/>
          <w:szCs w:val="18"/>
        </w:rPr>
        <w:t>e</w:t>
      </w:r>
      <w:r w:rsidR="00480B6F" w:rsidRPr="00336868">
        <w:rPr>
          <w:rFonts w:ascii="Verdana" w:hAnsi="Verdana"/>
          <w:sz w:val="18"/>
          <w:szCs w:val="18"/>
        </w:rPr>
        <w:t>n democrat</w:t>
      </w:r>
      <w:r w:rsidR="00042C8F" w:rsidRPr="00336868">
        <w:rPr>
          <w:rFonts w:ascii="Verdana" w:hAnsi="Verdana"/>
          <w:sz w:val="18"/>
          <w:szCs w:val="18"/>
        </w:rPr>
        <w:t xml:space="preserve">ische </w:t>
      </w:r>
      <w:r w:rsidR="00480B6F" w:rsidRPr="00336868">
        <w:rPr>
          <w:rFonts w:ascii="Verdana" w:hAnsi="Verdana"/>
          <w:sz w:val="18"/>
          <w:szCs w:val="18"/>
        </w:rPr>
        <w:t>recht</w:t>
      </w:r>
      <w:r w:rsidR="00042C8F" w:rsidRPr="00336868">
        <w:rPr>
          <w:rFonts w:ascii="Verdana" w:hAnsi="Verdana"/>
          <w:sz w:val="18"/>
          <w:szCs w:val="18"/>
        </w:rPr>
        <w:t>s</w:t>
      </w:r>
      <w:r w:rsidR="00480B6F" w:rsidRPr="00336868">
        <w:rPr>
          <w:rFonts w:ascii="Verdana" w:hAnsi="Verdana"/>
          <w:sz w:val="18"/>
          <w:szCs w:val="18"/>
        </w:rPr>
        <w:t xml:space="preserve">staat. </w:t>
      </w:r>
      <w:r w:rsidR="00AE174E">
        <w:rPr>
          <w:rFonts w:ascii="Verdana" w:hAnsi="Verdana"/>
          <w:sz w:val="18"/>
          <w:szCs w:val="18"/>
        </w:rPr>
        <w:t>De rechter biedt rechtsb</w:t>
      </w:r>
      <w:r w:rsidR="00BA485C">
        <w:rPr>
          <w:rFonts w:ascii="Verdana" w:hAnsi="Verdana"/>
          <w:sz w:val="18"/>
          <w:szCs w:val="18"/>
        </w:rPr>
        <w:t xml:space="preserve">escherming in geschillen </w:t>
      </w:r>
      <w:r w:rsidR="00AE174E">
        <w:rPr>
          <w:rFonts w:ascii="Verdana" w:hAnsi="Verdana"/>
          <w:sz w:val="18"/>
          <w:szCs w:val="18"/>
        </w:rPr>
        <w:t xml:space="preserve">tussen burgers en </w:t>
      </w:r>
      <w:r w:rsidR="00BA485C">
        <w:rPr>
          <w:rFonts w:ascii="Verdana" w:hAnsi="Verdana"/>
          <w:sz w:val="18"/>
          <w:szCs w:val="18"/>
        </w:rPr>
        <w:t xml:space="preserve">de </w:t>
      </w:r>
      <w:r w:rsidR="00AE174E">
        <w:rPr>
          <w:rFonts w:ascii="Verdana" w:hAnsi="Verdana"/>
          <w:sz w:val="18"/>
          <w:szCs w:val="18"/>
        </w:rPr>
        <w:t xml:space="preserve">overheid en tussen burgers onderling. </w:t>
      </w:r>
      <w:r w:rsidR="00480B6F" w:rsidRPr="00336868">
        <w:rPr>
          <w:rFonts w:ascii="Verdana" w:hAnsi="Verdana"/>
          <w:sz w:val="18"/>
          <w:szCs w:val="18"/>
        </w:rPr>
        <w:t xml:space="preserve">Dit voorstel </w:t>
      </w:r>
      <w:r w:rsidR="00A27695" w:rsidRPr="00336868">
        <w:rPr>
          <w:rFonts w:ascii="Verdana" w:hAnsi="Verdana"/>
          <w:sz w:val="18"/>
          <w:szCs w:val="18"/>
        </w:rPr>
        <w:t xml:space="preserve">strekt ertoe </w:t>
      </w:r>
      <w:r w:rsidR="00D33717">
        <w:rPr>
          <w:rFonts w:ascii="Verdana" w:hAnsi="Verdana"/>
          <w:sz w:val="18"/>
          <w:szCs w:val="18"/>
        </w:rPr>
        <w:t>het</w:t>
      </w:r>
      <w:r w:rsidR="00480B6F" w:rsidRPr="00336868">
        <w:rPr>
          <w:rFonts w:ascii="Verdana" w:hAnsi="Verdana"/>
          <w:sz w:val="18"/>
          <w:szCs w:val="18"/>
        </w:rPr>
        <w:t xml:space="preserve"> recht </w:t>
      </w:r>
      <w:r w:rsidR="00FC5C40">
        <w:rPr>
          <w:rFonts w:ascii="Verdana" w:hAnsi="Verdana"/>
          <w:sz w:val="18"/>
          <w:szCs w:val="18"/>
        </w:rPr>
        <w:t xml:space="preserve">op </w:t>
      </w:r>
      <w:r w:rsidR="00D33717">
        <w:rPr>
          <w:rFonts w:ascii="Verdana" w:hAnsi="Verdana"/>
          <w:sz w:val="18"/>
          <w:szCs w:val="18"/>
        </w:rPr>
        <w:t xml:space="preserve">een eerlijk proces voor een onafhankelijke en onpartijdige rechter binnen een redelijke termijn </w:t>
      </w:r>
      <w:r w:rsidR="00480B6F" w:rsidRPr="00336868">
        <w:rPr>
          <w:rFonts w:ascii="Verdana" w:hAnsi="Verdana"/>
          <w:sz w:val="18"/>
          <w:szCs w:val="18"/>
        </w:rPr>
        <w:t xml:space="preserve">op te nemen in de </w:t>
      </w:r>
      <w:r w:rsidR="003C7913" w:rsidRPr="00336868">
        <w:rPr>
          <w:rFonts w:ascii="Verdana" w:hAnsi="Verdana"/>
          <w:sz w:val="18"/>
          <w:szCs w:val="18"/>
        </w:rPr>
        <w:t>Grondwet</w:t>
      </w:r>
      <w:r w:rsidR="00306A73">
        <w:rPr>
          <w:rFonts w:ascii="Verdana" w:hAnsi="Verdana"/>
          <w:sz w:val="18"/>
          <w:szCs w:val="18"/>
        </w:rPr>
        <w:t>, alsmede het daaraan inherente recht op toegang tot de rechter te waarborgen</w:t>
      </w:r>
      <w:r w:rsidR="00042C8F" w:rsidRPr="00336868">
        <w:rPr>
          <w:rFonts w:ascii="Verdana" w:hAnsi="Verdana"/>
          <w:sz w:val="18"/>
          <w:szCs w:val="18"/>
        </w:rPr>
        <w:t xml:space="preserve"> en aldus </w:t>
      </w:r>
      <w:r w:rsidR="00042C8F" w:rsidRPr="00336868">
        <w:rPr>
          <w:rFonts w:ascii="Verdana" w:hAnsi="Verdana" w:cs="Arial"/>
          <w:sz w:val="18"/>
          <w:szCs w:val="18"/>
        </w:rPr>
        <w:t>de individuele rechtsbeschermin</w:t>
      </w:r>
      <w:r w:rsidR="00D33717">
        <w:rPr>
          <w:rFonts w:ascii="Verdana" w:hAnsi="Verdana" w:cs="Arial"/>
          <w:sz w:val="18"/>
          <w:szCs w:val="18"/>
        </w:rPr>
        <w:t>g</w:t>
      </w:r>
      <w:r w:rsidR="00042C8F" w:rsidRPr="00336868">
        <w:rPr>
          <w:rFonts w:ascii="Verdana" w:hAnsi="Verdana" w:cs="Arial"/>
          <w:sz w:val="18"/>
          <w:szCs w:val="18"/>
        </w:rPr>
        <w:t xml:space="preserve"> op grondwettelijk niveau te garanderen.</w:t>
      </w:r>
      <w:r>
        <w:rPr>
          <w:rFonts w:ascii="Verdana" w:hAnsi="Verdana" w:cs="Arial"/>
          <w:sz w:val="18"/>
          <w:szCs w:val="18"/>
        </w:rPr>
        <w:t xml:space="preserve"> </w:t>
      </w:r>
      <w:r w:rsidR="00042C8F" w:rsidRPr="00336868">
        <w:rPr>
          <w:rFonts w:ascii="Verdana" w:hAnsi="Verdana" w:cs="Arial"/>
          <w:sz w:val="18"/>
          <w:szCs w:val="18"/>
        </w:rPr>
        <w:t>Een dergelijk algemeen recht</w:t>
      </w:r>
      <w:r w:rsidR="00BA485C">
        <w:rPr>
          <w:rFonts w:ascii="Verdana" w:hAnsi="Verdana" w:cs="Arial"/>
          <w:sz w:val="18"/>
          <w:szCs w:val="18"/>
        </w:rPr>
        <w:t xml:space="preserve"> </w:t>
      </w:r>
      <w:r w:rsidR="00042C8F" w:rsidRPr="00336868">
        <w:rPr>
          <w:rFonts w:ascii="Verdana" w:hAnsi="Verdana" w:cs="Arial"/>
          <w:sz w:val="18"/>
          <w:szCs w:val="18"/>
        </w:rPr>
        <w:t>is niet in onze Grondwet gewaarborgd</w:t>
      </w:r>
      <w:r w:rsidR="009D6BC5">
        <w:rPr>
          <w:rFonts w:ascii="Verdana" w:hAnsi="Verdana" w:cs="Arial"/>
          <w:sz w:val="18"/>
          <w:szCs w:val="18"/>
        </w:rPr>
        <w:t>.</w:t>
      </w:r>
      <w:r w:rsidR="00551981" w:rsidRPr="00336868">
        <w:rPr>
          <w:rFonts w:ascii="Verdana" w:hAnsi="Verdana" w:cs="Arial"/>
          <w:sz w:val="18"/>
          <w:szCs w:val="18"/>
        </w:rPr>
        <w:t xml:space="preserve"> </w:t>
      </w:r>
      <w:r w:rsidR="009D6BC5">
        <w:rPr>
          <w:rFonts w:ascii="Verdana" w:hAnsi="Verdana" w:cs="Arial"/>
          <w:sz w:val="18"/>
          <w:szCs w:val="18"/>
        </w:rPr>
        <w:t>D</w:t>
      </w:r>
      <w:r w:rsidR="00551981" w:rsidRPr="00336868">
        <w:rPr>
          <w:rFonts w:ascii="Verdana" w:hAnsi="Verdana" w:cs="Arial"/>
          <w:sz w:val="18"/>
          <w:szCs w:val="18"/>
        </w:rPr>
        <w:t xml:space="preserve">e Grondwet </w:t>
      </w:r>
      <w:r w:rsidR="00551981" w:rsidRPr="00336868">
        <w:rPr>
          <w:rFonts w:ascii="Verdana" w:hAnsi="Verdana" w:cs="Arial"/>
          <w:sz w:val="18"/>
          <w:szCs w:val="18"/>
        </w:rPr>
        <w:lastRenderedPageBreak/>
        <w:t xml:space="preserve">beschermt slechts </w:t>
      </w:r>
      <w:r w:rsidR="00F47F94">
        <w:rPr>
          <w:rFonts w:ascii="Verdana" w:hAnsi="Verdana" w:cs="Arial"/>
          <w:sz w:val="18"/>
          <w:szCs w:val="18"/>
        </w:rPr>
        <w:t xml:space="preserve">- </w:t>
      </w:r>
      <w:r w:rsidR="00042C8F" w:rsidRPr="00336868">
        <w:rPr>
          <w:rFonts w:ascii="Verdana" w:hAnsi="Verdana" w:cs="Arial"/>
          <w:sz w:val="18"/>
          <w:szCs w:val="18"/>
        </w:rPr>
        <w:t xml:space="preserve">versnipperd - elementen van het recht op een eerlijk proces. </w:t>
      </w:r>
      <w:r w:rsidR="0081445C" w:rsidRPr="00336868">
        <w:rPr>
          <w:rFonts w:ascii="Verdana" w:hAnsi="Verdana" w:cs="Arial"/>
          <w:sz w:val="18"/>
          <w:szCs w:val="18"/>
        </w:rPr>
        <w:t>Daarnaast wordt genoemd recht</w:t>
      </w:r>
      <w:r w:rsidR="00551981" w:rsidRPr="00336868">
        <w:rPr>
          <w:rFonts w:ascii="Verdana" w:hAnsi="Verdana" w:cs="Arial"/>
          <w:sz w:val="18"/>
          <w:szCs w:val="18"/>
        </w:rPr>
        <w:t xml:space="preserve"> </w:t>
      </w:r>
      <w:r w:rsidR="0081445C" w:rsidRPr="00336868">
        <w:rPr>
          <w:rFonts w:ascii="Verdana" w:hAnsi="Verdana" w:cs="Arial"/>
          <w:sz w:val="18"/>
          <w:szCs w:val="18"/>
        </w:rPr>
        <w:t xml:space="preserve">beschermd in </w:t>
      </w:r>
      <w:r w:rsidR="00042C8F" w:rsidRPr="00336868">
        <w:rPr>
          <w:rFonts w:ascii="Verdana" w:hAnsi="Verdana" w:cs="Arial"/>
          <w:sz w:val="18"/>
          <w:szCs w:val="18"/>
        </w:rPr>
        <w:t xml:space="preserve">artikel 6 </w:t>
      </w:r>
      <w:r w:rsidR="0081445C" w:rsidRPr="00336868">
        <w:rPr>
          <w:rFonts w:ascii="Verdana" w:hAnsi="Verdana" w:cs="Arial"/>
          <w:sz w:val="18"/>
          <w:szCs w:val="18"/>
        </w:rPr>
        <w:t xml:space="preserve">van het Europees </w:t>
      </w:r>
      <w:r w:rsidR="009D6BC5">
        <w:rPr>
          <w:rFonts w:ascii="Verdana" w:hAnsi="Verdana" w:cs="Arial"/>
          <w:sz w:val="18"/>
          <w:szCs w:val="18"/>
        </w:rPr>
        <w:t>V</w:t>
      </w:r>
      <w:r w:rsidR="0081445C" w:rsidRPr="00336868">
        <w:rPr>
          <w:rFonts w:ascii="Verdana" w:hAnsi="Verdana" w:cs="Arial"/>
          <w:sz w:val="18"/>
          <w:szCs w:val="18"/>
        </w:rPr>
        <w:t>erdrag tot bescherming van de rechten van de mens en fundamentele vrijheden (</w:t>
      </w:r>
      <w:r w:rsidR="00042C8F" w:rsidRPr="00336868">
        <w:rPr>
          <w:rFonts w:ascii="Verdana" w:hAnsi="Verdana" w:cs="Arial"/>
          <w:sz w:val="18"/>
          <w:szCs w:val="18"/>
        </w:rPr>
        <w:t>EVRM</w:t>
      </w:r>
      <w:r w:rsidR="0081445C" w:rsidRPr="00336868">
        <w:rPr>
          <w:rFonts w:ascii="Verdana" w:hAnsi="Verdana" w:cs="Arial"/>
          <w:sz w:val="18"/>
          <w:szCs w:val="18"/>
        </w:rPr>
        <w:t>)</w:t>
      </w:r>
      <w:r w:rsidR="00280B79">
        <w:rPr>
          <w:rFonts w:ascii="Verdana" w:hAnsi="Verdana" w:cs="Arial"/>
          <w:sz w:val="18"/>
          <w:szCs w:val="18"/>
        </w:rPr>
        <w:t>,</w:t>
      </w:r>
      <w:r w:rsidR="0081445C" w:rsidRPr="00336868">
        <w:rPr>
          <w:rFonts w:ascii="Verdana" w:hAnsi="Verdana" w:cs="Arial"/>
          <w:sz w:val="18"/>
          <w:szCs w:val="18"/>
        </w:rPr>
        <w:t xml:space="preserve"> </w:t>
      </w:r>
      <w:r w:rsidR="00280B79">
        <w:rPr>
          <w:rFonts w:ascii="Verdana" w:hAnsi="Verdana" w:cs="Arial"/>
          <w:sz w:val="18"/>
          <w:szCs w:val="18"/>
        </w:rPr>
        <w:t>artikel 14 van het Internationaal Verdrag inzake Burgerrechten en Politieke rechten (IVBPR)</w:t>
      </w:r>
      <w:r w:rsidR="00280B79" w:rsidRPr="00336868">
        <w:rPr>
          <w:rFonts w:ascii="Verdana" w:hAnsi="Verdana" w:cs="Arial"/>
          <w:sz w:val="18"/>
          <w:szCs w:val="18"/>
        </w:rPr>
        <w:t xml:space="preserve"> </w:t>
      </w:r>
      <w:r w:rsidR="0081445C" w:rsidRPr="00336868">
        <w:rPr>
          <w:rFonts w:ascii="Verdana" w:hAnsi="Verdana" w:cs="Arial"/>
          <w:sz w:val="18"/>
          <w:szCs w:val="18"/>
        </w:rPr>
        <w:t xml:space="preserve">en </w:t>
      </w:r>
      <w:r w:rsidR="00BA485C">
        <w:rPr>
          <w:rFonts w:ascii="Verdana" w:hAnsi="Verdana" w:cs="Arial"/>
          <w:sz w:val="18"/>
          <w:szCs w:val="18"/>
        </w:rPr>
        <w:t xml:space="preserve">de </w:t>
      </w:r>
      <w:r w:rsidR="00F47F94">
        <w:rPr>
          <w:rFonts w:ascii="Verdana" w:hAnsi="Verdana" w:cs="Arial"/>
          <w:sz w:val="18"/>
          <w:szCs w:val="18"/>
        </w:rPr>
        <w:t>artikel</w:t>
      </w:r>
      <w:r w:rsidR="00BA485C">
        <w:rPr>
          <w:rFonts w:ascii="Verdana" w:hAnsi="Verdana" w:cs="Arial"/>
          <w:sz w:val="18"/>
          <w:szCs w:val="18"/>
        </w:rPr>
        <w:t>en</w:t>
      </w:r>
      <w:r w:rsidR="00F47F94">
        <w:rPr>
          <w:rFonts w:ascii="Verdana" w:hAnsi="Verdana" w:cs="Arial"/>
          <w:sz w:val="18"/>
          <w:szCs w:val="18"/>
        </w:rPr>
        <w:t xml:space="preserve"> 47 </w:t>
      </w:r>
      <w:r w:rsidR="00BA485C">
        <w:rPr>
          <w:rFonts w:ascii="Verdana" w:hAnsi="Verdana" w:cs="Arial"/>
          <w:sz w:val="18"/>
          <w:szCs w:val="18"/>
        </w:rPr>
        <w:t xml:space="preserve">tot en met 50 </w:t>
      </w:r>
      <w:r w:rsidR="00F47F94">
        <w:rPr>
          <w:rFonts w:ascii="Verdana" w:hAnsi="Verdana" w:cs="Arial"/>
          <w:sz w:val="18"/>
          <w:szCs w:val="18"/>
        </w:rPr>
        <w:t>van het H</w:t>
      </w:r>
      <w:r w:rsidR="00042C8F" w:rsidRPr="00336868">
        <w:rPr>
          <w:rFonts w:ascii="Verdana" w:hAnsi="Verdana" w:cs="Arial"/>
          <w:sz w:val="18"/>
          <w:szCs w:val="18"/>
        </w:rPr>
        <w:t xml:space="preserve">andvest </w:t>
      </w:r>
      <w:r w:rsidR="00F47F94">
        <w:rPr>
          <w:rFonts w:ascii="Verdana" w:hAnsi="Verdana" w:cs="Arial"/>
          <w:sz w:val="18"/>
          <w:szCs w:val="18"/>
        </w:rPr>
        <w:t>van</w:t>
      </w:r>
      <w:r w:rsidR="00A27695" w:rsidRPr="00336868">
        <w:rPr>
          <w:rFonts w:ascii="Verdana" w:hAnsi="Verdana" w:cs="Arial"/>
          <w:sz w:val="18"/>
          <w:szCs w:val="18"/>
        </w:rPr>
        <w:t xml:space="preserve"> de grondrechten</w:t>
      </w:r>
      <w:r w:rsidR="00720B32">
        <w:rPr>
          <w:rFonts w:ascii="Verdana" w:hAnsi="Verdana" w:cs="Arial"/>
          <w:sz w:val="18"/>
          <w:szCs w:val="18"/>
        </w:rPr>
        <w:t xml:space="preserve"> </w:t>
      </w:r>
      <w:r w:rsidR="00F47F94">
        <w:rPr>
          <w:rFonts w:ascii="Verdana" w:hAnsi="Verdana" w:cs="Arial"/>
          <w:sz w:val="18"/>
          <w:szCs w:val="18"/>
        </w:rPr>
        <w:t xml:space="preserve">van de Europese Unie </w:t>
      </w:r>
      <w:r w:rsidR="00720B32">
        <w:rPr>
          <w:rFonts w:ascii="Verdana" w:hAnsi="Verdana" w:cs="Arial"/>
          <w:sz w:val="18"/>
          <w:szCs w:val="18"/>
        </w:rPr>
        <w:t>(EU-Handvest)</w:t>
      </w:r>
      <w:r w:rsidR="00701428">
        <w:rPr>
          <w:rFonts w:ascii="Verdana" w:hAnsi="Verdana" w:cs="Arial"/>
          <w:sz w:val="18"/>
          <w:szCs w:val="18"/>
        </w:rPr>
        <w:t>. D</w:t>
      </w:r>
      <w:r w:rsidR="00AE174E">
        <w:rPr>
          <w:rFonts w:ascii="Verdana" w:hAnsi="Verdana" w:cs="Arial"/>
          <w:sz w:val="18"/>
          <w:szCs w:val="18"/>
        </w:rPr>
        <w:t>eze rechten zijn beperkt in reikwijdte</w:t>
      </w:r>
      <w:r w:rsidR="00A15626">
        <w:rPr>
          <w:rFonts w:ascii="Verdana" w:hAnsi="Verdana" w:cs="Arial"/>
          <w:sz w:val="18"/>
          <w:szCs w:val="18"/>
        </w:rPr>
        <w:t>.</w:t>
      </w:r>
      <w:r w:rsidR="00A27695" w:rsidRPr="00336868">
        <w:rPr>
          <w:rFonts w:ascii="Verdana" w:hAnsi="Verdana" w:cs="Arial"/>
          <w:sz w:val="18"/>
          <w:szCs w:val="18"/>
        </w:rPr>
        <w:t xml:space="preserve"> </w:t>
      </w:r>
      <w:r w:rsidR="00A15626">
        <w:rPr>
          <w:rFonts w:ascii="Verdana" w:hAnsi="Verdana" w:cs="Arial"/>
          <w:sz w:val="18"/>
          <w:szCs w:val="18"/>
        </w:rPr>
        <w:t>D</w:t>
      </w:r>
      <w:r w:rsidR="00A27695" w:rsidRPr="00336868">
        <w:rPr>
          <w:rFonts w:ascii="Verdana" w:hAnsi="Verdana" w:cs="Arial"/>
          <w:sz w:val="18"/>
          <w:szCs w:val="18"/>
        </w:rPr>
        <w:t xml:space="preserve">e </w:t>
      </w:r>
      <w:r w:rsidR="003A5823">
        <w:rPr>
          <w:rFonts w:ascii="Verdana" w:hAnsi="Verdana" w:cs="Arial"/>
          <w:sz w:val="18"/>
          <w:szCs w:val="18"/>
        </w:rPr>
        <w:t>bepaling in het EVRM</w:t>
      </w:r>
      <w:r w:rsidR="00BA485C">
        <w:rPr>
          <w:rFonts w:ascii="Verdana" w:hAnsi="Verdana" w:cs="Arial"/>
          <w:sz w:val="18"/>
          <w:szCs w:val="18"/>
        </w:rPr>
        <w:t xml:space="preserve"> </w:t>
      </w:r>
      <w:r w:rsidR="00A15626">
        <w:rPr>
          <w:rFonts w:ascii="Verdana" w:hAnsi="Verdana" w:cs="Arial"/>
          <w:sz w:val="18"/>
          <w:szCs w:val="18"/>
        </w:rPr>
        <w:t>is</w:t>
      </w:r>
      <w:r w:rsidR="00BA485C">
        <w:rPr>
          <w:rFonts w:ascii="Verdana" w:hAnsi="Verdana" w:cs="Arial"/>
          <w:sz w:val="18"/>
          <w:szCs w:val="18"/>
        </w:rPr>
        <w:t xml:space="preserve"> slechts </w:t>
      </w:r>
      <w:r w:rsidR="00A15626">
        <w:rPr>
          <w:rFonts w:ascii="Verdana" w:hAnsi="Verdana" w:cs="Arial"/>
          <w:sz w:val="18"/>
          <w:szCs w:val="18"/>
        </w:rPr>
        <w:t xml:space="preserve">van toepassing </w:t>
      </w:r>
      <w:r w:rsidR="00BA485C">
        <w:rPr>
          <w:rFonts w:ascii="Verdana" w:hAnsi="Verdana" w:cs="Arial"/>
          <w:sz w:val="18"/>
          <w:szCs w:val="18"/>
        </w:rPr>
        <w:t xml:space="preserve">op </w:t>
      </w:r>
      <w:r w:rsidR="00A27695" w:rsidRPr="00336868">
        <w:rPr>
          <w:rFonts w:ascii="Verdana" w:hAnsi="Verdana" w:cs="Arial"/>
          <w:sz w:val="18"/>
          <w:szCs w:val="18"/>
        </w:rPr>
        <w:t xml:space="preserve">burgerlijke </w:t>
      </w:r>
      <w:r w:rsidR="00BA485C">
        <w:rPr>
          <w:rFonts w:ascii="Verdana" w:hAnsi="Verdana" w:cs="Arial"/>
          <w:sz w:val="18"/>
          <w:szCs w:val="18"/>
        </w:rPr>
        <w:t xml:space="preserve">rechten en verplichtingen </w:t>
      </w:r>
      <w:r w:rsidR="00A27695" w:rsidRPr="00336868">
        <w:rPr>
          <w:rFonts w:ascii="Verdana" w:hAnsi="Verdana" w:cs="Arial"/>
          <w:sz w:val="18"/>
          <w:szCs w:val="18"/>
        </w:rPr>
        <w:t>en strafzaken</w:t>
      </w:r>
      <w:r w:rsidR="003161AF">
        <w:rPr>
          <w:rFonts w:ascii="Verdana" w:hAnsi="Verdana" w:cs="Arial"/>
          <w:sz w:val="18"/>
          <w:szCs w:val="18"/>
        </w:rPr>
        <w:t xml:space="preserve">. </w:t>
      </w:r>
      <w:r w:rsidR="00A15626">
        <w:rPr>
          <w:rFonts w:ascii="Verdana" w:hAnsi="Verdana" w:cs="Arial"/>
          <w:sz w:val="18"/>
          <w:szCs w:val="18"/>
        </w:rPr>
        <w:t xml:space="preserve">Hieronder vallen </w:t>
      </w:r>
      <w:r w:rsidR="00BE71E0">
        <w:rPr>
          <w:rFonts w:ascii="Verdana" w:hAnsi="Verdana" w:cs="Arial"/>
          <w:sz w:val="18"/>
          <w:szCs w:val="18"/>
        </w:rPr>
        <w:t xml:space="preserve">ook </w:t>
      </w:r>
      <w:r w:rsidR="00A15626">
        <w:rPr>
          <w:rFonts w:ascii="Verdana" w:hAnsi="Verdana" w:cs="Arial"/>
          <w:sz w:val="18"/>
          <w:szCs w:val="18"/>
        </w:rPr>
        <w:t xml:space="preserve">zaken die naar nationaal recht tot het bestuursrecht behoren, maar niet alle. </w:t>
      </w:r>
      <w:r w:rsidR="003161AF">
        <w:rPr>
          <w:rFonts w:ascii="Verdana" w:hAnsi="Verdana" w:cs="Arial"/>
          <w:sz w:val="18"/>
          <w:szCs w:val="18"/>
        </w:rPr>
        <w:t>D</w:t>
      </w:r>
      <w:r w:rsidR="007E65EA" w:rsidRPr="00336868">
        <w:rPr>
          <w:rFonts w:ascii="Verdana" w:hAnsi="Verdana" w:cs="Arial"/>
          <w:sz w:val="18"/>
          <w:szCs w:val="18"/>
        </w:rPr>
        <w:t xml:space="preserve">e ook voor andere rechtsterreinen geldende </w:t>
      </w:r>
      <w:r w:rsidR="003A5823">
        <w:rPr>
          <w:rFonts w:ascii="Verdana" w:hAnsi="Verdana" w:cs="Arial"/>
          <w:sz w:val="18"/>
          <w:szCs w:val="18"/>
        </w:rPr>
        <w:t>bepaling</w:t>
      </w:r>
      <w:r w:rsidR="00BA485C">
        <w:rPr>
          <w:rFonts w:ascii="Verdana" w:hAnsi="Verdana" w:cs="Arial"/>
          <w:sz w:val="18"/>
          <w:szCs w:val="18"/>
        </w:rPr>
        <w:t>en</w:t>
      </w:r>
      <w:r w:rsidR="003A5823">
        <w:rPr>
          <w:rFonts w:ascii="Verdana" w:hAnsi="Verdana" w:cs="Arial"/>
          <w:sz w:val="18"/>
          <w:szCs w:val="18"/>
        </w:rPr>
        <w:t xml:space="preserve"> in het </w:t>
      </w:r>
      <w:r w:rsidR="00720B32">
        <w:rPr>
          <w:rFonts w:ascii="Verdana" w:hAnsi="Verdana" w:cs="Arial"/>
          <w:sz w:val="18"/>
          <w:szCs w:val="18"/>
        </w:rPr>
        <w:t>EU-</w:t>
      </w:r>
      <w:r w:rsidR="003A5823">
        <w:rPr>
          <w:rFonts w:ascii="Verdana" w:hAnsi="Verdana" w:cs="Arial"/>
          <w:sz w:val="18"/>
          <w:szCs w:val="18"/>
        </w:rPr>
        <w:t>Handvest</w:t>
      </w:r>
      <w:r w:rsidR="00BA485C">
        <w:rPr>
          <w:rFonts w:ascii="Verdana" w:hAnsi="Verdana" w:cs="Arial"/>
          <w:sz w:val="18"/>
          <w:szCs w:val="18"/>
        </w:rPr>
        <w:t xml:space="preserve"> zijn</w:t>
      </w:r>
      <w:r w:rsidR="007E65EA" w:rsidRPr="00336868">
        <w:rPr>
          <w:rFonts w:ascii="Verdana" w:hAnsi="Verdana" w:cs="Arial"/>
          <w:sz w:val="18"/>
          <w:szCs w:val="18"/>
        </w:rPr>
        <w:t xml:space="preserve"> </w:t>
      </w:r>
      <w:r w:rsidR="00AE174E">
        <w:rPr>
          <w:rFonts w:ascii="Verdana" w:hAnsi="Verdana" w:cs="Arial"/>
          <w:sz w:val="18"/>
          <w:szCs w:val="18"/>
        </w:rPr>
        <w:t>gelet op artikel 51 EU-Handvest rechtens slechts relevant</w:t>
      </w:r>
      <w:r w:rsidR="007E65EA" w:rsidRPr="00336868">
        <w:rPr>
          <w:rFonts w:ascii="Verdana" w:hAnsi="Verdana" w:cs="Arial"/>
          <w:sz w:val="18"/>
          <w:szCs w:val="18"/>
        </w:rPr>
        <w:t xml:space="preserve"> voor </w:t>
      </w:r>
      <w:r w:rsidR="00042C8F" w:rsidRPr="00336868">
        <w:rPr>
          <w:rFonts w:ascii="Verdana" w:hAnsi="Verdana" w:cs="Arial"/>
          <w:sz w:val="18"/>
          <w:szCs w:val="18"/>
        </w:rPr>
        <w:t xml:space="preserve">zover </w:t>
      </w:r>
      <w:r w:rsidR="00521D72">
        <w:rPr>
          <w:rFonts w:ascii="Verdana" w:hAnsi="Verdana" w:cs="Arial"/>
          <w:sz w:val="18"/>
          <w:szCs w:val="18"/>
        </w:rPr>
        <w:t xml:space="preserve">(toepassing van) </w:t>
      </w:r>
      <w:r w:rsidR="00042C8F" w:rsidRPr="00336868">
        <w:rPr>
          <w:rFonts w:ascii="Verdana" w:hAnsi="Verdana" w:cs="Arial"/>
          <w:sz w:val="18"/>
          <w:szCs w:val="18"/>
        </w:rPr>
        <w:t xml:space="preserve">het Unierecht </w:t>
      </w:r>
      <w:r w:rsidR="007E65EA" w:rsidRPr="00336868">
        <w:rPr>
          <w:rFonts w:ascii="Verdana" w:hAnsi="Verdana" w:cs="Arial"/>
          <w:sz w:val="18"/>
          <w:szCs w:val="18"/>
        </w:rPr>
        <w:t>in het geding is</w:t>
      </w:r>
      <w:r w:rsidR="00F92C86" w:rsidRPr="00336868">
        <w:rPr>
          <w:rFonts w:ascii="Verdana" w:hAnsi="Verdana" w:cs="Arial"/>
          <w:sz w:val="18"/>
          <w:szCs w:val="18"/>
        </w:rPr>
        <w:t>.</w:t>
      </w:r>
      <w:r w:rsidR="00793C78">
        <w:rPr>
          <w:rStyle w:val="Voetnootmarkering"/>
          <w:rFonts w:ascii="Verdana" w:hAnsi="Verdana" w:cs="Arial"/>
          <w:sz w:val="18"/>
          <w:szCs w:val="18"/>
        </w:rPr>
        <w:footnoteReference w:id="9"/>
      </w:r>
      <w:r w:rsidR="00F92C86" w:rsidRPr="00336868">
        <w:rPr>
          <w:rFonts w:ascii="Verdana" w:hAnsi="Verdana" w:cs="Arial"/>
          <w:sz w:val="18"/>
          <w:szCs w:val="18"/>
        </w:rPr>
        <w:t xml:space="preserve"> </w:t>
      </w:r>
      <w:r w:rsidR="00D95468">
        <w:rPr>
          <w:rFonts w:ascii="Verdana" w:hAnsi="Verdana" w:cs="Arial"/>
          <w:sz w:val="18"/>
          <w:szCs w:val="18"/>
        </w:rPr>
        <w:t xml:space="preserve">Er is dus een lacune in de waarborg van rechtsbescherming van individuele burgers en rechtspersonen in de verdragsbepalingen. </w:t>
      </w:r>
      <w:r w:rsidR="00BE71E0">
        <w:rPr>
          <w:rFonts w:ascii="Verdana" w:hAnsi="Verdana" w:cs="Arial"/>
          <w:sz w:val="18"/>
          <w:szCs w:val="18"/>
        </w:rPr>
        <w:t>Hoewel het recht op een eerlijk proces stevig verankerd is in de Nederlandse wetgeving en de rechtspraktijk</w:t>
      </w:r>
      <w:r w:rsidR="00D95468">
        <w:rPr>
          <w:rFonts w:ascii="Verdana" w:hAnsi="Verdana" w:cs="Arial"/>
          <w:sz w:val="18"/>
          <w:szCs w:val="18"/>
        </w:rPr>
        <w:t xml:space="preserve"> is expliciete opneming van dit grondrecht in de Grondwet</w:t>
      </w:r>
      <w:r w:rsidR="00F03CCB">
        <w:rPr>
          <w:rFonts w:ascii="Verdana" w:hAnsi="Verdana" w:cs="Arial"/>
          <w:sz w:val="18"/>
          <w:szCs w:val="18"/>
        </w:rPr>
        <w:t xml:space="preserve"> </w:t>
      </w:r>
      <w:r w:rsidR="00E94871">
        <w:rPr>
          <w:rFonts w:ascii="Verdana" w:hAnsi="Verdana" w:cs="Arial"/>
          <w:sz w:val="18"/>
          <w:szCs w:val="18"/>
        </w:rPr>
        <w:t>van belang</w:t>
      </w:r>
      <w:r w:rsidR="00336868" w:rsidRPr="00336868">
        <w:rPr>
          <w:rFonts w:ascii="Verdana" w:hAnsi="Verdana" w:cs="Arial"/>
          <w:sz w:val="18"/>
          <w:szCs w:val="18"/>
        </w:rPr>
        <w:t xml:space="preserve">, te meer </w:t>
      </w:r>
      <w:r w:rsidR="00701428">
        <w:rPr>
          <w:rFonts w:ascii="Verdana" w:hAnsi="Verdana" w:cs="Arial"/>
          <w:sz w:val="18"/>
          <w:szCs w:val="18"/>
        </w:rPr>
        <w:t>omdat</w:t>
      </w:r>
      <w:r w:rsidR="00336868" w:rsidRPr="00336868">
        <w:rPr>
          <w:rFonts w:ascii="Verdana" w:hAnsi="Verdana" w:cs="Arial"/>
          <w:sz w:val="18"/>
          <w:szCs w:val="18"/>
        </w:rPr>
        <w:t xml:space="preserve"> het recht op</w:t>
      </w:r>
      <w:r w:rsidR="00FC5C40">
        <w:rPr>
          <w:rFonts w:ascii="Verdana" w:hAnsi="Verdana" w:cs="Arial"/>
          <w:sz w:val="18"/>
          <w:szCs w:val="18"/>
        </w:rPr>
        <w:t xml:space="preserve"> </w:t>
      </w:r>
      <w:r w:rsidR="00336868" w:rsidRPr="00336868">
        <w:rPr>
          <w:rFonts w:ascii="Verdana" w:hAnsi="Verdana" w:cs="Arial"/>
          <w:sz w:val="18"/>
          <w:szCs w:val="18"/>
        </w:rPr>
        <w:t>een eerlijk pro</w:t>
      </w:r>
      <w:r w:rsidR="00FC5C40">
        <w:rPr>
          <w:rFonts w:ascii="Verdana" w:hAnsi="Verdana" w:cs="Arial"/>
          <w:sz w:val="18"/>
          <w:szCs w:val="18"/>
        </w:rPr>
        <w:t>ces</w:t>
      </w:r>
      <w:r w:rsidR="00336868" w:rsidRPr="00336868">
        <w:rPr>
          <w:rFonts w:ascii="Verdana" w:hAnsi="Verdana" w:cs="Arial"/>
          <w:sz w:val="18"/>
          <w:szCs w:val="18"/>
        </w:rPr>
        <w:t xml:space="preserve"> een schakelf</w:t>
      </w:r>
      <w:r w:rsidR="00AE174E">
        <w:rPr>
          <w:rFonts w:ascii="Verdana" w:hAnsi="Verdana" w:cs="Arial"/>
          <w:sz w:val="18"/>
          <w:szCs w:val="18"/>
        </w:rPr>
        <w:t xml:space="preserve">unctie heeft in de </w:t>
      </w:r>
      <w:r w:rsidR="00336868" w:rsidRPr="00336868">
        <w:rPr>
          <w:rFonts w:ascii="Verdana" w:hAnsi="Verdana" w:cs="Arial"/>
          <w:sz w:val="18"/>
          <w:szCs w:val="18"/>
        </w:rPr>
        <w:t>bescherming</w:t>
      </w:r>
      <w:r w:rsidR="00AE174E">
        <w:rPr>
          <w:rFonts w:ascii="Verdana" w:hAnsi="Verdana" w:cs="Arial"/>
          <w:sz w:val="18"/>
          <w:szCs w:val="18"/>
        </w:rPr>
        <w:t xml:space="preserve"> van andere (grond)rechten</w:t>
      </w:r>
      <w:r w:rsidR="00F03CCB">
        <w:rPr>
          <w:rFonts w:ascii="Verdana" w:hAnsi="Verdana" w:cs="Arial"/>
          <w:sz w:val="18"/>
          <w:szCs w:val="18"/>
        </w:rPr>
        <w:t>.</w:t>
      </w:r>
      <w:r w:rsidR="00336868" w:rsidRPr="00336868">
        <w:rPr>
          <w:rFonts w:ascii="Verdana" w:hAnsi="Verdana" w:cs="Arial"/>
          <w:sz w:val="18"/>
          <w:szCs w:val="18"/>
        </w:rPr>
        <w:t xml:space="preserve"> </w:t>
      </w:r>
      <w:r w:rsidR="00AE174E">
        <w:rPr>
          <w:rFonts w:ascii="Verdana" w:hAnsi="Verdana"/>
          <w:sz w:val="18"/>
          <w:szCs w:val="18"/>
        </w:rPr>
        <w:t xml:space="preserve">Zonder een eerlijk proces </w:t>
      </w:r>
      <w:r w:rsidR="00820E3B">
        <w:rPr>
          <w:rFonts w:ascii="Verdana" w:hAnsi="Verdana"/>
          <w:sz w:val="18"/>
          <w:szCs w:val="18"/>
        </w:rPr>
        <w:t>kan</w:t>
      </w:r>
      <w:r w:rsidR="003A35B3">
        <w:rPr>
          <w:rFonts w:ascii="Verdana" w:hAnsi="Verdana"/>
          <w:sz w:val="18"/>
          <w:szCs w:val="18"/>
        </w:rPr>
        <w:t xml:space="preserve"> ook</w:t>
      </w:r>
      <w:r w:rsidR="00820E3B">
        <w:rPr>
          <w:rFonts w:ascii="Verdana" w:hAnsi="Verdana"/>
          <w:sz w:val="18"/>
          <w:szCs w:val="18"/>
        </w:rPr>
        <w:t xml:space="preserve"> de effectuering van</w:t>
      </w:r>
      <w:r w:rsidR="00AE174E">
        <w:rPr>
          <w:rFonts w:ascii="Verdana" w:hAnsi="Verdana"/>
          <w:sz w:val="18"/>
          <w:szCs w:val="18"/>
        </w:rPr>
        <w:t xml:space="preserve"> andere rechten waarover in </w:t>
      </w:r>
      <w:r w:rsidR="00570E03" w:rsidRPr="00570E03">
        <w:rPr>
          <w:rFonts w:ascii="Verdana" w:hAnsi="Verdana"/>
          <w:i/>
          <w:sz w:val="18"/>
          <w:szCs w:val="18"/>
        </w:rPr>
        <w:t>ultimum remedium</w:t>
      </w:r>
      <w:r w:rsidR="00AE174E">
        <w:rPr>
          <w:rFonts w:ascii="Verdana" w:hAnsi="Verdana"/>
          <w:sz w:val="18"/>
          <w:szCs w:val="18"/>
        </w:rPr>
        <w:t xml:space="preserve"> kan worden </w:t>
      </w:r>
      <w:r w:rsidR="00701428">
        <w:rPr>
          <w:rFonts w:ascii="Verdana" w:hAnsi="Verdana"/>
          <w:sz w:val="18"/>
          <w:szCs w:val="18"/>
        </w:rPr>
        <w:t>geoordeeld</w:t>
      </w:r>
      <w:r w:rsidR="00AE174E">
        <w:rPr>
          <w:rFonts w:ascii="Verdana" w:hAnsi="Verdana"/>
          <w:sz w:val="18"/>
          <w:szCs w:val="18"/>
        </w:rPr>
        <w:t xml:space="preserve"> in een rechterlijke procedure </w:t>
      </w:r>
      <w:r w:rsidR="00BE71E0">
        <w:rPr>
          <w:rFonts w:ascii="Verdana" w:hAnsi="Verdana"/>
          <w:sz w:val="18"/>
          <w:szCs w:val="18"/>
        </w:rPr>
        <w:t>in het gedrang komen</w:t>
      </w:r>
      <w:r w:rsidR="00AE174E">
        <w:rPr>
          <w:rFonts w:ascii="Verdana" w:hAnsi="Verdana"/>
          <w:sz w:val="18"/>
          <w:szCs w:val="18"/>
        </w:rPr>
        <w:t xml:space="preserve">. </w:t>
      </w:r>
      <w:r w:rsidR="00336868" w:rsidRPr="00F03CCB">
        <w:rPr>
          <w:rFonts w:ascii="Verdana" w:hAnsi="Verdana"/>
          <w:sz w:val="18"/>
          <w:szCs w:val="18"/>
        </w:rPr>
        <w:t xml:space="preserve">De Grondwet voldoet </w:t>
      </w:r>
      <w:r w:rsidR="009829F7">
        <w:rPr>
          <w:rFonts w:ascii="Verdana" w:hAnsi="Verdana"/>
          <w:sz w:val="18"/>
          <w:szCs w:val="18"/>
        </w:rPr>
        <w:t>vanwege het ontbreken van een expliciet algemeen recht op een eerlijk proces</w:t>
      </w:r>
      <w:r w:rsidR="00336868" w:rsidRPr="00F03CCB">
        <w:rPr>
          <w:rFonts w:ascii="Verdana" w:hAnsi="Verdana"/>
          <w:sz w:val="18"/>
          <w:szCs w:val="18"/>
        </w:rPr>
        <w:t xml:space="preserve"> niet optimaal aan de haar gestelde eisen dat zij (a) het juridisch-staatkundig basisdoc</w:t>
      </w:r>
      <w:r w:rsidR="004752E3">
        <w:rPr>
          <w:rFonts w:ascii="Verdana" w:hAnsi="Verdana"/>
          <w:sz w:val="18"/>
          <w:szCs w:val="18"/>
        </w:rPr>
        <w:t xml:space="preserve">ument voor Nederland is en (b) </w:t>
      </w:r>
      <w:r w:rsidR="00336868" w:rsidRPr="00F03CCB">
        <w:rPr>
          <w:rFonts w:ascii="Verdana" w:hAnsi="Verdana"/>
          <w:sz w:val="18"/>
          <w:szCs w:val="18"/>
        </w:rPr>
        <w:t>een institutioneel-organisatorische en waarborgfunctie heeft</w:t>
      </w:r>
      <w:r w:rsidR="00F03CCB" w:rsidRPr="00F03CCB">
        <w:rPr>
          <w:rFonts w:ascii="Verdana" w:hAnsi="Verdana"/>
          <w:sz w:val="18"/>
          <w:szCs w:val="18"/>
        </w:rPr>
        <w:t>.</w:t>
      </w:r>
      <w:r w:rsidR="00720B32">
        <w:rPr>
          <w:rStyle w:val="Voetnootmarkering"/>
          <w:rFonts w:ascii="Verdana" w:hAnsi="Verdana"/>
          <w:sz w:val="18"/>
          <w:szCs w:val="18"/>
        </w:rPr>
        <w:footnoteReference w:id="10"/>
      </w:r>
      <w:r w:rsidR="00F03CCB">
        <w:rPr>
          <w:rFonts w:ascii="Verdana" w:hAnsi="Verdana"/>
          <w:sz w:val="18"/>
          <w:szCs w:val="18"/>
        </w:rPr>
        <w:t xml:space="preserve"> </w:t>
      </w:r>
      <w:r w:rsidR="005C6EF5">
        <w:rPr>
          <w:rFonts w:ascii="Verdana" w:hAnsi="Verdana"/>
          <w:sz w:val="18"/>
          <w:szCs w:val="18"/>
        </w:rPr>
        <w:t xml:space="preserve">Behalve om voornoemde redenen </w:t>
      </w:r>
      <w:r w:rsidR="002B00DD">
        <w:rPr>
          <w:rFonts w:ascii="Verdana" w:hAnsi="Verdana"/>
          <w:sz w:val="18"/>
          <w:szCs w:val="18"/>
        </w:rPr>
        <w:t>kan de</w:t>
      </w:r>
      <w:r w:rsidR="001524A6">
        <w:rPr>
          <w:rFonts w:ascii="Verdana" w:hAnsi="Verdana"/>
          <w:sz w:val="18"/>
          <w:szCs w:val="18"/>
        </w:rPr>
        <w:t xml:space="preserve"> opneming van het recht in de Grondwet oo</w:t>
      </w:r>
      <w:r w:rsidR="002B00DD">
        <w:rPr>
          <w:rFonts w:ascii="Verdana" w:hAnsi="Verdana"/>
          <w:sz w:val="18"/>
          <w:szCs w:val="18"/>
        </w:rPr>
        <w:t>k leiden tot</w:t>
      </w:r>
      <w:r w:rsidR="001524A6">
        <w:rPr>
          <w:rFonts w:ascii="Verdana" w:hAnsi="Verdana"/>
          <w:sz w:val="18"/>
          <w:szCs w:val="18"/>
        </w:rPr>
        <w:t xml:space="preserve"> een</w:t>
      </w:r>
      <w:r w:rsidR="002B00DD">
        <w:rPr>
          <w:rFonts w:ascii="Verdana" w:hAnsi="Verdana"/>
          <w:sz w:val="18"/>
          <w:szCs w:val="18"/>
        </w:rPr>
        <w:t xml:space="preserve"> betere constitutionele dialoog </w:t>
      </w:r>
      <w:r w:rsidR="001524A6">
        <w:rPr>
          <w:rFonts w:ascii="Verdana" w:hAnsi="Verdana"/>
          <w:sz w:val="18"/>
          <w:szCs w:val="18"/>
        </w:rPr>
        <w:t>tussen de Nederlan</w:t>
      </w:r>
      <w:r w:rsidR="00354383">
        <w:rPr>
          <w:rFonts w:ascii="Verdana" w:hAnsi="Verdana"/>
          <w:sz w:val="18"/>
          <w:szCs w:val="18"/>
        </w:rPr>
        <w:t>ds</w:t>
      </w:r>
      <w:r w:rsidR="002B00DD">
        <w:rPr>
          <w:rFonts w:ascii="Verdana" w:hAnsi="Verdana"/>
          <w:sz w:val="18"/>
          <w:szCs w:val="18"/>
        </w:rPr>
        <w:t xml:space="preserve">e rechter en </w:t>
      </w:r>
      <w:r w:rsidR="00354383">
        <w:rPr>
          <w:rFonts w:ascii="Verdana" w:hAnsi="Verdana"/>
          <w:sz w:val="18"/>
          <w:szCs w:val="18"/>
        </w:rPr>
        <w:t>Euro</w:t>
      </w:r>
      <w:r w:rsidR="00FC5C40">
        <w:rPr>
          <w:rFonts w:ascii="Verdana" w:hAnsi="Verdana"/>
          <w:sz w:val="18"/>
          <w:szCs w:val="18"/>
        </w:rPr>
        <w:t>pese en internationale recht</w:t>
      </w:r>
      <w:r w:rsidR="005457BD">
        <w:rPr>
          <w:rFonts w:ascii="Verdana" w:hAnsi="Verdana"/>
          <w:sz w:val="18"/>
          <w:szCs w:val="18"/>
        </w:rPr>
        <w:t>erlijke colleges bij</w:t>
      </w:r>
      <w:r w:rsidR="00FC5C40">
        <w:rPr>
          <w:rFonts w:ascii="Verdana" w:hAnsi="Verdana"/>
          <w:sz w:val="18"/>
          <w:szCs w:val="18"/>
        </w:rPr>
        <w:t xml:space="preserve"> de </w:t>
      </w:r>
      <w:r w:rsidR="002B00DD">
        <w:rPr>
          <w:rFonts w:ascii="Verdana" w:hAnsi="Verdana"/>
          <w:sz w:val="18"/>
          <w:szCs w:val="18"/>
        </w:rPr>
        <w:t xml:space="preserve">concrete </w:t>
      </w:r>
      <w:r w:rsidR="00FC5C40">
        <w:rPr>
          <w:rFonts w:ascii="Verdana" w:hAnsi="Verdana"/>
          <w:sz w:val="18"/>
          <w:szCs w:val="18"/>
        </w:rPr>
        <w:t xml:space="preserve">uitwerking van </w:t>
      </w:r>
      <w:r w:rsidR="00E04790">
        <w:rPr>
          <w:rFonts w:ascii="Verdana" w:hAnsi="Verdana"/>
          <w:sz w:val="18"/>
          <w:szCs w:val="18"/>
        </w:rPr>
        <w:t xml:space="preserve">de </w:t>
      </w:r>
      <w:r w:rsidR="00FC5C40">
        <w:rPr>
          <w:rFonts w:ascii="Verdana" w:hAnsi="Verdana"/>
          <w:sz w:val="18"/>
          <w:szCs w:val="18"/>
        </w:rPr>
        <w:t>waarborgen van een eerlijk proces</w:t>
      </w:r>
      <w:r w:rsidR="001524A6">
        <w:rPr>
          <w:rFonts w:ascii="Verdana" w:hAnsi="Verdana"/>
          <w:sz w:val="18"/>
          <w:szCs w:val="18"/>
        </w:rPr>
        <w:t>.</w:t>
      </w:r>
      <w:r w:rsidR="00FC5C40">
        <w:rPr>
          <w:rStyle w:val="Voetnootmarkering"/>
          <w:rFonts w:ascii="Verdana" w:hAnsi="Verdana"/>
          <w:sz w:val="18"/>
          <w:szCs w:val="18"/>
        </w:rPr>
        <w:footnoteReference w:id="11"/>
      </w:r>
      <w:r>
        <w:rPr>
          <w:rFonts w:ascii="Verdana" w:hAnsi="Verdana"/>
          <w:sz w:val="18"/>
          <w:szCs w:val="18"/>
        </w:rPr>
        <w:t xml:space="preserve"> </w:t>
      </w:r>
      <w:r w:rsidR="002B00DD">
        <w:rPr>
          <w:rFonts w:ascii="Verdana" w:hAnsi="Verdana"/>
          <w:sz w:val="18"/>
          <w:szCs w:val="18"/>
        </w:rPr>
        <w:t xml:space="preserve">Dit </w:t>
      </w:r>
      <w:r w:rsidR="00313DE5">
        <w:rPr>
          <w:rFonts w:ascii="Verdana" w:hAnsi="Verdana"/>
          <w:sz w:val="18"/>
          <w:szCs w:val="18"/>
        </w:rPr>
        <w:t xml:space="preserve">laatste </w:t>
      </w:r>
      <w:r w:rsidR="002B00DD">
        <w:rPr>
          <w:rFonts w:ascii="Verdana" w:hAnsi="Verdana"/>
          <w:sz w:val="18"/>
          <w:szCs w:val="18"/>
        </w:rPr>
        <w:t>is niet</w:t>
      </w:r>
      <w:r w:rsidR="00313DE5">
        <w:rPr>
          <w:rFonts w:ascii="Verdana" w:hAnsi="Verdana"/>
          <w:sz w:val="18"/>
          <w:szCs w:val="18"/>
        </w:rPr>
        <w:t xml:space="preserve"> zozeer een doelstelling van dit</w:t>
      </w:r>
      <w:r w:rsidR="002B00DD">
        <w:rPr>
          <w:rFonts w:ascii="Verdana" w:hAnsi="Verdana"/>
          <w:sz w:val="18"/>
          <w:szCs w:val="18"/>
        </w:rPr>
        <w:t xml:space="preserve"> wetsvoorstel, als wel een mogelijk effect</w:t>
      </w:r>
      <w:r w:rsidR="00313DE5">
        <w:rPr>
          <w:rFonts w:ascii="Verdana" w:hAnsi="Verdana"/>
          <w:sz w:val="18"/>
          <w:szCs w:val="18"/>
        </w:rPr>
        <w:t xml:space="preserve"> ervan</w:t>
      </w:r>
      <w:r w:rsidR="002B00DD">
        <w:rPr>
          <w:rFonts w:ascii="Verdana" w:hAnsi="Verdana"/>
          <w:sz w:val="18"/>
          <w:szCs w:val="18"/>
        </w:rPr>
        <w:t xml:space="preserve">, </w:t>
      </w:r>
      <w:r w:rsidR="00C502FA">
        <w:rPr>
          <w:rFonts w:ascii="Verdana" w:hAnsi="Verdana"/>
          <w:sz w:val="18"/>
          <w:szCs w:val="18"/>
        </w:rPr>
        <w:t>d</w:t>
      </w:r>
      <w:r w:rsidR="002B00DD">
        <w:rPr>
          <w:rFonts w:ascii="Verdana" w:hAnsi="Verdana"/>
          <w:sz w:val="18"/>
          <w:szCs w:val="18"/>
        </w:rPr>
        <w:t xml:space="preserve">at kan bijdragen aan de meerwaarde </w:t>
      </w:r>
      <w:r w:rsidR="00313DE5">
        <w:rPr>
          <w:rFonts w:ascii="Verdana" w:hAnsi="Verdana"/>
          <w:sz w:val="18"/>
          <w:szCs w:val="18"/>
        </w:rPr>
        <w:t>van de voorgestelde grondwetsbepaling</w:t>
      </w:r>
      <w:r w:rsidR="002B00DD">
        <w:rPr>
          <w:rFonts w:ascii="Verdana" w:hAnsi="Verdana"/>
          <w:sz w:val="18"/>
          <w:szCs w:val="18"/>
        </w:rPr>
        <w:t>.</w:t>
      </w:r>
    </w:p>
    <w:p w:rsidR="008271DA" w:rsidRDefault="008271DA" w:rsidP="00284432">
      <w:pPr>
        <w:spacing w:after="0" w:line="280" w:lineRule="atLeast"/>
        <w:rPr>
          <w:rFonts w:ascii="Verdana" w:hAnsi="Verdana"/>
          <w:sz w:val="18"/>
          <w:szCs w:val="18"/>
        </w:rPr>
      </w:pPr>
    </w:p>
    <w:p w:rsidR="008271DA" w:rsidRDefault="008E6704" w:rsidP="00284432">
      <w:pPr>
        <w:spacing w:after="0" w:line="280" w:lineRule="atLeast"/>
        <w:rPr>
          <w:rFonts w:ascii="Verdana" w:hAnsi="Verdana"/>
          <w:sz w:val="18"/>
          <w:szCs w:val="18"/>
        </w:rPr>
      </w:pPr>
      <w:r>
        <w:rPr>
          <w:rFonts w:ascii="Verdana" w:hAnsi="Verdana"/>
          <w:sz w:val="18"/>
          <w:szCs w:val="18"/>
        </w:rPr>
        <w:t>Ter opvolging van het advies van d</w:t>
      </w:r>
      <w:r w:rsidR="008271DA">
        <w:rPr>
          <w:rFonts w:ascii="Verdana" w:hAnsi="Verdana"/>
          <w:sz w:val="18"/>
          <w:szCs w:val="18"/>
        </w:rPr>
        <w:t>e Afdeling advisering van de Raad van State (hierna: Afdeling)</w:t>
      </w:r>
      <w:r>
        <w:rPr>
          <w:rFonts w:ascii="Verdana" w:hAnsi="Verdana"/>
          <w:sz w:val="18"/>
          <w:szCs w:val="18"/>
        </w:rPr>
        <w:t xml:space="preserve"> gaan wij hier </w:t>
      </w:r>
      <w:r w:rsidR="008271DA">
        <w:rPr>
          <w:rFonts w:ascii="Verdana" w:hAnsi="Verdana"/>
          <w:sz w:val="18"/>
          <w:szCs w:val="18"/>
        </w:rPr>
        <w:t xml:space="preserve">in </w:t>
      </w:r>
      <w:r>
        <w:rPr>
          <w:rFonts w:ascii="Verdana" w:hAnsi="Verdana"/>
          <w:sz w:val="18"/>
          <w:szCs w:val="18"/>
        </w:rPr>
        <w:t xml:space="preserve">op </w:t>
      </w:r>
      <w:r w:rsidR="008271DA">
        <w:rPr>
          <w:rFonts w:ascii="Verdana" w:hAnsi="Verdana"/>
          <w:sz w:val="18"/>
          <w:szCs w:val="18"/>
        </w:rPr>
        <w:t>de gevolgen van de voorgestelde bepaling voor wetgeving en rechtspraak. In het bijzonder wenst de Afdeling te vernemen of sprake is van vastlegging van een minimumbeschermingsniveau waaraan de huidige wetgeving en rechtspraak voldoet, of dat deze in het licht van de voorgestelde bepaling op onderdelen moet worden gewijzigd. Zoals hierboven opgemerkt, is het recht op een eerlijk proces nu al stevig verankerd in de Nederlandse wetgeving</w:t>
      </w:r>
      <w:r>
        <w:rPr>
          <w:rFonts w:ascii="Verdana" w:hAnsi="Verdana"/>
          <w:sz w:val="18"/>
          <w:szCs w:val="18"/>
        </w:rPr>
        <w:t xml:space="preserve"> en rechtspraktijk</w:t>
      </w:r>
      <w:r w:rsidR="008271DA">
        <w:rPr>
          <w:rFonts w:ascii="Verdana" w:hAnsi="Verdana"/>
          <w:sz w:val="18"/>
          <w:szCs w:val="18"/>
        </w:rPr>
        <w:t xml:space="preserve">. De voorgestelde grondwettelijke bepaling krijgt een ruimer toepassingsbereik dan de verdragsbepalingen, door daaronder alle rechtsgeschillen te scharen. In die zin biedt de grondwettelijke bepaling dus een ruimere bescherming dan de verdragsbepalingen. Wat betreft de materiële waarborgen van een eerlijk proces sluit dit voorstel aan bij de waarborgen die artikel 6 EVRM nu reeds biedt voor geschillen over burgerlijke rechten en bij strafvervolging. </w:t>
      </w:r>
      <w:r>
        <w:rPr>
          <w:rFonts w:ascii="Verdana" w:hAnsi="Verdana"/>
          <w:sz w:val="18"/>
          <w:szCs w:val="18"/>
        </w:rPr>
        <w:t xml:space="preserve">Op dit punt is dus sprake van vastlegging in de Grondwet van het minimum beschermingsniveau dat artikel 6 EVRM biedt. Naar ons inzicht voldoen de huidige wetgeving en rechtspraak aan dit niveau, ook in zaken </w:t>
      </w:r>
      <w:r w:rsidR="00290CD8">
        <w:rPr>
          <w:rFonts w:ascii="Verdana" w:hAnsi="Verdana"/>
          <w:sz w:val="18"/>
          <w:szCs w:val="18"/>
        </w:rPr>
        <w:t>betreffende</w:t>
      </w:r>
      <w:r>
        <w:rPr>
          <w:rFonts w:ascii="Verdana" w:hAnsi="Verdana"/>
          <w:sz w:val="18"/>
          <w:szCs w:val="18"/>
        </w:rPr>
        <w:t xml:space="preserve"> rechtsgebieden die buiten de reikwijdte van artikel 6 EVRM vallen. Met verankering van deze norm van het recht op een eerlijk proces op grondwettelijk niveau geldt straks één duidelijke en fundamentele standaard voor alle rechtszaken. De voorgestelde bepaling biedt voorts een handvat voor de wetgever en voor de rechter om – binnen de kaders van deze grondwetsbepaling – tot een nadere invulling te komen van het grondwettelijke recht op een eerlijk proces.</w:t>
      </w:r>
    </w:p>
    <w:p w:rsidR="00B900EE" w:rsidRDefault="00B900EE" w:rsidP="00B900EE">
      <w:pPr>
        <w:spacing w:after="0" w:line="280" w:lineRule="atLeast"/>
        <w:ind w:left="360"/>
        <w:rPr>
          <w:rFonts w:ascii="Verdana" w:hAnsi="Verdana"/>
          <w:sz w:val="18"/>
          <w:szCs w:val="18"/>
        </w:rPr>
      </w:pPr>
    </w:p>
    <w:p w:rsidR="00787D5C" w:rsidRPr="001078F3" w:rsidRDefault="001078F3" w:rsidP="001078F3">
      <w:pPr>
        <w:rPr>
          <w:rFonts w:ascii="Verdana" w:hAnsi="Verdana"/>
          <w:sz w:val="18"/>
          <w:szCs w:val="18"/>
        </w:rPr>
      </w:pPr>
      <w:r w:rsidRPr="001078F3">
        <w:rPr>
          <w:rFonts w:ascii="Verdana" w:hAnsi="Verdana"/>
          <w:sz w:val="18"/>
          <w:szCs w:val="18"/>
        </w:rPr>
        <w:t>1.3</w:t>
      </w:r>
      <w:r w:rsidRPr="001078F3">
        <w:rPr>
          <w:rFonts w:ascii="Verdana" w:hAnsi="Verdana"/>
          <w:sz w:val="18"/>
          <w:szCs w:val="18"/>
        </w:rPr>
        <w:tab/>
      </w:r>
      <w:r w:rsidR="00787D5C" w:rsidRPr="001078F3">
        <w:rPr>
          <w:rFonts w:ascii="Verdana" w:hAnsi="Verdana"/>
          <w:sz w:val="18"/>
          <w:szCs w:val="18"/>
        </w:rPr>
        <w:t>Opzet van de memorie van toelichting</w:t>
      </w:r>
    </w:p>
    <w:p w:rsidR="00021F5D" w:rsidRDefault="00805A5D" w:rsidP="004871E5">
      <w:pPr>
        <w:spacing w:line="280" w:lineRule="atLeast"/>
        <w:rPr>
          <w:rFonts w:ascii="Verdana" w:hAnsi="Verdana"/>
          <w:sz w:val="18"/>
          <w:szCs w:val="18"/>
        </w:rPr>
      </w:pPr>
      <w:r w:rsidRPr="00805A5D">
        <w:rPr>
          <w:rFonts w:ascii="Verdana" w:hAnsi="Verdana"/>
          <w:sz w:val="18"/>
          <w:szCs w:val="18"/>
        </w:rPr>
        <w:t xml:space="preserve">In deze toelichting wordt na een korte weergave van de resultaten van de consultatie over het </w:t>
      </w:r>
      <w:r>
        <w:rPr>
          <w:rFonts w:ascii="Verdana" w:hAnsi="Verdana"/>
          <w:sz w:val="18"/>
          <w:szCs w:val="18"/>
        </w:rPr>
        <w:t xml:space="preserve">onderhavige </w:t>
      </w:r>
      <w:r w:rsidRPr="00805A5D">
        <w:rPr>
          <w:rFonts w:ascii="Verdana" w:hAnsi="Verdana"/>
          <w:sz w:val="18"/>
          <w:szCs w:val="18"/>
        </w:rPr>
        <w:t xml:space="preserve">wetsvoorstel </w:t>
      </w:r>
      <w:r w:rsidR="00D33717">
        <w:rPr>
          <w:rFonts w:ascii="Verdana" w:hAnsi="Verdana"/>
          <w:sz w:val="18"/>
          <w:szCs w:val="18"/>
        </w:rPr>
        <w:t xml:space="preserve">(paragraaf 2) </w:t>
      </w:r>
      <w:r w:rsidRPr="00805A5D">
        <w:rPr>
          <w:rFonts w:ascii="Verdana" w:hAnsi="Verdana"/>
          <w:sz w:val="18"/>
          <w:szCs w:val="18"/>
        </w:rPr>
        <w:t>ingegaan o</w:t>
      </w:r>
      <w:r w:rsidR="00330583">
        <w:rPr>
          <w:rFonts w:ascii="Verdana" w:hAnsi="Verdana"/>
          <w:sz w:val="18"/>
          <w:szCs w:val="18"/>
        </w:rPr>
        <w:t xml:space="preserve">p </w:t>
      </w:r>
      <w:r w:rsidRPr="00805A5D">
        <w:rPr>
          <w:rFonts w:ascii="Verdana" w:hAnsi="Verdana"/>
          <w:sz w:val="18"/>
          <w:szCs w:val="18"/>
        </w:rPr>
        <w:t xml:space="preserve">de </w:t>
      </w:r>
      <w:r w:rsidR="00330583">
        <w:rPr>
          <w:rFonts w:ascii="Verdana" w:hAnsi="Verdana"/>
          <w:sz w:val="18"/>
          <w:szCs w:val="18"/>
        </w:rPr>
        <w:t>democratische rechtsstaat als context voor</w:t>
      </w:r>
      <w:r w:rsidRPr="00805A5D">
        <w:rPr>
          <w:rFonts w:ascii="Verdana" w:hAnsi="Verdana"/>
          <w:sz w:val="18"/>
          <w:szCs w:val="18"/>
        </w:rPr>
        <w:t xml:space="preserve"> het recht op ee</w:t>
      </w:r>
      <w:r w:rsidR="00D33717">
        <w:rPr>
          <w:rFonts w:ascii="Verdana" w:hAnsi="Verdana"/>
          <w:sz w:val="18"/>
          <w:szCs w:val="18"/>
        </w:rPr>
        <w:t>n e</w:t>
      </w:r>
      <w:r w:rsidR="00330583">
        <w:rPr>
          <w:rFonts w:ascii="Verdana" w:hAnsi="Verdana"/>
          <w:sz w:val="18"/>
          <w:szCs w:val="18"/>
        </w:rPr>
        <w:t xml:space="preserve">erlijk proces </w:t>
      </w:r>
      <w:r w:rsidRPr="00805A5D">
        <w:rPr>
          <w:rFonts w:ascii="Verdana" w:hAnsi="Verdana"/>
          <w:sz w:val="18"/>
          <w:szCs w:val="18"/>
        </w:rPr>
        <w:t>(p</w:t>
      </w:r>
      <w:r w:rsidR="00330583">
        <w:rPr>
          <w:rFonts w:ascii="Verdana" w:hAnsi="Verdana"/>
          <w:sz w:val="18"/>
          <w:szCs w:val="18"/>
        </w:rPr>
        <w:t xml:space="preserve">aragraaf 3) en </w:t>
      </w:r>
      <w:r w:rsidR="00C502FA">
        <w:rPr>
          <w:rFonts w:ascii="Verdana" w:hAnsi="Verdana"/>
          <w:sz w:val="18"/>
          <w:szCs w:val="18"/>
        </w:rPr>
        <w:t>op de relatie van</w:t>
      </w:r>
      <w:r w:rsidR="00330583">
        <w:rPr>
          <w:rFonts w:ascii="Verdana" w:hAnsi="Verdana"/>
          <w:sz w:val="18"/>
          <w:szCs w:val="18"/>
        </w:rPr>
        <w:t xml:space="preserve"> het recht</w:t>
      </w:r>
      <w:r w:rsidRPr="00805A5D">
        <w:rPr>
          <w:rFonts w:ascii="Verdana" w:hAnsi="Verdana"/>
          <w:sz w:val="18"/>
          <w:szCs w:val="18"/>
        </w:rPr>
        <w:t xml:space="preserve"> tot andere grondwetsbepalingen</w:t>
      </w:r>
      <w:r w:rsidR="00C502FA">
        <w:rPr>
          <w:rFonts w:ascii="Verdana" w:hAnsi="Verdana"/>
          <w:sz w:val="18"/>
          <w:szCs w:val="18"/>
        </w:rPr>
        <w:t xml:space="preserve"> (paragraaf 4)</w:t>
      </w:r>
      <w:r w:rsidR="004F5720">
        <w:rPr>
          <w:rFonts w:ascii="Verdana" w:hAnsi="Verdana"/>
          <w:sz w:val="18"/>
          <w:szCs w:val="18"/>
        </w:rPr>
        <w:t>, waaronder de bepalingen in hoofdstuk 6 van de Grondwet over rechtspraak</w:t>
      </w:r>
      <w:r w:rsidRPr="00805A5D">
        <w:rPr>
          <w:rFonts w:ascii="Verdana" w:hAnsi="Verdana"/>
          <w:sz w:val="18"/>
          <w:szCs w:val="18"/>
        </w:rPr>
        <w:t>.</w:t>
      </w:r>
      <w:r w:rsidR="004F5720">
        <w:rPr>
          <w:rFonts w:ascii="Verdana" w:hAnsi="Verdana"/>
          <w:sz w:val="18"/>
          <w:szCs w:val="18"/>
        </w:rPr>
        <w:t xml:space="preserve"> Daarna volgen uiteenzettingen over het recht op toega</w:t>
      </w:r>
      <w:r w:rsidR="00330583">
        <w:rPr>
          <w:rFonts w:ascii="Verdana" w:hAnsi="Verdana"/>
          <w:sz w:val="18"/>
          <w:szCs w:val="18"/>
        </w:rPr>
        <w:t xml:space="preserve">ng tot de rechter in </w:t>
      </w:r>
      <w:r w:rsidR="004F5720">
        <w:rPr>
          <w:rFonts w:ascii="Verdana" w:hAnsi="Verdana"/>
          <w:sz w:val="18"/>
          <w:szCs w:val="18"/>
        </w:rPr>
        <w:t>relatie tot het recht op een eerlijk proces (paragraaf 5), de reikwijdte van het voorgestelde recht op e</w:t>
      </w:r>
      <w:r w:rsidR="00D33717">
        <w:rPr>
          <w:rFonts w:ascii="Verdana" w:hAnsi="Verdana"/>
          <w:sz w:val="18"/>
          <w:szCs w:val="18"/>
        </w:rPr>
        <w:t>en eerlijk proces (paragraaf 6) en</w:t>
      </w:r>
      <w:r w:rsidR="004F5720">
        <w:rPr>
          <w:rFonts w:ascii="Verdana" w:hAnsi="Verdana"/>
          <w:sz w:val="18"/>
          <w:szCs w:val="18"/>
        </w:rPr>
        <w:t xml:space="preserve"> de verschillende elementen van een eerlijk proces (paragraaf 7). Tot slot wordt in deze toelichting in gegaan op de relatie van dit wetsvoorstel tot internationaalrechtelijke ontwikkelingen op het terrein van het recht op een eerlijk proces (paragraaf 8), voor zover die nog niet</w:t>
      </w:r>
      <w:r w:rsidR="00D33717">
        <w:rPr>
          <w:rFonts w:ascii="Verdana" w:hAnsi="Verdana"/>
          <w:sz w:val="18"/>
          <w:szCs w:val="18"/>
        </w:rPr>
        <w:t xml:space="preserve"> aan de orde zijn geweest in de</w:t>
      </w:r>
      <w:r w:rsidR="004F5720">
        <w:rPr>
          <w:rFonts w:ascii="Verdana" w:hAnsi="Verdana"/>
          <w:sz w:val="18"/>
          <w:szCs w:val="18"/>
        </w:rPr>
        <w:t xml:space="preserve"> voorgaande</w:t>
      </w:r>
      <w:r w:rsidR="00D33717">
        <w:rPr>
          <w:rFonts w:ascii="Verdana" w:hAnsi="Verdana"/>
          <w:sz w:val="18"/>
          <w:szCs w:val="18"/>
        </w:rPr>
        <w:t xml:space="preserve"> paragrafen</w:t>
      </w:r>
      <w:r w:rsidR="0016734B">
        <w:rPr>
          <w:rFonts w:ascii="Verdana" w:hAnsi="Verdana"/>
          <w:sz w:val="18"/>
          <w:szCs w:val="18"/>
        </w:rPr>
        <w:t xml:space="preserve"> </w:t>
      </w:r>
      <w:r w:rsidR="004F5720">
        <w:rPr>
          <w:rFonts w:ascii="Verdana" w:hAnsi="Verdana"/>
          <w:sz w:val="18"/>
          <w:szCs w:val="18"/>
        </w:rPr>
        <w:t xml:space="preserve">en </w:t>
      </w:r>
      <w:r w:rsidR="00D33717">
        <w:rPr>
          <w:rFonts w:ascii="Verdana" w:hAnsi="Verdana"/>
          <w:sz w:val="18"/>
          <w:szCs w:val="18"/>
        </w:rPr>
        <w:t xml:space="preserve">de </w:t>
      </w:r>
      <w:r w:rsidR="00985F6C">
        <w:rPr>
          <w:rFonts w:ascii="Verdana" w:hAnsi="Verdana"/>
          <w:sz w:val="18"/>
          <w:szCs w:val="18"/>
        </w:rPr>
        <w:t>administratieve lasten</w:t>
      </w:r>
      <w:r w:rsidR="0016734B">
        <w:rPr>
          <w:rFonts w:ascii="Verdana" w:hAnsi="Verdana"/>
          <w:sz w:val="18"/>
          <w:szCs w:val="18"/>
        </w:rPr>
        <w:t xml:space="preserve"> van dit wetsvoorstel (paragraaf 9</w:t>
      </w:r>
      <w:r w:rsidR="004F5720">
        <w:rPr>
          <w:rFonts w:ascii="Verdana" w:hAnsi="Verdana"/>
          <w:sz w:val="18"/>
          <w:szCs w:val="18"/>
        </w:rPr>
        <w:t>).</w:t>
      </w:r>
    </w:p>
    <w:p w:rsidR="005457BD" w:rsidRPr="00805A5D" w:rsidRDefault="005457BD" w:rsidP="004871E5">
      <w:pPr>
        <w:spacing w:line="280" w:lineRule="atLeast"/>
        <w:rPr>
          <w:rFonts w:ascii="Verdana" w:hAnsi="Verdana"/>
          <w:sz w:val="18"/>
          <w:szCs w:val="18"/>
        </w:rPr>
      </w:pPr>
    </w:p>
    <w:p w:rsidR="00290B7B" w:rsidRDefault="00284432" w:rsidP="00296568">
      <w:pPr>
        <w:pStyle w:val="Lijstalinea"/>
        <w:numPr>
          <w:ilvl w:val="0"/>
          <w:numId w:val="5"/>
        </w:numPr>
        <w:spacing w:line="280" w:lineRule="atLeast"/>
        <w:rPr>
          <w:rFonts w:ascii="Verdana" w:hAnsi="Verdana"/>
          <w:b/>
          <w:sz w:val="18"/>
          <w:szCs w:val="18"/>
        </w:rPr>
      </w:pPr>
      <w:r>
        <w:rPr>
          <w:rFonts w:ascii="Verdana" w:hAnsi="Verdana"/>
          <w:b/>
          <w:sz w:val="18"/>
          <w:szCs w:val="18"/>
        </w:rPr>
        <w:t>Consultatie</w:t>
      </w:r>
    </w:p>
    <w:p w:rsidR="009A1064" w:rsidRDefault="00284432" w:rsidP="00B229AB">
      <w:pPr>
        <w:spacing w:before="100" w:beforeAutospacing="1" w:after="100" w:afterAutospacing="1" w:line="280" w:lineRule="atLeast"/>
        <w:rPr>
          <w:rFonts w:ascii="Verdana" w:hAnsi="Verdana" w:cs="Arial"/>
          <w:sz w:val="18"/>
          <w:szCs w:val="18"/>
        </w:rPr>
      </w:pPr>
      <w:r w:rsidRPr="00284432">
        <w:rPr>
          <w:rFonts w:ascii="Verdana" w:hAnsi="Verdana" w:cs="Arial"/>
          <w:sz w:val="18"/>
          <w:szCs w:val="18"/>
        </w:rPr>
        <w:t xml:space="preserve">Het voorstel is in </w:t>
      </w:r>
      <w:r w:rsidR="005C017E">
        <w:rPr>
          <w:rFonts w:ascii="Verdana" w:hAnsi="Verdana" w:cs="Arial"/>
          <w:sz w:val="18"/>
          <w:szCs w:val="18"/>
        </w:rPr>
        <w:t>internet</w:t>
      </w:r>
      <w:r w:rsidR="00D33717">
        <w:rPr>
          <w:rFonts w:ascii="Verdana" w:hAnsi="Verdana" w:cs="Arial"/>
          <w:sz w:val="18"/>
          <w:szCs w:val="18"/>
        </w:rPr>
        <w:t xml:space="preserve">consultatie gegeven op </w:t>
      </w:r>
      <w:r w:rsidR="00A9292C" w:rsidRPr="00A9292C">
        <w:rPr>
          <w:rFonts w:ascii="Verdana" w:hAnsi="Verdana" w:cs="Arial"/>
          <w:sz w:val="18"/>
          <w:szCs w:val="18"/>
        </w:rPr>
        <w:t>25 augustus 2014</w:t>
      </w:r>
      <w:r w:rsidR="004847D9">
        <w:rPr>
          <w:rFonts w:ascii="Verdana" w:hAnsi="Verdana" w:cs="Arial"/>
          <w:sz w:val="18"/>
          <w:szCs w:val="18"/>
        </w:rPr>
        <w:t>. Deze internetconsultatie duurde tot 15 oktober 2014</w:t>
      </w:r>
      <w:r w:rsidR="00D33717" w:rsidRPr="00C16795">
        <w:rPr>
          <w:rFonts w:ascii="Verdana" w:hAnsi="Verdana" w:cs="Arial"/>
          <w:sz w:val="18"/>
          <w:szCs w:val="18"/>
        </w:rPr>
        <w:t>.</w:t>
      </w:r>
      <w:r w:rsidRPr="00284432">
        <w:rPr>
          <w:rFonts w:ascii="Verdana" w:hAnsi="Verdana" w:cs="Arial"/>
          <w:sz w:val="18"/>
          <w:szCs w:val="18"/>
        </w:rPr>
        <w:t xml:space="preserve"> </w:t>
      </w:r>
      <w:r w:rsidR="005C017E">
        <w:rPr>
          <w:rFonts w:ascii="Verdana" w:hAnsi="Verdana" w:cs="Arial"/>
          <w:sz w:val="18"/>
          <w:szCs w:val="18"/>
        </w:rPr>
        <w:t xml:space="preserve">Tevens </w:t>
      </w:r>
      <w:r w:rsidR="00C502FA">
        <w:rPr>
          <w:rFonts w:ascii="Verdana" w:hAnsi="Verdana" w:cs="Arial"/>
          <w:sz w:val="18"/>
          <w:szCs w:val="18"/>
        </w:rPr>
        <w:t>is</w:t>
      </w:r>
      <w:r w:rsidR="005C017E">
        <w:rPr>
          <w:rFonts w:ascii="Verdana" w:hAnsi="Verdana" w:cs="Arial"/>
          <w:sz w:val="18"/>
          <w:szCs w:val="18"/>
        </w:rPr>
        <w:t xml:space="preserve"> advies gevraagd </w:t>
      </w:r>
      <w:r w:rsidR="00C502FA">
        <w:rPr>
          <w:rFonts w:ascii="Verdana" w:hAnsi="Verdana" w:cs="Arial"/>
          <w:sz w:val="18"/>
          <w:szCs w:val="18"/>
        </w:rPr>
        <w:t xml:space="preserve">aan </w:t>
      </w:r>
      <w:r w:rsidR="005C017E">
        <w:rPr>
          <w:rFonts w:ascii="Verdana" w:hAnsi="Verdana" w:cs="Arial"/>
          <w:sz w:val="18"/>
          <w:szCs w:val="18"/>
        </w:rPr>
        <w:t xml:space="preserve">het </w:t>
      </w:r>
      <w:r w:rsidR="0046770F">
        <w:rPr>
          <w:rFonts w:ascii="Verdana" w:hAnsi="Verdana" w:cs="Arial"/>
          <w:sz w:val="18"/>
          <w:szCs w:val="18"/>
        </w:rPr>
        <w:t>College van procureurs-generaal</w:t>
      </w:r>
      <w:r w:rsidR="00B229AB">
        <w:rPr>
          <w:rFonts w:ascii="Verdana" w:hAnsi="Verdana" w:cs="Arial"/>
          <w:sz w:val="18"/>
          <w:szCs w:val="18"/>
        </w:rPr>
        <w:t xml:space="preserve"> (hierna: OM)</w:t>
      </w:r>
      <w:r w:rsidRPr="00284432">
        <w:rPr>
          <w:rFonts w:ascii="Verdana" w:hAnsi="Verdana" w:cs="Arial"/>
          <w:sz w:val="18"/>
          <w:szCs w:val="18"/>
        </w:rPr>
        <w:t xml:space="preserve">, </w:t>
      </w:r>
      <w:r w:rsidR="0046770F">
        <w:rPr>
          <w:rFonts w:ascii="Verdana" w:hAnsi="Verdana" w:cs="Arial"/>
          <w:sz w:val="18"/>
          <w:szCs w:val="18"/>
        </w:rPr>
        <w:t xml:space="preserve">de </w:t>
      </w:r>
      <w:r w:rsidR="00F64AA1">
        <w:rPr>
          <w:rFonts w:ascii="Verdana" w:hAnsi="Verdana" w:cs="Arial"/>
          <w:sz w:val="18"/>
          <w:szCs w:val="18"/>
        </w:rPr>
        <w:t xml:space="preserve">president van en procureur-generaal bij de </w:t>
      </w:r>
      <w:r w:rsidR="0046770F">
        <w:rPr>
          <w:rFonts w:ascii="Verdana" w:hAnsi="Verdana" w:cs="Arial"/>
          <w:sz w:val="18"/>
          <w:szCs w:val="18"/>
        </w:rPr>
        <w:t>Hoge Raad</w:t>
      </w:r>
      <w:r w:rsidR="00F7634B">
        <w:rPr>
          <w:rFonts w:ascii="Verdana" w:hAnsi="Verdana" w:cs="Arial"/>
          <w:sz w:val="18"/>
          <w:szCs w:val="18"/>
        </w:rPr>
        <w:t xml:space="preserve"> (hierna: HR)</w:t>
      </w:r>
      <w:r w:rsidR="0046770F">
        <w:rPr>
          <w:rFonts w:ascii="Verdana" w:hAnsi="Verdana" w:cs="Arial"/>
          <w:sz w:val="18"/>
          <w:szCs w:val="18"/>
        </w:rPr>
        <w:t>, de Afdeling bestuursrechtspraak</w:t>
      </w:r>
      <w:r w:rsidR="00C502FA">
        <w:rPr>
          <w:rFonts w:ascii="Verdana" w:hAnsi="Verdana" w:cs="Arial"/>
          <w:sz w:val="18"/>
          <w:szCs w:val="18"/>
        </w:rPr>
        <w:t xml:space="preserve"> van de</w:t>
      </w:r>
      <w:r w:rsidR="0046770F">
        <w:rPr>
          <w:rFonts w:ascii="Verdana" w:hAnsi="Verdana" w:cs="Arial"/>
          <w:sz w:val="18"/>
          <w:szCs w:val="18"/>
        </w:rPr>
        <w:t xml:space="preserve"> Raad van State</w:t>
      </w:r>
      <w:r w:rsidR="00B229AB">
        <w:rPr>
          <w:rFonts w:ascii="Verdana" w:hAnsi="Verdana" w:cs="Arial"/>
          <w:sz w:val="18"/>
          <w:szCs w:val="18"/>
        </w:rPr>
        <w:t xml:space="preserve"> (hierna ook: </w:t>
      </w:r>
      <w:proofErr w:type="spellStart"/>
      <w:r w:rsidR="00B229AB">
        <w:rPr>
          <w:rFonts w:ascii="Verdana" w:hAnsi="Verdana" w:cs="Arial"/>
          <w:sz w:val="18"/>
          <w:szCs w:val="18"/>
        </w:rPr>
        <w:t>ABRvS</w:t>
      </w:r>
      <w:proofErr w:type="spellEnd"/>
      <w:r w:rsidR="00B229AB">
        <w:rPr>
          <w:rFonts w:ascii="Verdana" w:hAnsi="Verdana" w:cs="Arial"/>
          <w:sz w:val="18"/>
          <w:szCs w:val="18"/>
        </w:rPr>
        <w:t>)</w:t>
      </w:r>
      <w:r w:rsidR="0046770F">
        <w:rPr>
          <w:rFonts w:ascii="Verdana" w:hAnsi="Verdana" w:cs="Arial"/>
          <w:sz w:val="18"/>
          <w:szCs w:val="18"/>
        </w:rPr>
        <w:t xml:space="preserve">, </w:t>
      </w:r>
      <w:r w:rsidR="005C017E">
        <w:rPr>
          <w:rFonts w:ascii="Verdana" w:hAnsi="Verdana" w:cs="Arial"/>
          <w:sz w:val="18"/>
          <w:szCs w:val="18"/>
        </w:rPr>
        <w:t xml:space="preserve">de </w:t>
      </w:r>
      <w:r w:rsidRPr="00284432">
        <w:rPr>
          <w:rFonts w:ascii="Verdana" w:hAnsi="Verdana" w:cs="Arial"/>
          <w:sz w:val="18"/>
          <w:szCs w:val="18"/>
        </w:rPr>
        <w:t>R</w:t>
      </w:r>
      <w:r w:rsidR="005C017E">
        <w:rPr>
          <w:rFonts w:ascii="Verdana" w:hAnsi="Verdana" w:cs="Arial"/>
          <w:sz w:val="18"/>
          <w:szCs w:val="18"/>
        </w:rPr>
        <w:t xml:space="preserve">aad </w:t>
      </w:r>
      <w:r w:rsidRPr="00284432">
        <w:rPr>
          <w:rFonts w:ascii="Verdana" w:hAnsi="Verdana" w:cs="Arial"/>
          <w:sz w:val="18"/>
          <w:szCs w:val="18"/>
        </w:rPr>
        <w:t>v</w:t>
      </w:r>
      <w:r w:rsidR="005C017E">
        <w:rPr>
          <w:rFonts w:ascii="Verdana" w:hAnsi="Verdana" w:cs="Arial"/>
          <w:sz w:val="18"/>
          <w:szCs w:val="18"/>
        </w:rPr>
        <w:t xml:space="preserve">oor </w:t>
      </w:r>
      <w:r w:rsidRPr="00284432">
        <w:rPr>
          <w:rFonts w:ascii="Verdana" w:hAnsi="Verdana" w:cs="Arial"/>
          <w:sz w:val="18"/>
          <w:szCs w:val="18"/>
        </w:rPr>
        <w:t>d</w:t>
      </w:r>
      <w:r w:rsidR="005C017E">
        <w:rPr>
          <w:rFonts w:ascii="Verdana" w:hAnsi="Verdana" w:cs="Arial"/>
          <w:sz w:val="18"/>
          <w:szCs w:val="18"/>
        </w:rPr>
        <w:t xml:space="preserve">e </w:t>
      </w:r>
      <w:r w:rsidR="00CB1909">
        <w:rPr>
          <w:rFonts w:ascii="Verdana" w:hAnsi="Verdana" w:cs="Arial"/>
          <w:sz w:val="18"/>
          <w:szCs w:val="18"/>
        </w:rPr>
        <w:t>r</w:t>
      </w:r>
      <w:r w:rsidR="005C017E">
        <w:rPr>
          <w:rFonts w:ascii="Verdana" w:hAnsi="Verdana" w:cs="Arial"/>
          <w:sz w:val="18"/>
          <w:szCs w:val="18"/>
        </w:rPr>
        <w:t>echtspraak</w:t>
      </w:r>
      <w:r w:rsidR="00B229AB">
        <w:rPr>
          <w:rFonts w:ascii="Verdana" w:hAnsi="Verdana" w:cs="Arial"/>
          <w:sz w:val="18"/>
          <w:szCs w:val="18"/>
        </w:rPr>
        <w:t xml:space="preserve"> (</w:t>
      </w:r>
      <w:r w:rsidR="00F7634B">
        <w:rPr>
          <w:rFonts w:ascii="Verdana" w:hAnsi="Verdana" w:cs="Arial"/>
          <w:sz w:val="18"/>
          <w:szCs w:val="18"/>
        </w:rPr>
        <w:t xml:space="preserve">hierna ook: </w:t>
      </w:r>
      <w:r w:rsidR="0028560A">
        <w:rPr>
          <w:rFonts w:ascii="Verdana" w:hAnsi="Verdana" w:cs="Arial"/>
          <w:sz w:val="18"/>
          <w:szCs w:val="18"/>
        </w:rPr>
        <w:t>Rvdr</w:t>
      </w:r>
      <w:r w:rsidR="00B229AB">
        <w:rPr>
          <w:rFonts w:ascii="Verdana" w:hAnsi="Verdana" w:cs="Arial"/>
          <w:sz w:val="18"/>
          <w:szCs w:val="18"/>
        </w:rPr>
        <w:t>)</w:t>
      </w:r>
      <w:r w:rsidRPr="00284432">
        <w:rPr>
          <w:rFonts w:ascii="Verdana" w:hAnsi="Verdana" w:cs="Arial"/>
          <w:sz w:val="18"/>
          <w:szCs w:val="18"/>
        </w:rPr>
        <w:t>,</w:t>
      </w:r>
      <w:r w:rsidR="005C017E">
        <w:rPr>
          <w:rFonts w:ascii="Verdana" w:hAnsi="Verdana" w:cs="Arial"/>
          <w:sz w:val="18"/>
          <w:szCs w:val="18"/>
        </w:rPr>
        <w:t xml:space="preserve"> de</w:t>
      </w:r>
      <w:r w:rsidRPr="00284432">
        <w:rPr>
          <w:rFonts w:ascii="Verdana" w:hAnsi="Verdana" w:cs="Arial"/>
          <w:sz w:val="18"/>
          <w:szCs w:val="18"/>
        </w:rPr>
        <w:t xml:space="preserve"> N</w:t>
      </w:r>
      <w:r w:rsidR="005C017E">
        <w:rPr>
          <w:rFonts w:ascii="Verdana" w:hAnsi="Verdana" w:cs="Arial"/>
          <w:sz w:val="18"/>
          <w:szCs w:val="18"/>
        </w:rPr>
        <w:t xml:space="preserve">ederlandse </w:t>
      </w:r>
      <w:r w:rsidRPr="00284432">
        <w:rPr>
          <w:rFonts w:ascii="Verdana" w:hAnsi="Verdana" w:cs="Arial"/>
          <w:sz w:val="18"/>
          <w:szCs w:val="18"/>
        </w:rPr>
        <w:t>V</w:t>
      </w:r>
      <w:r w:rsidR="005C017E">
        <w:rPr>
          <w:rFonts w:ascii="Verdana" w:hAnsi="Verdana" w:cs="Arial"/>
          <w:sz w:val="18"/>
          <w:szCs w:val="18"/>
        </w:rPr>
        <w:t xml:space="preserve">ereniging voor </w:t>
      </w:r>
      <w:r w:rsidRPr="00284432">
        <w:rPr>
          <w:rFonts w:ascii="Verdana" w:hAnsi="Verdana" w:cs="Arial"/>
          <w:sz w:val="18"/>
          <w:szCs w:val="18"/>
        </w:rPr>
        <w:t>R</w:t>
      </w:r>
      <w:r w:rsidR="005C017E">
        <w:rPr>
          <w:rFonts w:ascii="Verdana" w:hAnsi="Verdana" w:cs="Arial"/>
          <w:sz w:val="18"/>
          <w:szCs w:val="18"/>
        </w:rPr>
        <w:t>echtspraak</w:t>
      </w:r>
      <w:r w:rsidR="00B229AB">
        <w:rPr>
          <w:rFonts w:ascii="Verdana" w:hAnsi="Verdana" w:cs="Arial"/>
          <w:sz w:val="18"/>
          <w:szCs w:val="18"/>
        </w:rPr>
        <w:t xml:space="preserve"> (</w:t>
      </w:r>
      <w:r w:rsidR="00F7634B">
        <w:rPr>
          <w:rFonts w:ascii="Verdana" w:hAnsi="Verdana" w:cs="Arial"/>
          <w:sz w:val="18"/>
          <w:szCs w:val="18"/>
        </w:rPr>
        <w:t xml:space="preserve">hierna ook: </w:t>
      </w:r>
      <w:r w:rsidR="00B229AB">
        <w:rPr>
          <w:rFonts w:ascii="Verdana" w:hAnsi="Verdana" w:cs="Arial"/>
          <w:sz w:val="18"/>
          <w:szCs w:val="18"/>
        </w:rPr>
        <w:t>NVvR)</w:t>
      </w:r>
      <w:r w:rsidRPr="00284432">
        <w:rPr>
          <w:rFonts w:ascii="Verdana" w:hAnsi="Verdana" w:cs="Arial"/>
          <w:sz w:val="18"/>
          <w:szCs w:val="18"/>
        </w:rPr>
        <w:t xml:space="preserve">, </w:t>
      </w:r>
      <w:r w:rsidR="005C017E">
        <w:rPr>
          <w:rFonts w:ascii="Verdana" w:hAnsi="Verdana" w:cs="Arial"/>
          <w:sz w:val="18"/>
          <w:szCs w:val="18"/>
        </w:rPr>
        <w:t xml:space="preserve">de </w:t>
      </w:r>
      <w:r w:rsidRPr="00284432">
        <w:rPr>
          <w:rFonts w:ascii="Verdana" w:hAnsi="Verdana" w:cs="Arial"/>
          <w:sz w:val="18"/>
          <w:szCs w:val="18"/>
        </w:rPr>
        <w:t>N</w:t>
      </w:r>
      <w:r w:rsidR="0046770F">
        <w:rPr>
          <w:rFonts w:ascii="Verdana" w:hAnsi="Verdana" w:cs="Arial"/>
          <w:sz w:val="18"/>
          <w:szCs w:val="18"/>
        </w:rPr>
        <w:t>ederlands</w:t>
      </w:r>
      <w:r w:rsidR="005C017E">
        <w:rPr>
          <w:rFonts w:ascii="Verdana" w:hAnsi="Verdana" w:cs="Arial"/>
          <w:sz w:val="18"/>
          <w:szCs w:val="18"/>
        </w:rPr>
        <w:t xml:space="preserve">e </w:t>
      </w:r>
      <w:r w:rsidR="00CB1909">
        <w:rPr>
          <w:rFonts w:ascii="Verdana" w:hAnsi="Verdana" w:cs="Arial"/>
          <w:sz w:val="18"/>
          <w:szCs w:val="18"/>
        </w:rPr>
        <w:t>o</w:t>
      </w:r>
      <w:r w:rsidR="005C017E">
        <w:rPr>
          <w:rFonts w:ascii="Verdana" w:hAnsi="Verdana" w:cs="Arial"/>
          <w:sz w:val="18"/>
          <w:szCs w:val="18"/>
        </w:rPr>
        <w:t xml:space="preserve">rde </w:t>
      </w:r>
      <w:r w:rsidRPr="00284432">
        <w:rPr>
          <w:rFonts w:ascii="Verdana" w:hAnsi="Verdana" w:cs="Arial"/>
          <w:sz w:val="18"/>
          <w:szCs w:val="18"/>
        </w:rPr>
        <w:t>v</w:t>
      </w:r>
      <w:r w:rsidR="005C017E">
        <w:rPr>
          <w:rFonts w:ascii="Verdana" w:hAnsi="Verdana" w:cs="Arial"/>
          <w:sz w:val="18"/>
          <w:szCs w:val="18"/>
        </w:rPr>
        <w:t xml:space="preserve">an </w:t>
      </w:r>
      <w:r w:rsidR="00CB1909">
        <w:rPr>
          <w:rFonts w:ascii="Verdana" w:hAnsi="Verdana" w:cs="Arial"/>
          <w:sz w:val="18"/>
          <w:szCs w:val="18"/>
        </w:rPr>
        <w:t>a</w:t>
      </w:r>
      <w:r w:rsidR="005C017E">
        <w:rPr>
          <w:rFonts w:ascii="Verdana" w:hAnsi="Verdana" w:cs="Arial"/>
          <w:sz w:val="18"/>
          <w:szCs w:val="18"/>
        </w:rPr>
        <w:t>dvocaten</w:t>
      </w:r>
      <w:r w:rsidR="00120F4E">
        <w:rPr>
          <w:rFonts w:ascii="Verdana" w:hAnsi="Verdana" w:cs="Arial"/>
          <w:sz w:val="18"/>
          <w:szCs w:val="18"/>
        </w:rPr>
        <w:t xml:space="preserve"> (</w:t>
      </w:r>
      <w:r w:rsidR="00F7634B">
        <w:rPr>
          <w:rFonts w:ascii="Verdana" w:hAnsi="Verdana" w:cs="Arial"/>
          <w:sz w:val="18"/>
          <w:szCs w:val="18"/>
        </w:rPr>
        <w:t xml:space="preserve">hierna: </w:t>
      </w:r>
      <w:proofErr w:type="spellStart"/>
      <w:r w:rsidR="00120F4E">
        <w:rPr>
          <w:rFonts w:ascii="Verdana" w:hAnsi="Verdana" w:cs="Arial"/>
          <w:sz w:val="18"/>
          <w:szCs w:val="18"/>
        </w:rPr>
        <w:t>NO</w:t>
      </w:r>
      <w:r w:rsidR="00B229AB">
        <w:rPr>
          <w:rFonts w:ascii="Verdana" w:hAnsi="Verdana" w:cs="Arial"/>
          <w:sz w:val="18"/>
          <w:szCs w:val="18"/>
        </w:rPr>
        <w:t>vA</w:t>
      </w:r>
      <w:proofErr w:type="spellEnd"/>
      <w:r w:rsidR="00B229AB">
        <w:rPr>
          <w:rFonts w:ascii="Verdana" w:hAnsi="Verdana" w:cs="Arial"/>
          <w:sz w:val="18"/>
          <w:szCs w:val="18"/>
        </w:rPr>
        <w:t>)</w:t>
      </w:r>
      <w:r w:rsidRPr="00284432">
        <w:rPr>
          <w:rFonts w:ascii="Verdana" w:hAnsi="Verdana" w:cs="Arial"/>
          <w:sz w:val="18"/>
          <w:szCs w:val="18"/>
        </w:rPr>
        <w:t xml:space="preserve">, </w:t>
      </w:r>
      <w:r w:rsidR="0046770F">
        <w:rPr>
          <w:rFonts w:ascii="Verdana" w:hAnsi="Verdana" w:cs="Arial"/>
          <w:sz w:val="18"/>
          <w:szCs w:val="18"/>
        </w:rPr>
        <w:t xml:space="preserve">de </w:t>
      </w:r>
      <w:r w:rsidR="00CB1909">
        <w:rPr>
          <w:rFonts w:ascii="Verdana" w:hAnsi="Verdana" w:cs="Arial"/>
          <w:sz w:val="18"/>
          <w:szCs w:val="18"/>
        </w:rPr>
        <w:t>r</w:t>
      </w:r>
      <w:r w:rsidR="0046770F">
        <w:rPr>
          <w:rFonts w:ascii="Verdana" w:hAnsi="Verdana" w:cs="Arial"/>
          <w:sz w:val="18"/>
          <w:szCs w:val="18"/>
        </w:rPr>
        <w:t xml:space="preserve">aad voor rechtsbijstand, </w:t>
      </w:r>
      <w:r w:rsidR="005C017E">
        <w:rPr>
          <w:rFonts w:ascii="Verdana" w:hAnsi="Verdana" w:cs="Arial"/>
          <w:sz w:val="18"/>
          <w:szCs w:val="18"/>
        </w:rPr>
        <w:t xml:space="preserve">het </w:t>
      </w:r>
      <w:r w:rsidRPr="00284432">
        <w:rPr>
          <w:rFonts w:ascii="Verdana" w:hAnsi="Verdana" w:cs="Arial"/>
          <w:sz w:val="18"/>
          <w:szCs w:val="18"/>
        </w:rPr>
        <w:t>C</w:t>
      </w:r>
      <w:r w:rsidR="005C017E">
        <w:rPr>
          <w:rFonts w:ascii="Verdana" w:hAnsi="Verdana" w:cs="Arial"/>
          <w:sz w:val="18"/>
          <w:szCs w:val="18"/>
        </w:rPr>
        <w:t xml:space="preserve">ollege voor de </w:t>
      </w:r>
      <w:r w:rsidRPr="00284432">
        <w:rPr>
          <w:rFonts w:ascii="Verdana" w:hAnsi="Verdana" w:cs="Arial"/>
          <w:sz w:val="18"/>
          <w:szCs w:val="18"/>
        </w:rPr>
        <w:t>R</w:t>
      </w:r>
      <w:r w:rsidR="005C017E">
        <w:rPr>
          <w:rFonts w:ascii="Verdana" w:hAnsi="Verdana" w:cs="Arial"/>
          <w:sz w:val="18"/>
          <w:szCs w:val="18"/>
        </w:rPr>
        <w:t>echt</w:t>
      </w:r>
      <w:r w:rsidR="0046770F">
        <w:rPr>
          <w:rFonts w:ascii="Verdana" w:hAnsi="Verdana" w:cs="Arial"/>
          <w:sz w:val="18"/>
          <w:szCs w:val="18"/>
        </w:rPr>
        <w:t xml:space="preserve">en van de Mens </w:t>
      </w:r>
      <w:r w:rsidR="00B229AB">
        <w:rPr>
          <w:rFonts w:ascii="Verdana" w:hAnsi="Verdana" w:cs="Arial"/>
          <w:sz w:val="18"/>
          <w:szCs w:val="18"/>
        </w:rPr>
        <w:t>(</w:t>
      </w:r>
      <w:r w:rsidR="00F7634B">
        <w:rPr>
          <w:rFonts w:ascii="Verdana" w:hAnsi="Verdana" w:cs="Arial"/>
          <w:sz w:val="18"/>
          <w:szCs w:val="18"/>
        </w:rPr>
        <w:t xml:space="preserve">hierna: </w:t>
      </w:r>
      <w:r w:rsidR="00B229AB">
        <w:rPr>
          <w:rFonts w:ascii="Verdana" w:hAnsi="Verdana" w:cs="Arial"/>
          <w:sz w:val="18"/>
          <w:szCs w:val="18"/>
        </w:rPr>
        <w:t xml:space="preserve">CRM) </w:t>
      </w:r>
      <w:r w:rsidR="0046770F">
        <w:rPr>
          <w:rFonts w:ascii="Verdana" w:hAnsi="Verdana" w:cs="Arial"/>
          <w:sz w:val="18"/>
          <w:szCs w:val="18"/>
        </w:rPr>
        <w:t>en het Nederlands</w:t>
      </w:r>
      <w:r w:rsidR="005C017E">
        <w:rPr>
          <w:rFonts w:ascii="Verdana" w:hAnsi="Verdana" w:cs="Arial"/>
          <w:sz w:val="18"/>
          <w:szCs w:val="18"/>
        </w:rPr>
        <w:t xml:space="preserve"> </w:t>
      </w:r>
      <w:r w:rsidR="0046770F">
        <w:rPr>
          <w:rFonts w:ascii="Verdana" w:hAnsi="Verdana" w:cs="Arial"/>
          <w:sz w:val="18"/>
          <w:szCs w:val="18"/>
        </w:rPr>
        <w:t>Juristen</w:t>
      </w:r>
      <w:r w:rsidR="00C502FA">
        <w:rPr>
          <w:rFonts w:ascii="Verdana" w:hAnsi="Verdana" w:cs="Arial"/>
          <w:sz w:val="18"/>
          <w:szCs w:val="18"/>
        </w:rPr>
        <w:t xml:space="preserve"> C</w:t>
      </w:r>
      <w:r w:rsidR="0046770F">
        <w:rPr>
          <w:rFonts w:ascii="Verdana" w:hAnsi="Verdana" w:cs="Arial"/>
          <w:sz w:val="18"/>
          <w:szCs w:val="18"/>
        </w:rPr>
        <w:t>omité voor de Mensenrechten</w:t>
      </w:r>
      <w:r w:rsidR="00B229AB">
        <w:rPr>
          <w:rFonts w:ascii="Verdana" w:hAnsi="Verdana" w:cs="Arial"/>
          <w:sz w:val="18"/>
          <w:szCs w:val="18"/>
        </w:rPr>
        <w:t xml:space="preserve"> (</w:t>
      </w:r>
      <w:r w:rsidR="00F7634B">
        <w:rPr>
          <w:rFonts w:ascii="Verdana" w:hAnsi="Verdana" w:cs="Arial"/>
          <w:sz w:val="18"/>
          <w:szCs w:val="18"/>
        </w:rPr>
        <w:t xml:space="preserve">hierna: </w:t>
      </w:r>
      <w:r w:rsidR="00B229AB">
        <w:rPr>
          <w:rFonts w:ascii="Verdana" w:hAnsi="Verdana" w:cs="Arial"/>
          <w:sz w:val="18"/>
          <w:szCs w:val="18"/>
        </w:rPr>
        <w:t>NJCM)</w:t>
      </w:r>
      <w:r>
        <w:rPr>
          <w:rFonts w:ascii="Verdana" w:hAnsi="Verdana" w:cs="Arial"/>
          <w:sz w:val="18"/>
          <w:szCs w:val="18"/>
        </w:rPr>
        <w:t>.</w:t>
      </w:r>
      <w:r w:rsidR="00F64AA1">
        <w:rPr>
          <w:rFonts w:ascii="Verdana" w:hAnsi="Verdana" w:cs="Arial"/>
          <w:sz w:val="18"/>
          <w:szCs w:val="18"/>
        </w:rPr>
        <w:t xml:space="preserve"> Het kabinet heeft reacties ontvangen van voornoemde instanties, met uitzondering van de raad voor rechtsbijstand. D</w:t>
      </w:r>
      <w:r w:rsidR="00120F4E">
        <w:rPr>
          <w:rFonts w:ascii="Verdana" w:hAnsi="Verdana" w:cs="Arial"/>
          <w:sz w:val="18"/>
          <w:szCs w:val="18"/>
        </w:rPr>
        <w:t xml:space="preserve">e </w:t>
      </w:r>
      <w:proofErr w:type="spellStart"/>
      <w:r w:rsidR="00120F4E">
        <w:rPr>
          <w:rFonts w:ascii="Verdana" w:hAnsi="Verdana" w:cs="Arial"/>
          <w:sz w:val="18"/>
          <w:szCs w:val="18"/>
        </w:rPr>
        <w:t>NOvA</w:t>
      </w:r>
      <w:proofErr w:type="spellEnd"/>
      <w:r w:rsidR="00F64AA1">
        <w:rPr>
          <w:rFonts w:ascii="Verdana" w:hAnsi="Verdana" w:cs="Arial"/>
          <w:sz w:val="18"/>
          <w:szCs w:val="18"/>
        </w:rPr>
        <w:t xml:space="preserve"> heeft aangegeven dat hij geen bezwaren heeft tegen het wetsvoorstel, noch tegen de onderbouwing daarvan en verder af</w:t>
      </w:r>
      <w:r w:rsidR="001078F3">
        <w:rPr>
          <w:rFonts w:ascii="Verdana" w:hAnsi="Verdana" w:cs="Arial"/>
          <w:sz w:val="18"/>
          <w:szCs w:val="18"/>
        </w:rPr>
        <w:t xml:space="preserve"> te </w:t>
      </w:r>
      <w:r w:rsidR="00F64AA1">
        <w:rPr>
          <w:rFonts w:ascii="Verdana" w:hAnsi="Verdana" w:cs="Arial"/>
          <w:sz w:val="18"/>
          <w:szCs w:val="18"/>
        </w:rPr>
        <w:t xml:space="preserve">zien van een advies. Slachtofferhulp Nederland heeft op eigen initiatief gereageerd op het </w:t>
      </w:r>
      <w:r w:rsidR="00245940">
        <w:rPr>
          <w:rFonts w:ascii="Verdana" w:hAnsi="Verdana" w:cs="Arial"/>
          <w:sz w:val="18"/>
          <w:szCs w:val="18"/>
        </w:rPr>
        <w:t>concept</w:t>
      </w:r>
      <w:r w:rsidR="00F64AA1">
        <w:rPr>
          <w:rFonts w:ascii="Verdana" w:hAnsi="Verdana" w:cs="Arial"/>
          <w:sz w:val="18"/>
          <w:szCs w:val="18"/>
        </w:rPr>
        <w:t xml:space="preserve">wetsvoorstel. </w:t>
      </w:r>
      <w:r w:rsidR="004847D9">
        <w:rPr>
          <w:rFonts w:ascii="Verdana" w:hAnsi="Verdana" w:cs="Arial"/>
          <w:sz w:val="18"/>
          <w:szCs w:val="18"/>
        </w:rPr>
        <w:t xml:space="preserve">Zij wijst erop dat de veranderde positie van het slachtoffer in de strafrechtelijke procedure verankering verdient in dit grondwetsvoorstel, door in de memorie van toelichting op te nemen dat ook het slachtoffer onafhankelijk van de vraag of hij zich heeft gevoegd als benadeelde partij, recht heeft op een eerlijk proces. </w:t>
      </w:r>
      <w:r w:rsidR="0082306D">
        <w:rPr>
          <w:rFonts w:ascii="Verdana" w:hAnsi="Verdana" w:cs="Arial"/>
          <w:sz w:val="18"/>
          <w:szCs w:val="18"/>
        </w:rPr>
        <w:t xml:space="preserve">Dat </w:t>
      </w:r>
      <w:r w:rsidR="009A1064">
        <w:rPr>
          <w:rFonts w:ascii="Verdana" w:hAnsi="Verdana" w:cs="Arial"/>
          <w:sz w:val="18"/>
          <w:szCs w:val="18"/>
        </w:rPr>
        <w:t xml:space="preserve"> in een strafproces</w:t>
      </w:r>
      <w:r w:rsidR="0082306D">
        <w:rPr>
          <w:rFonts w:ascii="Verdana" w:hAnsi="Verdana" w:cs="Arial"/>
          <w:sz w:val="18"/>
          <w:szCs w:val="18"/>
        </w:rPr>
        <w:t xml:space="preserve"> ook</w:t>
      </w:r>
      <w:r w:rsidR="009A1064">
        <w:rPr>
          <w:rFonts w:ascii="Verdana" w:hAnsi="Verdana" w:cs="Arial"/>
          <w:sz w:val="18"/>
          <w:szCs w:val="18"/>
        </w:rPr>
        <w:t xml:space="preserve"> rekening moet worden gehouden met de rechten en belangen van slachtoffers</w:t>
      </w:r>
      <w:r w:rsidR="00F059A0">
        <w:rPr>
          <w:rFonts w:ascii="Verdana" w:hAnsi="Verdana" w:cs="Arial"/>
          <w:sz w:val="18"/>
          <w:szCs w:val="18"/>
        </w:rPr>
        <w:t xml:space="preserve"> </w:t>
      </w:r>
      <w:r w:rsidR="00F7634B">
        <w:rPr>
          <w:rFonts w:ascii="Verdana" w:hAnsi="Verdana" w:cs="Arial"/>
          <w:sz w:val="18"/>
          <w:szCs w:val="18"/>
        </w:rPr>
        <w:t>wordt</w:t>
      </w:r>
      <w:r w:rsidR="009A1064">
        <w:rPr>
          <w:rFonts w:ascii="Verdana" w:hAnsi="Verdana" w:cs="Arial"/>
          <w:sz w:val="18"/>
          <w:szCs w:val="18"/>
        </w:rPr>
        <w:t xml:space="preserve"> in</w:t>
      </w:r>
      <w:r w:rsidR="00F7634B">
        <w:rPr>
          <w:rFonts w:ascii="Verdana" w:hAnsi="Verdana" w:cs="Arial"/>
          <w:sz w:val="18"/>
          <w:szCs w:val="18"/>
        </w:rPr>
        <w:t xml:space="preserve"> paragraaf 7.4.2</w:t>
      </w:r>
      <w:r w:rsidR="009A1064">
        <w:rPr>
          <w:rFonts w:ascii="Verdana" w:hAnsi="Verdana" w:cs="Arial"/>
          <w:sz w:val="18"/>
          <w:szCs w:val="18"/>
        </w:rPr>
        <w:t xml:space="preserve"> van de toelichting benadrukt.</w:t>
      </w:r>
    </w:p>
    <w:p w:rsidR="001419E2" w:rsidRDefault="001419E2" w:rsidP="001078F3">
      <w:pPr>
        <w:spacing w:before="100" w:beforeAutospacing="1" w:after="100" w:afterAutospacing="1" w:line="280" w:lineRule="atLeast"/>
        <w:rPr>
          <w:rFonts w:ascii="Verdana" w:hAnsi="Verdana" w:cs="Arial"/>
          <w:sz w:val="18"/>
          <w:szCs w:val="18"/>
        </w:rPr>
      </w:pPr>
      <w:r>
        <w:rPr>
          <w:rFonts w:ascii="Verdana" w:hAnsi="Verdana" w:cs="Arial"/>
          <w:sz w:val="18"/>
          <w:szCs w:val="18"/>
        </w:rPr>
        <w:t>Alle advi</w:t>
      </w:r>
      <w:r w:rsidR="00F7634B">
        <w:rPr>
          <w:rFonts w:ascii="Verdana" w:hAnsi="Verdana" w:cs="Arial"/>
          <w:sz w:val="18"/>
          <w:szCs w:val="18"/>
        </w:rPr>
        <w:t>esorganen</w:t>
      </w:r>
      <w:r>
        <w:rPr>
          <w:rFonts w:ascii="Verdana" w:hAnsi="Verdana" w:cs="Arial"/>
          <w:sz w:val="18"/>
          <w:szCs w:val="18"/>
        </w:rPr>
        <w:t xml:space="preserve"> </w:t>
      </w:r>
      <w:r w:rsidR="00E80549">
        <w:rPr>
          <w:rFonts w:ascii="Verdana" w:hAnsi="Verdana" w:cs="Arial"/>
          <w:sz w:val="18"/>
          <w:szCs w:val="18"/>
        </w:rPr>
        <w:t>geven aan dat zij</w:t>
      </w:r>
      <w:r>
        <w:rPr>
          <w:rFonts w:ascii="Verdana" w:hAnsi="Verdana" w:cs="Arial"/>
          <w:sz w:val="18"/>
          <w:szCs w:val="18"/>
        </w:rPr>
        <w:t xml:space="preserve"> achter de strekking va</w:t>
      </w:r>
      <w:r w:rsidR="005E61DD">
        <w:rPr>
          <w:rFonts w:ascii="Verdana" w:hAnsi="Verdana" w:cs="Arial"/>
          <w:sz w:val="18"/>
          <w:szCs w:val="18"/>
        </w:rPr>
        <w:t>n het wetsvoorstel</w:t>
      </w:r>
      <w:r w:rsidR="00E80549">
        <w:rPr>
          <w:rFonts w:ascii="Verdana" w:hAnsi="Verdana" w:cs="Arial"/>
          <w:sz w:val="18"/>
          <w:szCs w:val="18"/>
        </w:rPr>
        <w:t xml:space="preserve"> staan</w:t>
      </w:r>
      <w:r w:rsidR="005E61DD">
        <w:rPr>
          <w:rFonts w:ascii="Verdana" w:hAnsi="Verdana" w:cs="Arial"/>
          <w:sz w:val="18"/>
          <w:szCs w:val="18"/>
        </w:rPr>
        <w:t xml:space="preserve">, </w:t>
      </w:r>
      <w:r w:rsidR="004405C7">
        <w:rPr>
          <w:rFonts w:ascii="Verdana" w:hAnsi="Verdana" w:cs="Arial"/>
          <w:sz w:val="18"/>
          <w:szCs w:val="18"/>
        </w:rPr>
        <w:t xml:space="preserve">namelijk </w:t>
      </w:r>
      <w:r w:rsidR="009829F7">
        <w:rPr>
          <w:rFonts w:ascii="Verdana" w:hAnsi="Verdana" w:cs="Arial"/>
          <w:sz w:val="18"/>
          <w:szCs w:val="18"/>
        </w:rPr>
        <w:t>veranker</w:t>
      </w:r>
      <w:r w:rsidR="005E61DD">
        <w:rPr>
          <w:rFonts w:ascii="Verdana" w:hAnsi="Verdana" w:cs="Arial"/>
          <w:sz w:val="18"/>
          <w:szCs w:val="18"/>
        </w:rPr>
        <w:t>ing van de individuele rechtsbescherming op grondwettelijk niveau</w:t>
      </w:r>
      <w:r>
        <w:rPr>
          <w:rFonts w:ascii="Verdana" w:hAnsi="Verdana" w:cs="Arial"/>
          <w:sz w:val="18"/>
          <w:szCs w:val="18"/>
        </w:rPr>
        <w:t xml:space="preserve">. </w:t>
      </w:r>
      <w:r w:rsidR="00E80549">
        <w:rPr>
          <w:rFonts w:ascii="Verdana" w:hAnsi="Verdana" w:cs="Arial"/>
          <w:sz w:val="18"/>
          <w:szCs w:val="18"/>
        </w:rPr>
        <w:t>In het bijzonder wordt de toegevoegde waarde van het voorgestelde grondwettelijke recht op een eerlijk proces ten opzichte van bestaande internationale bepalingen onderschreven</w:t>
      </w:r>
      <w:r w:rsidR="00F7634B">
        <w:rPr>
          <w:rFonts w:ascii="Verdana" w:hAnsi="Verdana" w:cs="Arial"/>
          <w:sz w:val="18"/>
          <w:szCs w:val="18"/>
        </w:rPr>
        <w:t xml:space="preserve">. Ook wordt </w:t>
      </w:r>
      <w:r w:rsidR="00E80549">
        <w:rPr>
          <w:rFonts w:ascii="Verdana" w:hAnsi="Verdana" w:cs="Arial"/>
          <w:sz w:val="18"/>
          <w:szCs w:val="18"/>
        </w:rPr>
        <w:t>de keuze voor de plaatsing van dit recht in hoofdstuk 1 van de Grondwet</w:t>
      </w:r>
      <w:r w:rsidR="00F7634B">
        <w:rPr>
          <w:rFonts w:ascii="Verdana" w:hAnsi="Verdana" w:cs="Arial"/>
          <w:sz w:val="18"/>
          <w:szCs w:val="18"/>
        </w:rPr>
        <w:t xml:space="preserve"> alom ondersteund</w:t>
      </w:r>
      <w:r w:rsidR="00E80549">
        <w:rPr>
          <w:rFonts w:ascii="Verdana" w:hAnsi="Verdana" w:cs="Arial"/>
          <w:sz w:val="18"/>
          <w:szCs w:val="18"/>
        </w:rPr>
        <w:t xml:space="preserve">. </w:t>
      </w:r>
      <w:r>
        <w:rPr>
          <w:rFonts w:ascii="Verdana" w:hAnsi="Verdana" w:cs="Arial"/>
          <w:sz w:val="18"/>
          <w:szCs w:val="18"/>
        </w:rPr>
        <w:t xml:space="preserve">Wel wordt </w:t>
      </w:r>
      <w:r w:rsidR="00E80549">
        <w:rPr>
          <w:rFonts w:ascii="Verdana" w:hAnsi="Verdana" w:cs="Arial"/>
          <w:sz w:val="18"/>
          <w:szCs w:val="18"/>
        </w:rPr>
        <w:t xml:space="preserve">in de adviezen </w:t>
      </w:r>
      <w:r w:rsidR="005E61DD">
        <w:rPr>
          <w:rFonts w:ascii="Verdana" w:hAnsi="Verdana" w:cs="Arial"/>
          <w:sz w:val="18"/>
          <w:szCs w:val="18"/>
        </w:rPr>
        <w:t xml:space="preserve">een aantal </w:t>
      </w:r>
      <w:r>
        <w:rPr>
          <w:rFonts w:ascii="Verdana" w:hAnsi="Verdana" w:cs="Arial"/>
          <w:sz w:val="18"/>
          <w:szCs w:val="18"/>
        </w:rPr>
        <w:t xml:space="preserve">vragen </w:t>
      </w:r>
      <w:r w:rsidR="00E80549">
        <w:rPr>
          <w:rFonts w:ascii="Verdana" w:hAnsi="Verdana" w:cs="Arial"/>
          <w:sz w:val="18"/>
          <w:szCs w:val="18"/>
        </w:rPr>
        <w:t>opgeworpen over</w:t>
      </w:r>
      <w:r>
        <w:rPr>
          <w:rFonts w:ascii="Verdana" w:hAnsi="Verdana" w:cs="Arial"/>
          <w:sz w:val="18"/>
          <w:szCs w:val="18"/>
        </w:rPr>
        <w:t xml:space="preserve"> de </w:t>
      </w:r>
      <w:r w:rsidR="00E80549">
        <w:rPr>
          <w:rFonts w:ascii="Verdana" w:hAnsi="Verdana" w:cs="Arial"/>
          <w:sz w:val="18"/>
          <w:szCs w:val="18"/>
        </w:rPr>
        <w:t xml:space="preserve">formulering </w:t>
      </w:r>
      <w:r w:rsidR="00344367">
        <w:rPr>
          <w:rFonts w:ascii="Verdana" w:hAnsi="Verdana" w:cs="Arial"/>
          <w:sz w:val="18"/>
          <w:szCs w:val="18"/>
        </w:rPr>
        <w:t xml:space="preserve">en inhoud </w:t>
      </w:r>
      <w:r w:rsidR="00E80549">
        <w:rPr>
          <w:rFonts w:ascii="Verdana" w:hAnsi="Verdana" w:cs="Arial"/>
          <w:sz w:val="18"/>
          <w:szCs w:val="18"/>
        </w:rPr>
        <w:t xml:space="preserve">van de </w:t>
      </w:r>
      <w:r>
        <w:rPr>
          <w:rFonts w:ascii="Verdana" w:hAnsi="Verdana" w:cs="Arial"/>
          <w:sz w:val="18"/>
          <w:szCs w:val="18"/>
        </w:rPr>
        <w:t xml:space="preserve">voorgestelde bepaling </w:t>
      </w:r>
      <w:r w:rsidR="00E80549">
        <w:rPr>
          <w:rFonts w:ascii="Verdana" w:hAnsi="Verdana" w:cs="Arial"/>
          <w:sz w:val="18"/>
          <w:szCs w:val="18"/>
        </w:rPr>
        <w:t xml:space="preserve">en </w:t>
      </w:r>
      <w:r w:rsidR="00DA32C0">
        <w:rPr>
          <w:rFonts w:ascii="Verdana" w:hAnsi="Verdana" w:cs="Arial"/>
          <w:sz w:val="18"/>
          <w:szCs w:val="18"/>
        </w:rPr>
        <w:t xml:space="preserve">de onderbouwing daarvan in </w:t>
      </w:r>
      <w:r w:rsidR="00E80549">
        <w:rPr>
          <w:rFonts w:ascii="Verdana" w:hAnsi="Verdana" w:cs="Arial"/>
          <w:sz w:val="18"/>
          <w:szCs w:val="18"/>
        </w:rPr>
        <w:t>de memorie van toelichting</w:t>
      </w:r>
      <w:r>
        <w:rPr>
          <w:rFonts w:ascii="Verdana" w:hAnsi="Verdana" w:cs="Arial"/>
          <w:sz w:val="18"/>
          <w:szCs w:val="18"/>
        </w:rPr>
        <w:t xml:space="preserve">. In hoofdzaak </w:t>
      </w:r>
      <w:r w:rsidR="005E61DD">
        <w:rPr>
          <w:rFonts w:ascii="Verdana" w:hAnsi="Verdana" w:cs="Arial"/>
          <w:sz w:val="18"/>
          <w:szCs w:val="18"/>
        </w:rPr>
        <w:t xml:space="preserve">beslaan de vragen </w:t>
      </w:r>
      <w:r>
        <w:rPr>
          <w:rFonts w:ascii="Verdana" w:hAnsi="Verdana" w:cs="Arial"/>
          <w:sz w:val="18"/>
          <w:szCs w:val="18"/>
        </w:rPr>
        <w:t>de volgende thema’s</w:t>
      </w:r>
      <w:r w:rsidR="005E61DD">
        <w:rPr>
          <w:rFonts w:ascii="Verdana" w:hAnsi="Verdana" w:cs="Arial"/>
          <w:sz w:val="18"/>
          <w:szCs w:val="18"/>
        </w:rPr>
        <w:t xml:space="preserve">: </w:t>
      </w:r>
      <w:r w:rsidR="00CC1FF6">
        <w:rPr>
          <w:rFonts w:ascii="Verdana" w:hAnsi="Verdana" w:cs="Arial"/>
          <w:sz w:val="18"/>
          <w:szCs w:val="18"/>
        </w:rPr>
        <w:t>de formulering van de reikwijdte van de bepaling (NJCM, OM</w:t>
      </w:r>
      <w:r w:rsidR="00F7634B">
        <w:rPr>
          <w:rFonts w:ascii="Verdana" w:hAnsi="Verdana" w:cs="Arial"/>
          <w:sz w:val="18"/>
          <w:szCs w:val="18"/>
        </w:rPr>
        <w:t xml:space="preserve">, </w:t>
      </w:r>
      <w:proofErr w:type="spellStart"/>
      <w:r w:rsidR="00F7634B">
        <w:rPr>
          <w:rFonts w:ascii="Verdana" w:hAnsi="Verdana" w:cs="Arial"/>
          <w:sz w:val="18"/>
          <w:szCs w:val="18"/>
        </w:rPr>
        <w:t>ABRvS</w:t>
      </w:r>
      <w:proofErr w:type="spellEnd"/>
      <w:r w:rsidR="00CC1FF6">
        <w:rPr>
          <w:rFonts w:ascii="Verdana" w:hAnsi="Verdana" w:cs="Arial"/>
          <w:sz w:val="18"/>
          <w:szCs w:val="18"/>
        </w:rPr>
        <w:t xml:space="preserve">), </w:t>
      </w:r>
      <w:r w:rsidR="005E61DD">
        <w:rPr>
          <w:rFonts w:ascii="Verdana" w:hAnsi="Verdana" w:cs="Arial"/>
          <w:sz w:val="18"/>
          <w:szCs w:val="18"/>
        </w:rPr>
        <w:t>de uitleg van de begrippen onafhankelijkheid en onpartijdigheid in de context van dit wetsvoorstel</w:t>
      </w:r>
      <w:r w:rsidR="00C7512C">
        <w:rPr>
          <w:rFonts w:ascii="Verdana" w:hAnsi="Verdana" w:cs="Arial"/>
          <w:sz w:val="18"/>
          <w:szCs w:val="18"/>
        </w:rPr>
        <w:t xml:space="preserve"> (</w:t>
      </w:r>
      <w:r w:rsidR="0028560A">
        <w:rPr>
          <w:rFonts w:ascii="Verdana" w:hAnsi="Verdana" w:cs="Arial"/>
          <w:sz w:val="18"/>
          <w:szCs w:val="18"/>
        </w:rPr>
        <w:t>Rvdr</w:t>
      </w:r>
      <w:r w:rsidR="00E80549">
        <w:rPr>
          <w:rFonts w:ascii="Verdana" w:hAnsi="Verdana" w:cs="Arial"/>
          <w:sz w:val="18"/>
          <w:szCs w:val="18"/>
        </w:rPr>
        <w:t xml:space="preserve"> ,CRM</w:t>
      </w:r>
      <w:r w:rsidR="00C7512C">
        <w:rPr>
          <w:rFonts w:ascii="Verdana" w:hAnsi="Verdana" w:cs="Arial"/>
          <w:sz w:val="18"/>
          <w:szCs w:val="18"/>
        </w:rPr>
        <w:t>)</w:t>
      </w:r>
      <w:r w:rsidR="005E61DD">
        <w:rPr>
          <w:rFonts w:ascii="Verdana" w:hAnsi="Verdana" w:cs="Arial"/>
          <w:sz w:val="18"/>
          <w:szCs w:val="18"/>
        </w:rPr>
        <w:t xml:space="preserve">, </w:t>
      </w:r>
      <w:r w:rsidR="00C7512C">
        <w:rPr>
          <w:rFonts w:ascii="Verdana" w:hAnsi="Verdana" w:cs="Arial"/>
          <w:sz w:val="18"/>
          <w:szCs w:val="18"/>
        </w:rPr>
        <w:t xml:space="preserve">het niet expliciet </w:t>
      </w:r>
      <w:r w:rsidR="004405C7">
        <w:rPr>
          <w:rFonts w:ascii="Verdana" w:hAnsi="Verdana" w:cs="Arial"/>
          <w:sz w:val="18"/>
          <w:szCs w:val="18"/>
        </w:rPr>
        <w:t xml:space="preserve">in de grondwetsbepaling </w:t>
      </w:r>
      <w:r w:rsidR="00C7512C">
        <w:rPr>
          <w:rFonts w:ascii="Verdana" w:hAnsi="Verdana" w:cs="Arial"/>
          <w:sz w:val="18"/>
          <w:szCs w:val="18"/>
        </w:rPr>
        <w:t>opnemen van bepaalde elementen van het recht op een eerlijk proces, zoals een recht op hoger beroep en de openbaarheid van een eerlijk proces (</w:t>
      </w:r>
      <w:r w:rsidR="0028560A">
        <w:rPr>
          <w:rFonts w:ascii="Verdana" w:hAnsi="Verdana" w:cs="Arial"/>
          <w:sz w:val="18"/>
          <w:szCs w:val="18"/>
        </w:rPr>
        <w:t>Rvdr</w:t>
      </w:r>
      <w:r w:rsidR="00C7512C">
        <w:rPr>
          <w:rFonts w:ascii="Verdana" w:hAnsi="Verdana" w:cs="Arial"/>
          <w:sz w:val="18"/>
          <w:szCs w:val="18"/>
        </w:rPr>
        <w:t>, NJCM</w:t>
      </w:r>
      <w:r w:rsidR="00F7634B">
        <w:rPr>
          <w:rFonts w:ascii="Verdana" w:hAnsi="Verdana" w:cs="Arial"/>
          <w:sz w:val="18"/>
          <w:szCs w:val="18"/>
        </w:rPr>
        <w:t>, CRM</w:t>
      </w:r>
      <w:r w:rsidR="00C7512C">
        <w:rPr>
          <w:rFonts w:ascii="Verdana" w:hAnsi="Verdana" w:cs="Arial"/>
          <w:sz w:val="18"/>
          <w:szCs w:val="18"/>
        </w:rPr>
        <w:t>), alsmede het recht op toegang tot de rechter (NJCM, CRM, NVvR)</w:t>
      </w:r>
      <w:r w:rsidR="00DA32C0">
        <w:rPr>
          <w:rFonts w:ascii="Verdana" w:hAnsi="Verdana" w:cs="Arial"/>
          <w:sz w:val="18"/>
          <w:szCs w:val="18"/>
        </w:rPr>
        <w:t xml:space="preserve">. </w:t>
      </w:r>
      <w:r w:rsidR="00C7512C">
        <w:rPr>
          <w:rFonts w:ascii="Verdana" w:hAnsi="Verdana" w:cs="Arial"/>
          <w:sz w:val="18"/>
          <w:szCs w:val="18"/>
        </w:rPr>
        <w:t xml:space="preserve">Op deze vragen wordt nader ingegaan in de betreffende paragrafen van de </w:t>
      </w:r>
      <w:r w:rsidR="00CC1FF6">
        <w:rPr>
          <w:rFonts w:ascii="Verdana" w:hAnsi="Verdana" w:cs="Arial"/>
          <w:sz w:val="18"/>
          <w:szCs w:val="18"/>
        </w:rPr>
        <w:t xml:space="preserve">memorie van </w:t>
      </w:r>
      <w:r w:rsidR="00C7512C">
        <w:rPr>
          <w:rFonts w:ascii="Verdana" w:hAnsi="Verdana" w:cs="Arial"/>
          <w:sz w:val="18"/>
          <w:szCs w:val="18"/>
        </w:rPr>
        <w:t xml:space="preserve">toelichting. </w:t>
      </w:r>
      <w:r w:rsidR="00F7634B">
        <w:rPr>
          <w:rFonts w:ascii="Verdana" w:hAnsi="Verdana" w:cs="Arial"/>
          <w:sz w:val="18"/>
          <w:szCs w:val="18"/>
        </w:rPr>
        <w:t xml:space="preserve">Op één punt, de formulering van de reikwijdte van de bepaling, is </w:t>
      </w:r>
      <w:r w:rsidR="00F7634B">
        <w:rPr>
          <w:rFonts w:ascii="Verdana" w:hAnsi="Verdana" w:cs="Arial"/>
          <w:sz w:val="18"/>
          <w:szCs w:val="18"/>
        </w:rPr>
        <w:lastRenderedPageBreak/>
        <w:t xml:space="preserve">niet alleen de toelichting aangevuld, maar is ook de voorgestelde grondwetsbepaling zelf gepreciseerd, namelijk door daarin expliciet op te nemen voor welk type rechtsbetrekkingen de bepaling geldt (‘vaststellen van rechten en plichten’ en ‘bepalen van de gegrondheid van een ingestelde strafvervolging’). Hiermee wordt tegemoet gekomen aan de kritiek dat de reikwijdte van de voorgestelde grondwetsbepaling zonder die precisering te onbepaald is en de indruk wekt dat iedereen te allen tijd en onder alle omstandigheden een recht op een eerlijk proces heeft. </w:t>
      </w:r>
      <w:r w:rsidR="00C7512C">
        <w:rPr>
          <w:rFonts w:ascii="Verdana" w:hAnsi="Verdana" w:cs="Arial"/>
          <w:sz w:val="18"/>
          <w:szCs w:val="18"/>
        </w:rPr>
        <w:t xml:space="preserve">Ook </w:t>
      </w:r>
      <w:r w:rsidR="00E80549">
        <w:rPr>
          <w:rFonts w:ascii="Verdana" w:hAnsi="Verdana" w:cs="Arial"/>
          <w:sz w:val="18"/>
          <w:szCs w:val="18"/>
        </w:rPr>
        <w:t xml:space="preserve">is in de adviezen gevraagd om nader in te gaan op </w:t>
      </w:r>
      <w:r w:rsidR="00C7512C">
        <w:rPr>
          <w:rFonts w:ascii="Verdana" w:hAnsi="Verdana" w:cs="Arial"/>
          <w:sz w:val="18"/>
          <w:szCs w:val="18"/>
        </w:rPr>
        <w:t>de verhouding van de voorgestelde grondwettelijke bepaling tot verdragsbepalingen die het recht op een eerlijk p</w:t>
      </w:r>
      <w:r w:rsidR="00E80549">
        <w:rPr>
          <w:rFonts w:ascii="Verdana" w:hAnsi="Verdana" w:cs="Arial"/>
          <w:sz w:val="18"/>
          <w:szCs w:val="18"/>
        </w:rPr>
        <w:t>roces vestigen (</w:t>
      </w:r>
      <w:r w:rsidR="00CC1FF6">
        <w:rPr>
          <w:rFonts w:ascii="Verdana" w:hAnsi="Verdana" w:cs="Arial"/>
          <w:sz w:val="18"/>
          <w:szCs w:val="18"/>
        </w:rPr>
        <w:t>OM)</w:t>
      </w:r>
      <w:r w:rsidR="00C7512C">
        <w:rPr>
          <w:rFonts w:ascii="Verdana" w:hAnsi="Verdana" w:cs="Arial"/>
          <w:sz w:val="18"/>
          <w:szCs w:val="18"/>
        </w:rPr>
        <w:t xml:space="preserve">. </w:t>
      </w:r>
      <w:r w:rsidR="00344367">
        <w:rPr>
          <w:rFonts w:ascii="Verdana" w:hAnsi="Verdana" w:cs="Arial"/>
          <w:sz w:val="18"/>
          <w:szCs w:val="18"/>
        </w:rPr>
        <w:t>P</w:t>
      </w:r>
      <w:r w:rsidR="00E80549">
        <w:rPr>
          <w:rFonts w:ascii="Verdana" w:hAnsi="Verdana" w:cs="Arial"/>
          <w:sz w:val="18"/>
          <w:szCs w:val="18"/>
        </w:rPr>
        <w:t>aragraaf 8 van de toelichting</w:t>
      </w:r>
      <w:r w:rsidR="00344367">
        <w:rPr>
          <w:rFonts w:ascii="Verdana" w:hAnsi="Verdana" w:cs="Arial"/>
          <w:sz w:val="18"/>
          <w:szCs w:val="18"/>
        </w:rPr>
        <w:t xml:space="preserve"> is met een beschouwing hierover aangevuld</w:t>
      </w:r>
      <w:r w:rsidR="00E80549">
        <w:rPr>
          <w:rFonts w:ascii="Verdana" w:hAnsi="Verdana" w:cs="Arial"/>
          <w:sz w:val="18"/>
          <w:szCs w:val="18"/>
        </w:rPr>
        <w:t xml:space="preserve">. </w:t>
      </w:r>
      <w:r w:rsidR="00C7512C">
        <w:rPr>
          <w:rFonts w:ascii="Verdana" w:hAnsi="Verdana" w:cs="Arial"/>
          <w:sz w:val="18"/>
          <w:szCs w:val="18"/>
        </w:rPr>
        <w:t>Tot slot vragen</w:t>
      </w:r>
      <w:r w:rsidR="00F7634B">
        <w:rPr>
          <w:rFonts w:ascii="Verdana" w:hAnsi="Verdana" w:cs="Arial"/>
          <w:sz w:val="18"/>
          <w:szCs w:val="18"/>
        </w:rPr>
        <w:t xml:space="preserve"> de </w:t>
      </w:r>
      <w:r w:rsidR="0028560A">
        <w:rPr>
          <w:rFonts w:ascii="Verdana" w:hAnsi="Verdana" w:cs="Arial"/>
          <w:sz w:val="18"/>
          <w:szCs w:val="18"/>
        </w:rPr>
        <w:t>Rvdr</w:t>
      </w:r>
      <w:r w:rsidR="00C7512C">
        <w:rPr>
          <w:rFonts w:ascii="Verdana" w:hAnsi="Verdana" w:cs="Arial"/>
          <w:sz w:val="18"/>
          <w:szCs w:val="18"/>
        </w:rPr>
        <w:t xml:space="preserve">, NVvR, NJCM, </w:t>
      </w:r>
      <w:r w:rsidR="00F7634B">
        <w:rPr>
          <w:rFonts w:ascii="Verdana" w:hAnsi="Verdana" w:cs="Arial"/>
          <w:sz w:val="18"/>
          <w:szCs w:val="18"/>
        </w:rPr>
        <w:t xml:space="preserve">en het </w:t>
      </w:r>
      <w:r w:rsidR="00C7512C">
        <w:rPr>
          <w:rFonts w:ascii="Verdana" w:hAnsi="Verdana" w:cs="Arial"/>
          <w:sz w:val="18"/>
          <w:szCs w:val="18"/>
        </w:rPr>
        <w:t xml:space="preserve">CRM aandacht voor </w:t>
      </w:r>
      <w:r w:rsidR="00E80549">
        <w:rPr>
          <w:rFonts w:ascii="Verdana" w:hAnsi="Verdana" w:cs="Arial"/>
          <w:sz w:val="18"/>
          <w:szCs w:val="18"/>
        </w:rPr>
        <w:t>de consequenties</w:t>
      </w:r>
      <w:r w:rsidR="00C7512C">
        <w:rPr>
          <w:rFonts w:ascii="Verdana" w:hAnsi="Verdana" w:cs="Arial"/>
          <w:sz w:val="18"/>
          <w:szCs w:val="18"/>
        </w:rPr>
        <w:t xml:space="preserve"> van het hu</w:t>
      </w:r>
      <w:r w:rsidR="00861AFF">
        <w:rPr>
          <w:rFonts w:ascii="Verdana" w:hAnsi="Verdana" w:cs="Arial"/>
          <w:sz w:val="18"/>
          <w:szCs w:val="18"/>
        </w:rPr>
        <w:t xml:space="preserve">idige verbod op </w:t>
      </w:r>
      <w:r w:rsidR="00C7512C">
        <w:rPr>
          <w:rFonts w:ascii="Verdana" w:hAnsi="Verdana" w:cs="Arial"/>
          <w:sz w:val="18"/>
          <w:szCs w:val="18"/>
        </w:rPr>
        <w:t xml:space="preserve">toetsing </w:t>
      </w:r>
      <w:r w:rsidR="00861AFF">
        <w:rPr>
          <w:rFonts w:ascii="Verdana" w:hAnsi="Verdana" w:cs="Arial"/>
          <w:sz w:val="18"/>
          <w:szCs w:val="18"/>
        </w:rPr>
        <w:t xml:space="preserve">van formele wetten aan de Grondwet </w:t>
      </w:r>
      <w:r w:rsidR="00C7512C">
        <w:rPr>
          <w:rFonts w:ascii="Verdana" w:hAnsi="Verdana" w:cs="Arial"/>
          <w:sz w:val="18"/>
          <w:szCs w:val="18"/>
        </w:rPr>
        <w:t>voor het onderhavige voorstel.</w:t>
      </w:r>
      <w:r w:rsidR="004405C7">
        <w:rPr>
          <w:rFonts w:ascii="Verdana" w:hAnsi="Verdana" w:cs="Arial"/>
          <w:sz w:val="18"/>
          <w:szCs w:val="18"/>
        </w:rPr>
        <w:t xml:space="preserve"> Hierop wordt kort in</w:t>
      </w:r>
      <w:r w:rsidR="00861AFF">
        <w:rPr>
          <w:rFonts w:ascii="Verdana" w:hAnsi="Verdana" w:cs="Arial"/>
          <w:sz w:val="18"/>
          <w:szCs w:val="18"/>
        </w:rPr>
        <w:t>gegaan in paragraaf 4.1 van de</w:t>
      </w:r>
      <w:r w:rsidR="00536C3E">
        <w:rPr>
          <w:rFonts w:ascii="Verdana" w:hAnsi="Verdana" w:cs="Arial"/>
          <w:sz w:val="18"/>
          <w:szCs w:val="18"/>
        </w:rPr>
        <w:t>ze</w:t>
      </w:r>
      <w:r w:rsidR="00861AFF">
        <w:rPr>
          <w:rFonts w:ascii="Verdana" w:hAnsi="Verdana" w:cs="Arial"/>
          <w:sz w:val="18"/>
          <w:szCs w:val="18"/>
        </w:rPr>
        <w:t xml:space="preserve"> toelichting.</w:t>
      </w:r>
      <w:r w:rsidR="00C7512C">
        <w:rPr>
          <w:rFonts w:ascii="Verdana" w:hAnsi="Verdana" w:cs="Arial"/>
          <w:sz w:val="18"/>
          <w:szCs w:val="18"/>
        </w:rPr>
        <w:t xml:space="preserve"> </w:t>
      </w:r>
    </w:p>
    <w:p w:rsidR="00536C3E" w:rsidRDefault="001078F3" w:rsidP="00536C3E">
      <w:pPr>
        <w:spacing w:before="100" w:beforeAutospacing="1" w:after="100" w:afterAutospacing="1" w:line="280" w:lineRule="atLeast"/>
        <w:rPr>
          <w:rFonts w:ascii="Verdana" w:hAnsi="Verdana" w:cs="Arial"/>
          <w:sz w:val="18"/>
          <w:szCs w:val="18"/>
        </w:rPr>
      </w:pPr>
      <w:r>
        <w:rPr>
          <w:rFonts w:ascii="Verdana" w:hAnsi="Verdana" w:cs="Arial"/>
          <w:sz w:val="18"/>
          <w:szCs w:val="18"/>
        </w:rPr>
        <w:t>In de internetconsul</w:t>
      </w:r>
      <w:r w:rsidR="00380F0A">
        <w:rPr>
          <w:rFonts w:ascii="Verdana" w:hAnsi="Verdana" w:cs="Arial"/>
          <w:sz w:val="18"/>
          <w:szCs w:val="18"/>
        </w:rPr>
        <w:t xml:space="preserve">tatie zijn acht reacties </w:t>
      </w:r>
      <w:r>
        <w:rPr>
          <w:rFonts w:ascii="Verdana" w:hAnsi="Verdana" w:cs="Arial"/>
          <w:sz w:val="18"/>
          <w:szCs w:val="18"/>
        </w:rPr>
        <w:t>van uiteenlopende aard</w:t>
      </w:r>
      <w:r w:rsidR="00380F0A">
        <w:rPr>
          <w:rFonts w:ascii="Verdana" w:hAnsi="Verdana" w:cs="Arial"/>
          <w:sz w:val="18"/>
          <w:szCs w:val="18"/>
        </w:rPr>
        <w:t xml:space="preserve"> gegeven</w:t>
      </w:r>
      <w:r>
        <w:rPr>
          <w:rFonts w:ascii="Verdana" w:hAnsi="Verdana" w:cs="Arial"/>
          <w:sz w:val="18"/>
          <w:szCs w:val="18"/>
        </w:rPr>
        <w:t xml:space="preserve">. </w:t>
      </w:r>
      <w:r w:rsidR="0093604A">
        <w:rPr>
          <w:rFonts w:ascii="Verdana" w:hAnsi="Verdana" w:cs="Arial"/>
          <w:sz w:val="18"/>
          <w:szCs w:val="18"/>
        </w:rPr>
        <w:t>Ook deze zijn</w:t>
      </w:r>
      <w:r w:rsidR="00380F0A">
        <w:rPr>
          <w:rFonts w:ascii="Verdana" w:hAnsi="Verdana" w:cs="Arial"/>
          <w:sz w:val="18"/>
          <w:szCs w:val="18"/>
        </w:rPr>
        <w:t xml:space="preserve"> van ondersteunende aard voor het wetsvoorstel</w:t>
      </w:r>
      <w:r w:rsidR="004847D9">
        <w:rPr>
          <w:rFonts w:ascii="Verdana" w:hAnsi="Verdana" w:cs="Arial"/>
          <w:sz w:val="18"/>
          <w:szCs w:val="18"/>
        </w:rPr>
        <w:t xml:space="preserve">, </w:t>
      </w:r>
      <w:r w:rsidR="00380F0A">
        <w:rPr>
          <w:rFonts w:ascii="Verdana" w:hAnsi="Verdana" w:cs="Arial"/>
          <w:sz w:val="18"/>
          <w:szCs w:val="18"/>
        </w:rPr>
        <w:t xml:space="preserve">soms aangevuld met een reactie op de concrete uitwerking van het </w:t>
      </w:r>
      <w:r w:rsidR="0093604A">
        <w:rPr>
          <w:rFonts w:ascii="Verdana" w:hAnsi="Verdana" w:cs="Arial"/>
          <w:sz w:val="18"/>
          <w:szCs w:val="18"/>
        </w:rPr>
        <w:t xml:space="preserve">voorgestelde </w:t>
      </w:r>
      <w:r w:rsidR="00380F0A">
        <w:rPr>
          <w:rFonts w:ascii="Verdana" w:hAnsi="Verdana" w:cs="Arial"/>
          <w:sz w:val="18"/>
          <w:szCs w:val="18"/>
        </w:rPr>
        <w:t xml:space="preserve">recht op een eerlijk proces. </w:t>
      </w:r>
      <w:r w:rsidR="0093604A">
        <w:rPr>
          <w:rFonts w:ascii="Verdana" w:hAnsi="Verdana" w:cs="Arial"/>
          <w:sz w:val="18"/>
          <w:szCs w:val="18"/>
        </w:rPr>
        <w:t xml:space="preserve">Ten dele sluiten de </w:t>
      </w:r>
      <w:r w:rsidR="00536C3E">
        <w:rPr>
          <w:rFonts w:ascii="Verdana" w:hAnsi="Verdana" w:cs="Arial"/>
          <w:sz w:val="18"/>
          <w:szCs w:val="18"/>
        </w:rPr>
        <w:t xml:space="preserve">via internetconsultatie </w:t>
      </w:r>
      <w:r w:rsidR="00380F0A">
        <w:rPr>
          <w:rFonts w:ascii="Verdana" w:hAnsi="Verdana" w:cs="Arial"/>
          <w:sz w:val="18"/>
          <w:szCs w:val="18"/>
        </w:rPr>
        <w:t xml:space="preserve">genoemde </w:t>
      </w:r>
      <w:r w:rsidR="0093604A">
        <w:rPr>
          <w:rFonts w:ascii="Verdana" w:hAnsi="Verdana" w:cs="Arial"/>
          <w:sz w:val="18"/>
          <w:szCs w:val="18"/>
        </w:rPr>
        <w:t xml:space="preserve">punten </w:t>
      </w:r>
      <w:r w:rsidR="00380F0A">
        <w:rPr>
          <w:rFonts w:ascii="Verdana" w:hAnsi="Verdana" w:cs="Arial"/>
          <w:sz w:val="18"/>
          <w:szCs w:val="18"/>
        </w:rPr>
        <w:t>aan bij de</w:t>
      </w:r>
      <w:r w:rsidR="00536C3E">
        <w:rPr>
          <w:rFonts w:ascii="Verdana" w:hAnsi="Verdana" w:cs="Arial"/>
          <w:sz w:val="18"/>
          <w:szCs w:val="18"/>
        </w:rPr>
        <w:t xml:space="preserve"> reacties van de adviesorganen</w:t>
      </w:r>
      <w:r w:rsidR="00380F0A">
        <w:rPr>
          <w:rFonts w:ascii="Verdana" w:hAnsi="Verdana" w:cs="Arial"/>
          <w:sz w:val="18"/>
          <w:szCs w:val="18"/>
        </w:rPr>
        <w:t xml:space="preserve"> , zoals de opmerking dat de bepaling in zijn voorgestelde formulering een onbepaalde reikwijdte heeft, over het gebruik en de betekenis van de term ‘rechter’ in plaats van ‘gerecht’ en over het belang van naleving van het nieuwe grondrecht in de praktijk.</w:t>
      </w:r>
      <w:r w:rsidR="00536C3E">
        <w:rPr>
          <w:rFonts w:ascii="Verdana" w:hAnsi="Verdana" w:cs="Arial"/>
          <w:sz w:val="18"/>
          <w:szCs w:val="18"/>
        </w:rPr>
        <w:t xml:space="preserve"> Ook deze reacties hebben aanleiding gegeven om de toelichting op onderdelen aan te vullen.</w:t>
      </w:r>
    </w:p>
    <w:p w:rsidR="00D81ED8" w:rsidRDefault="00A15626" w:rsidP="00380F0A">
      <w:pPr>
        <w:spacing w:before="100" w:beforeAutospacing="1" w:after="100" w:afterAutospacing="1" w:line="280" w:lineRule="atLeast"/>
        <w:rPr>
          <w:rFonts w:ascii="Verdana" w:hAnsi="Verdana" w:cs="Arial"/>
          <w:sz w:val="18"/>
          <w:szCs w:val="18"/>
        </w:rPr>
      </w:pPr>
      <w:r>
        <w:rPr>
          <w:rFonts w:ascii="Verdana" w:hAnsi="Verdana" w:cs="Arial"/>
          <w:sz w:val="18"/>
          <w:szCs w:val="18"/>
        </w:rPr>
        <w:t>Over het belang van de garantie van een eerlijk proces in de praktijk merken wij het volgende op. E</w:t>
      </w:r>
      <w:r w:rsidR="00245940">
        <w:rPr>
          <w:rFonts w:ascii="Verdana" w:hAnsi="Verdana" w:cs="Arial"/>
          <w:sz w:val="18"/>
          <w:szCs w:val="18"/>
        </w:rPr>
        <w:t>é</w:t>
      </w:r>
      <w:r>
        <w:rPr>
          <w:rFonts w:ascii="Verdana" w:hAnsi="Verdana" w:cs="Arial"/>
          <w:sz w:val="18"/>
          <w:szCs w:val="18"/>
        </w:rPr>
        <w:t xml:space="preserve">n van de consultatiereacties was “Een eerlijk proces moet je niet proclameren in de Grondwet, maar uitvoeren in de praktijk.” Het College voor de </w:t>
      </w:r>
      <w:r w:rsidR="00245940">
        <w:rPr>
          <w:rFonts w:ascii="Verdana" w:hAnsi="Verdana" w:cs="Arial"/>
          <w:sz w:val="18"/>
          <w:szCs w:val="18"/>
        </w:rPr>
        <w:t>R</w:t>
      </w:r>
      <w:r>
        <w:rPr>
          <w:rFonts w:ascii="Verdana" w:hAnsi="Verdana" w:cs="Arial"/>
          <w:sz w:val="18"/>
          <w:szCs w:val="18"/>
        </w:rPr>
        <w:t xml:space="preserve">echten van de </w:t>
      </w:r>
      <w:r w:rsidR="00245940">
        <w:rPr>
          <w:rFonts w:ascii="Verdana" w:hAnsi="Verdana" w:cs="Arial"/>
          <w:sz w:val="18"/>
          <w:szCs w:val="18"/>
        </w:rPr>
        <w:t>M</w:t>
      </w:r>
      <w:r>
        <w:rPr>
          <w:rFonts w:ascii="Verdana" w:hAnsi="Verdana" w:cs="Arial"/>
          <w:sz w:val="18"/>
          <w:szCs w:val="18"/>
        </w:rPr>
        <w:t>ens besluit</w:t>
      </w:r>
      <w:r w:rsidR="00245940">
        <w:rPr>
          <w:rFonts w:ascii="Verdana" w:hAnsi="Verdana" w:cs="Arial"/>
          <w:sz w:val="18"/>
          <w:szCs w:val="18"/>
        </w:rPr>
        <w:t xml:space="preserve"> zijn</w:t>
      </w:r>
      <w:r>
        <w:rPr>
          <w:rFonts w:ascii="Verdana" w:hAnsi="Verdana" w:cs="Arial"/>
          <w:sz w:val="18"/>
          <w:szCs w:val="18"/>
        </w:rPr>
        <w:t xml:space="preserve"> advies met de opmerking dat de noodzaak om de toegang tot het recht niet slechts op papier vast te leggen, maar ook in de praktijk te garanderen. Beide uitspraken </w:t>
      </w:r>
      <w:r w:rsidR="004405C7">
        <w:rPr>
          <w:rFonts w:ascii="Verdana" w:hAnsi="Verdana" w:cs="Arial"/>
          <w:sz w:val="18"/>
          <w:szCs w:val="18"/>
        </w:rPr>
        <w:t>onderschrijft het</w:t>
      </w:r>
      <w:r>
        <w:rPr>
          <w:rFonts w:ascii="Verdana" w:hAnsi="Verdana" w:cs="Arial"/>
          <w:sz w:val="18"/>
          <w:szCs w:val="18"/>
        </w:rPr>
        <w:t xml:space="preserve"> kabinet</w:t>
      </w:r>
      <w:r w:rsidR="004405C7">
        <w:rPr>
          <w:rFonts w:ascii="Verdana" w:hAnsi="Verdana" w:cs="Arial"/>
          <w:sz w:val="18"/>
          <w:szCs w:val="18"/>
        </w:rPr>
        <w:t xml:space="preserve"> volledig</w:t>
      </w:r>
      <w:r>
        <w:rPr>
          <w:rFonts w:ascii="Verdana" w:hAnsi="Verdana" w:cs="Arial"/>
          <w:sz w:val="18"/>
          <w:szCs w:val="18"/>
        </w:rPr>
        <w:t>. Voor de burger is natuurlijk in de eerste plaats van belang hoe (de toegang tot) het recht in de praktijk vorm krijgt. Het is waar dat de verankering van een grondrecht in de Grondwet op zichzelf nog geen feitelijke waar</w:t>
      </w:r>
      <w:r w:rsidR="00BE71E0">
        <w:rPr>
          <w:rFonts w:ascii="Verdana" w:hAnsi="Verdana" w:cs="Arial"/>
          <w:sz w:val="18"/>
          <w:szCs w:val="18"/>
        </w:rPr>
        <w:t xml:space="preserve">borg vormt. </w:t>
      </w:r>
      <w:r>
        <w:rPr>
          <w:rFonts w:ascii="Verdana" w:hAnsi="Verdana" w:cs="Arial"/>
          <w:sz w:val="18"/>
          <w:szCs w:val="18"/>
        </w:rPr>
        <w:t>Het begint echter wel met het stellen van de norm, in dit geval op constitutioneel niveau. Dat is de taak van de grondwetgever. De Grondwet heeft voornamelijk een institutioneel-organisatorische en waarborgfunctie en heeft daarnaast, dit geldt in het bijzonder voor hoofdstuk 1 van de Grondwet, een juridisch-normatieve functie. Haar stabiliserende werking in de politieke praktijk is van groot belang in een sterk veranderende wereld.</w:t>
      </w:r>
      <w:r>
        <w:rPr>
          <w:rStyle w:val="Voetnootmarkering"/>
          <w:rFonts w:ascii="Verdana" w:hAnsi="Verdana" w:cs="Arial"/>
          <w:sz w:val="18"/>
          <w:szCs w:val="18"/>
        </w:rPr>
        <w:footnoteReference w:id="12"/>
      </w:r>
      <w:r>
        <w:rPr>
          <w:rFonts w:ascii="Verdana" w:hAnsi="Verdana" w:cs="Arial"/>
          <w:sz w:val="18"/>
          <w:szCs w:val="18"/>
        </w:rPr>
        <w:t xml:space="preserve"> Het kabinet h</w:t>
      </w:r>
      <w:r w:rsidR="0044423E">
        <w:rPr>
          <w:rFonts w:ascii="Verdana" w:hAnsi="Verdana" w:cs="Arial"/>
          <w:sz w:val="18"/>
          <w:szCs w:val="18"/>
        </w:rPr>
        <w:t xml:space="preserve">echt aan </w:t>
      </w:r>
      <w:r w:rsidR="009829F7">
        <w:rPr>
          <w:rFonts w:ascii="Verdana" w:hAnsi="Verdana" w:cs="Arial"/>
          <w:sz w:val="18"/>
          <w:szCs w:val="18"/>
        </w:rPr>
        <w:t xml:space="preserve">de expliciete verankering </w:t>
      </w:r>
      <w:r w:rsidR="0044423E">
        <w:rPr>
          <w:rFonts w:ascii="Verdana" w:hAnsi="Verdana" w:cs="Arial"/>
          <w:sz w:val="18"/>
          <w:szCs w:val="18"/>
        </w:rPr>
        <w:t>van</w:t>
      </w:r>
      <w:r>
        <w:rPr>
          <w:rFonts w:ascii="Verdana" w:hAnsi="Verdana" w:cs="Arial"/>
          <w:sz w:val="18"/>
          <w:szCs w:val="18"/>
        </w:rPr>
        <w:t xml:space="preserve"> het recht op een eerlijk proces</w:t>
      </w:r>
      <w:r w:rsidR="009829F7">
        <w:rPr>
          <w:rFonts w:ascii="Verdana" w:hAnsi="Verdana" w:cs="Arial"/>
          <w:sz w:val="18"/>
          <w:szCs w:val="18"/>
        </w:rPr>
        <w:t xml:space="preserve"> op grondwettelijk niveau</w:t>
      </w:r>
      <w:r>
        <w:rPr>
          <w:rFonts w:ascii="Verdana" w:hAnsi="Verdana" w:cs="Arial"/>
          <w:sz w:val="18"/>
          <w:szCs w:val="18"/>
        </w:rPr>
        <w:t xml:space="preserve">. </w:t>
      </w:r>
      <w:r w:rsidR="00245940">
        <w:rPr>
          <w:rFonts w:ascii="Verdana" w:hAnsi="Verdana" w:cs="Arial"/>
          <w:sz w:val="18"/>
          <w:szCs w:val="18"/>
        </w:rPr>
        <w:t>D</w:t>
      </w:r>
      <w:r>
        <w:rPr>
          <w:rFonts w:ascii="Verdana" w:hAnsi="Verdana" w:cs="Arial"/>
          <w:sz w:val="18"/>
          <w:szCs w:val="18"/>
        </w:rPr>
        <w:t>e wetgev</w:t>
      </w:r>
      <w:r w:rsidR="00245940">
        <w:rPr>
          <w:rFonts w:ascii="Verdana" w:hAnsi="Verdana" w:cs="Arial"/>
          <w:sz w:val="18"/>
          <w:szCs w:val="18"/>
        </w:rPr>
        <w:t xml:space="preserve">er zal conceptwetgeving, indien relevant, moeten toetsen aan </w:t>
      </w:r>
      <w:r w:rsidR="0044423E">
        <w:rPr>
          <w:rFonts w:ascii="Verdana" w:hAnsi="Verdana" w:cs="Arial"/>
          <w:sz w:val="18"/>
          <w:szCs w:val="18"/>
        </w:rPr>
        <w:t xml:space="preserve">die grondwettelijke </w:t>
      </w:r>
      <w:r w:rsidR="00245940">
        <w:rPr>
          <w:rFonts w:ascii="Verdana" w:hAnsi="Verdana" w:cs="Arial"/>
          <w:sz w:val="18"/>
          <w:szCs w:val="18"/>
        </w:rPr>
        <w:t>norm</w:t>
      </w:r>
      <w:r w:rsidR="0044423E">
        <w:rPr>
          <w:rFonts w:ascii="Verdana" w:hAnsi="Verdana" w:cs="Arial"/>
          <w:sz w:val="18"/>
          <w:szCs w:val="18"/>
        </w:rPr>
        <w:t xml:space="preserve"> in het wetgevingsproces</w:t>
      </w:r>
      <w:r w:rsidR="00245940">
        <w:rPr>
          <w:rFonts w:ascii="Verdana" w:hAnsi="Verdana" w:cs="Arial"/>
          <w:sz w:val="18"/>
          <w:szCs w:val="18"/>
        </w:rPr>
        <w:t xml:space="preserve">, en kan </w:t>
      </w:r>
      <w:r w:rsidR="0044423E">
        <w:rPr>
          <w:rFonts w:ascii="Verdana" w:hAnsi="Verdana" w:cs="Arial"/>
          <w:sz w:val="18"/>
          <w:szCs w:val="18"/>
        </w:rPr>
        <w:t xml:space="preserve">daaraan </w:t>
      </w:r>
      <w:r w:rsidR="00245940">
        <w:rPr>
          <w:rFonts w:ascii="Verdana" w:hAnsi="Verdana" w:cs="Arial"/>
          <w:sz w:val="18"/>
          <w:szCs w:val="18"/>
        </w:rPr>
        <w:t>ook</w:t>
      </w:r>
      <w:r>
        <w:rPr>
          <w:rFonts w:ascii="Verdana" w:hAnsi="Verdana" w:cs="Arial"/>
          <w:sz w:val="18"/>
          <w:szCs w:val="18"/>
        </w:rPr>
        <w:t xml:space="preserve"> </w:t>
      </w:r>
      <w:r w:rsidR="0028560A">
        <w:rPr>
          <w:rFonts w:ascii="Verdana" w:hAnsi="Verdana" w:cs="Arial"/>
          <w:sz w:val="18"/>
          <w:szCs w:val="18"/>
        </w:rPr>
        <w:t>nadere uitwerking</w:t>
      </w:r>
      <w:r>
        <w:rPr>
          <w:rFonts w:ascii="Verdana" w:hAnsi="Verdana" w:cs="Arial"/>
          <w:sz w:val="18"/>
          <w:szCs w:val="18"/>
        </w:rPr>
        <w:t xml:space="preserve"> geven. Als de </w:t>
      </w:r>
      <w:r w:rsidR="00D215A6">
        <w:rPr>
          <w:rFonts w:ascii="Verdana" w:hAnsi="Verdana" w:cs="Arial"/>
          <w:sz w:val="18"/>
          <w:szCs w:val="18"/>
        </w:rPr>
        <w:t>rechts</w:t>
      </w:r>
      <w:r>
        <w:rPr>
          <w:rFonts w:ascii="Verdana" w:hAnsi="Verdana" w:cs="Arial"/>
          <w:sz w:val="18"/>
          <w:szCs w:val="18"/>
        </w:rPr>
        <w:t>praktijk afwijkt van de in de Grondwet gestelde norm kan een burger dit grondrecht bovendien direct inroepen voor de rechter</w:t>
      </w:r>
      <w:r w:rsidR="00D215A6">
        <w:rPr>
          <w:rFonts w:ascii="Verdana" w:hAnsi="Verdana" w:cs="Arial"/>
          <w:sz w:val="18"/>
          <w:szCs w:val="18"/>
        </w:rPr>
        <w:t>, zolang dat geen toetsing van de wet in formele zin aan de Grondwet behelst (zie ook paragraaf 4.1)</w:t>
      </w:r>
      <w:r>
        <w:rPr>
          <w:rFonts w:ascii="Verdana" w:hAnsi="Verdana" w:cs="Arial"/>
          <w:sz w:val="18"/>
          <w:szCs w:val="18"/>
        </w:rPr>
        <w:t xml:space="preserve">. </w:t>
      </w:r>
    </w:p>
    <w:p w:rsidR="00DF1B12" w:rsidRPr="00F47F94" w:rsidRDefault="00DF1B12" w:rsidP="00380F0A">
      <w:pPr>
        <w:spacing w:before="100" w:beforeAutospacing="1" w:after="100" w:afterAutospacing="1" w:line="280" w:lineRule="atLeast"/>
        <w:rPr>
          <w:rFonts w:ascii="Verdana" w:hAnsi="Verdana" w:cs="Arial"/>
          <w:sz w:val="18"/>
          <w:szCs w:val="18"/>
        </w:rPr>
      </w:pPr>
    </w:p>
    <w:p w:rsidR="00290B7B" w:rsidRDefault="00330583" w:rsidP="00296568">
      <w:pPr>
        <w:pStyle w:val="Lijstalinea"/>
        <w:numPr>
          <w:ilvl w:val="0"/>
          <w:numId w:val="5"/>
        </w:numPr>
        <w:spacing w:line="280" w:lineRule="atLeast"/>
        <w:rPr>
          <w:rFonts w:ascii="Verdana" w:hAnsi="Verdana"/>
          <w:b/>
          <w:sz w:val="18"/>
          <w:szCs w:val="18"/>
        </w:rPr>
      </w:pPr>
      <w:r>
        <w:rPr>
          <w:rFonts w:ascii="Verdana" w:hAnsi="Verdana"/>
          <w:b/>
          <w:sz w:val="18"/>
          <w:szCs w:val="18"/>
        </w:rPr>
        <w:t>Het recht op een eerlijk proces in een d</w:t>
      </w:r>
      <w:r w:rsidR="00480B6F" w:rsidRPr="00787D5C">
        <w:rPr>
          <w:rFonts w:ascii="Verdana" w:hAnsi="Verdana"/>
          <w:b/>
          <w:sz w:val="18"/>
          <w:szCs w:val="18"/>
        </w:rPr>
        <w:t>em</w:t>
      </w:r>
      <w:r w:rsidR="00042C8F" w:rsidRPr="00787D5C">
        <w:rPr>
          <w:rFonts w:ascii="Verdana" w:hAnsi="Verdana"/>
          <w:b/>
          <w:sz w:val="18"/>
          <w:szCs w:val="18"/>
        </w:rPr>
        <w:t>o</w:t>
      </w:r>
      <w:r w:rsidR="00480B6F" w:rsidRPr="00787D5C">
        <w:rPr>
          <w:rFonts w:ascii="Verdana" w:hAnsi="Verdana"/>
          <w:b/>
          <w:sz w:val="18"/>
          <w:szCs w:val="18"/>
        </w:rPr>
        <w:t>crat</w:t>
      </w:r>
      <w:r w:rsidR="00042C8F" w:rsidRPr="00787D5C">
        <w:rPr>
          <w:rFonts w:ascii="Verdana" w:hAnsi="Verdana"/>
          <w:b/>
          <w:sz w:val="18"/>
          <w:szCs w:val="18"/>
        </w:rPr>
        <w:t xml:space="preserve">ische </w:t>
      </w:r>
      <w:r w:rsidR="00480B6F" w:rsidRPr="00787D5C">
        <w:rPr>
          <w:rFonts w:ascii="Verdana" w:hAnsi="Verdana"/>
          <w:b/>
          <w:sz w:val="18"/>
          <w:szCs w:val="18"/>
        </w:rPr>
        <w:t>r</w:t>
      </w:r>
      <w:r w:rsidR="00042C8F" w:rsidRPr="00787D5C">
        <w:rPr>
          <w:rFonts w:ascii="Verdana" w:hAnsi="Verdana"/>
          <w:b/>
          <w:sz w:val="18"/>
          <w:szCs w:val="18"/>
        </w:rPr>
        <w:t>e</w:t>
      </w:r>
      <w:r w:rsidR="00480B6F" w:rsidRPr="00787D5C">
        <w:rPr>
          <w:rFonts w:ascii="Verdana" w:hAnsi="Verdana"/>
          <w:b/>
          <w:sz w:val="18"/>
          <w:szCs w:val="18"/>
        </w:rPr>
        <w:t>cht</w:t>
      </w:r>
      <w:r w:rsidR="00042C8F" w:rsidRPr="00787D5C">
        <w:rPr>
          <w:rFonts w:ascii="Verdana" w:hAnsi="Verdana"/>
          <w:b/>
          <w:sz w:val="18"/>
          <w:szCs w:val="18"/>
        </w:rPr>
        <w:t>s</w:t>
      </w:r>
      <w:r w:rsidR="00480B6F" w:rsidRPr="00787D5C">
        <w:rPr>
          <w:rFonts w:ascii="Verdana" w:hAnsi="Verdana"/>
          <w:b/>
          <w:sz w:val="18"/>
          <w:szCs w:val="18"/>
        </w:rPr>
        <w:t>staat</w:t>
      </w:r>
    </w:p>
    <w:p w:rsidR="000A2559" w:rsidRDefault="00057223" w:rsidP="004D0A5A">
      <w:pPr>
        <w:pStyle w:val="Geenafstand"/>
        <w:spacing w:line="280" w:lineRule="atLeast"/>
        <w:rPr>
          <w:rFonts w:ascii="Verdana" w:hAnsi="Verdana"/>
          <w:sz w:val="18"/>
          <w:szCs w:val="18"/>
        </w:rPr>
      </w:pPr>
      <w:r w:rsidRPr="004D0A5A">
        <w:rPr>
          <w:rFonts w:ascii="Verdana" w:hAnsi="Verdana"/>
          <w:sz w:val="18"/>
          <w:szCs w:val="18"/>
        </w:rPr>
        <w:t>De rechtspraak is een pijler van de Nederlandse rechtsstaat en van groot belang voor het goede functioneren van de samenleving</w:t>
      </w:r>
      <w:r w:rsidR="001D0F74">
        <w:rPr>
          <w:rFonts w:ascii="Verdana" w:hAnsi="Verdana"/>
          <w:sz w:val="18"/>
          <w:szCs w:val="18"/>
        </w:rPr>
        <w:t>.</w:t>
      </w:r>
      <w:r w:rsidR="001D0F74">
        <w:rPr>
          <w:rStyle w:val="Voetnootmarkering"/>
          <w:rFonts w:ascii="Verdana" w:hAnsi="Verdana"/>
          <w:sz w:val="18"/>
          <w:szCs w:val="18"/>
        </w:rPr>
        <w:footnoteReference w:id="13"/>
      </w:r>
      <w:r w:rsidR="00E1550A">
        <w:rPr>
          <w:rFonts w:ascii="Verdana" w:hAnsi="Verdana"/>
          <w:sz w:val="18"/>
          <w:szCs w:val="18"/>
        </w:rPr>
        <w:t xml:space="preserve"> </w:t>
      </w:r>
      <w:r w:rsidR="0062374E" w:rsidRPr="004D0A5A">
        <w:rPr>
          <w:rFonts w:ascii="Verdana" w:hAnsi="Verdana"/>
          <w:sz w:val="18"/>
          <w:szCs w:val="18"/>
        </w:rPr>
        <w:t>Het rec</w:t>
      </w:r>
      <w:r w:rsidR="00B56821" w:rsidRPr="004D0A5A">
        <w:rPr>
          <w:rFonts w:ascii="Verdana" w:hAnsi="Verdana"/>
          <w:sz w:val="18"/>
          <w:szCs w:val="18"/>
        </w:rPr>
        <w:t>h</w:t>
      </w:r>
      <w:r w:rsidR="0062374E" w:rsidRPr="004D0A5A">
        <w:rPr>
          <w:rFonts w:ascii="Verdana" w:hAnsi="Verdana"/>
          <w:sz w:val="18"/>
          <w:szCs w:val="18"/>
        </w:rPr>
        <w:t>t o</w:t>
      </w:r>
      <w:r w:rsidR="00B56821" w:rsidRPr="004D0A5A">
        <w:rPr>
          <w:rFonts w:ascii="Verdana" w:hAnsi="Verdana"/>
          <w:sz w:val="18"/>
          <w:szCs w:val="18"/>
        </w:rPr>
        <w:t>p</w:t>
      </w:r>
      <w:r w:rsidR="0062374E" w:rsidRPr="004D0A5A">
        <w:rPr>
          <w:rFonts w:ascii="Verdana" w:hAnsi="Verdana"/>
          <w:sz w:val="18"/>
          <w:szCs w:val="18"/>
        </w:rPr>
        <w:t xml:space="preserve"> een</w:t>
      </w:r>
      <w:r w:rsidR="00042C8F" w:rsidRPr="004D0A5A">
        <w:rPr>
          <w:rFonts w:ascii="Verdana" w:hAnsi="Verdana"/>
          <w:sz w:val="18"/>
          <w:szCs w:val="18"/>
        </w:rPr>
        <w:t xml:space="preserve"> </w:t>
      </w:r>
      <w:r w:rsidR="0062374E" w:rsidRPr="004D0A5A">
        <w:rPr>
          <w:rFonts w:ascii="Verdana" w:hAnsi="Verdana"/>
          <w:sz w:val="18"/>
          <w:szCs w:val="18"/>
        </w:rPr>
        <w:t>e</w:t>
      </w:r>
      <w:r w:rsidR="00B56821" w:rsidRPr="004D0A5A">
        <w:rPr>
          <w:rFonts w:ascii="Verdana" w:hAnsi="Verdana"/>
          <w:sz w:val="18"/>
          <w:szCs w:val="18"/>
        </w:rPr>
        <w:t>erlijk</w:t>
      </w:r>
      <w:r w:rsidR="0062374E" w:rsidRPr="004D0A5A">
        <w:rPr>
          <w:rFonts w:ascii="Verdana" w:hAnsi="Verdana"/>
          <w:sz w:val="18"/>
          <w:szCs w:val="18"/>
        </w:rPr>
        <w:t xml:space="preserve"> pro</w:t>
      </w:r>
      <w:r w:rsidR="00B56821" w:rsidRPr="004D0A5A">
        <w:rPr>
          <w:rFonts w:ascii="Verdana" w:hAnsi="Verdana"/>
          <w:sz w:val="18"/>
          <w:szCs w:val="18"/>
        </w:rPr>
        <w:t>c</w:t>
      </w:r>
      <w:r w:rsidR="0062374E" w:rsidRPr="004D0A5A">
        <w:rPr>
          <w:rFonts w:ascii="Verdana" w:hAnsi="Verdana"/>
          <w:sz w:val="18"/>
          <w:szCs w:val="18"/>
        </w:rPr>
        <w:t>es voor</w:t>
      </w:r>
      <w:r w:rsidR="00F915A2" w:rsidRPr="004D0A5A">
        <w:rPr>
          <w:rFonts w:ascii="Verdana" w:hAnsi="Verdana"/>
          <w:sz w:val="18"/>
          <w:szCs w:val="18"/>
        </w:rPr>
        <w:t xml:space="preserve"> een onafhankelijke en </w:t>
      </w:r>
      <w:r w:rsidR="00F915A2" w:rsidRPr="004D0A5A">
        <w:rPr>
          <w:rFonts w:ascii="Verdana" w:hAnsi="Verdana"/>
          <w:sz w:val="18"/>
          <w:szCs w:val="18"/>
        </w:rPr>
        <w:lastRenderedPageBreak/>
        <w:t xml:space="preserve">onpartijdige rechter staat in nauwe relatie tot </w:t>
      </w:r>
      <w:r w:rsidR="0062374E" w:rsidRPr="004D0A5A">
        <w:rPr>
          <w:rFonts w:ascii="Verdana" w:hAnsi="Verdana"/>
          <w:sz w:val="18"/>
          <w:szCs w:val="18"/>
        </w:rPr>
        <w:t>de element</w:t>
      </w:r>
      <w:r w:rsidR="00042C8F" w:rsidRPr="004D0A5A">
        <w:rPr>
          <w:rFonts w:ascii="Verdana" w:hAnsi="Verdana"/>
          <w:sz w:val="18"/>
          <w:szCs w:val="18"/>
        </w:rPr>
        <w:t>e</w:t>
      </w:r>
      <w:r w:rsidR="0062374E" w:rsidRPr="004D0A5A">
        <w:rPr>
          <w:rFonts w:ascii="Verdana" w:hAnsi="Verdana"/>
          <w:sz w:val="18"/>
          <w:szCs w:val="18"/>
        </w:rPr>
        <w:t>n</w:t>
      </w:r>
      <w:r w:rsidR="00042C8F" w:rsidRPr="004D0A5A">
        <w:rPr>
          <w:rFonts w:ascii="Verdana" w:hAnsi="Verdana"/>
          <w:sz w:val="18"/>
          <w:szCs w:val="18"/>
        </w:rPr>
        <w:t xml:space="preserve"> </w:t>
      </w:r>
      <w:r w:rsidR="0062374E" w:rsidRPr="004D0A5A">
        <w:rPr>
          <w:rFonts w:ascii="Verdana" w:hAnsi="Verdana"/>
          <w:sz w:val="18"/>
          <w:szCs w:val="18"/>
        </w:rPr>
        <w:t>v</w:t>
      </w:r>
      <w:r w:rsidR="00042C8F" w:rsidRPr="004D0A5A">
        <w:rPr>
          <w:rFonts w:ascii="Verdana" w:hAnsi="Verdana"/>
          <w:sz w:val="18"/>
          <w:szCs w:val="18"/>
        </w:rPr>
        <w:t>a</w:t>
      </w:r>
      <w:r w:rsidR="0062374E" w:rsidRPr="004D0A5A">
        <w:rPr>
          <w:rFonts w:ascii="Verdana" w:hAnsi="Verdana"/>
          <w:sz w:val="18"/>
          <w:szCs w:val="18"/>
        </w:rPr>
        <w:t>n</w:t>
      </w:r>
      <w:r w:rsidR="00042C8F" w:rsidRPr="004D0A5A">
        <w:rPr>
          <w:rFonts w:ascii="Verdana" w:hAnsi="Verdana"/>
          <w:sz w:val="18"/>
          <w:szCs w:val="18"/>
        </w:rPr>
        <w:t xml:space="preserve"> </w:t>
      </w:r>
      <w:r w:rsidR="0062374E" w:rsidRPr="004D0A5A">
        <w:rPr>
          <w:rFonts w:ascii="Verdana" w:hAnsi="Verdana"/>
          <w:sz w:val="18"/>
          <w:szCs w:val="18"/>
        </w:rPr>
        <w:t>de d</w:t>
      </w:r>
      <w:r w:rsidR="00042C8F" w:rsidRPr="004D0A5A">
        <w:rPr>
          <w:rFonts w:ascii="Verdana" w:hAnsi="Verdana"/>
          <w:sz w:val="18"/>
          <w:szCs w:val="18"/>
        </w:rPr>
        <w:t>e</w:t>
      </w:r>
      <w:r w:rsidR="0062374E" w:rsidRPr="004D0A5A">
        <w:rPr>
          <w:rFonts w:ascii="Verdana" w:hAnsi="Verdana"/>
          <w:sz w:val="18"/>
          <w:szCs w:val="18"/>
        </w:rPr>
        <w:t>moc</w:t>
      </w:r>
      <w:r w:rsidR="00042C8F" w:rsidRPr="004D0A5A">
        <w:rPr>
          <w:rFonts w:ascii="Verdana" w:hAnsi="Verdana"/>
          <w:sz w:val="18"/>
          <w:szCs w:val="18"/>
        </w:rPr>
        <w:t>r</w:t>
      </w:r>
      <w:r w:rsidR="0062374E" w:rsidRPr="004D0A5A">
        <w:rPr>
          <w:rFonts w:ascii="Verdana" w:hAnsi="Verdana"/>
          <w:sz w:val="18"/>
          <w:szCs w:val="18"/>
        </w:rPr>
        <w:t>a</w:t>
      </w:r>
      <w:r w:rsidR="00042C8F" w:rsidRPr="004D0A5A">
        <w:rPr>
          <w:rFonts w:ascii="Verdana" w:hAnsi="Verdana"/>
          <w:sz w:val="18"/>
          <w:szCs w:val="18"/>
        </w:rPr>
        <w:t>tische</w:t>
      </w:r>
      <w:r w:rsidR="0062374E" w:rsidRPr="004D0A5A">
        <w:rPr>
          <w:rFonts w:ascii="Verdana" w:hAnsi="Verdana"/>
          <w:sz w:val="18"/>
          <w:szCs w:val="18"/>
        </w:rPr>
        <w:t xml:space="preserve"> </w:t>
      </w:r>
      <w:r w:rsidR="00042C8F" w:rsidRPr="004D0A5A">
        <w:rPr>
          <w:rFonts w:ascii="Verdana" w:hAnsi="Verdana"/>
          <w:sz w:val="18"/>
          <w:szCs w:val="18"/>
        </w:rPr>
        <w:t>r</w:t>
      </w:r>
      <w:r w:rsidR="0062374E" w:rsidRPr="004D0A5A">
        <w:rPr>
          <w:rFonts w:ascii="Verdana" w:hAnsi="Verdana"/>
          <w:sz w:val="18"/>
          <w:szCs w:val="18"/>
        </w:rPr>
        <w:t>ec</w:t>
      </w:r>
      <w:r w:rsidR="00F915A2" w:rsidRPr="004D0A5A">
        <w:rPr>
          <w:rFonts w:ascii="Verdana" w:hAnsi="Verdana"/>
          <w:sz w:val="18"/>
          <w:szCs w:val="18"/>
        </w:rPr>
        <w:t>h</w:t>
      </w:r>
      <w:r w:rsidR="0062374E" w:rsidRPr="004D0A5A">
        <w:rPr>
          <w:rFonts w:ascii="Verdana" w:hAnsi="Verdana"/>
          <w:sz w:val="18"/>
          <w:szCs w:val="18"/>
        </w:rPr>
        <w:t>t</w:t>
      </w:r>
      <w:r w:rsidR="00F915A2" w:rsidRPr="004D0A5A">
        <w:rPr>
          <w:rFonts w:ascii="Verdana" w:hAnsi="Verdana"/>
          <w:sz w:val="18"/>
          <w:szCs w:val="18"/>
        </w:rPr>
        <w:t>s</w:t>
      </w:r>
      <w:r w:rsidR="0062374E" w:rsidRPr="004D0A5A">
        <w:rPr>
          <w:rFonts w:ascii="Verdana" w:hAnsi="Verdana"/>
          <w:sz w:val="18"/>
          <w:szCs w:val="18"/>
        </w:rPr>
        <w:t>staat.</w:t>
      </w:r>
      <w:r w:rsidR="00F915A2" w:rsidRPr="004D0A5A">
        <w:rPr>
          <w:rStyle w:val="Voetnootmarkering"/>
          <w:rFonts w:ascii="Verdana" w:hAnsi="Verdana"/>
          <w:sz w:val="18"/>
          <w:szCs w:val="18"/>
        </w:rPr>
        <w:footnoteReference w:id="14"/>
      </w:r>
      <w:r w:rsidR="0062374E" w:rsidRPr="004D0A5A">
        <w:rPr>
          <w:rFonts w:ascii="Verdana" w:hAnsi="Verdana"/>
          <w:sz w:val="18"/>
          <w:szCs w:val="18"/>
        </w:rPr>
        <w:t xml:space="preserve"> </w:t>
      </w:r>
      <w:r w:rsidR="003A5823" w:rsidRPr="004D0A5A">
        <w:rPr>
          <w:rFonts w:ascii="Verdana" w:hAnsi="Verdana"/>
          <w:sz w:val="18"/>
          <w:szCs w:val="18"/>
        </w:rPr>
        <w:t>Het geeft er concrete</w:t>
      </w:r>
      <w:r w:rsidR="00F915A2" w:rsidRPr="004D0A5A">
        <w:rPr>
          <w:rFonts w:ascii="Verdana" w:hAnsi="Verdana"/>
          <w:sz w:val="18"/>
          <w:szCs w:val="18"/>
        </w:rPr>
        <w:t xml:space="preserve"> invulling aan. </w:t>
      </w:r>
      <w:r w:rsidR="004405C7">
        <w:rPr>
          <w:rFonts w:ascii="Verdana" w:hAnsi="Verdana"/>
          <w:sz w:val="18"/>
          <w:szCs w:val="18"/>
        </w:rPr>
        <w:t>In een rechtsstaat dient iedereen, ook de overheid, zich aan de wet te houden. De vraag of daarvan sprake is</w:t>
      </w:r>
      <w:r w:rsidR="00245940">
        <w:rPr>
          <w:rFonts w:ascii="Verdana" w:hAnsi="Verdana"/>
          <w:sz w:val="18"/>
          <w:szCs w:val="18"/>
        </w:rPr>
        <w:t>,</w:t>
      </w:r>
      <w:r w:rsidR="004405C7">
        <w:rPr>
          <w:rFonts w:ascii="Verdana" w:hAnsi="Verdana"/>
          <w:sz w:val="18"/>
          <w:szCs w:val="18"/>
        </w:rPr>
        <w:t xml:space="preserve"> kan aan de rechter worden voorgelegd.</w:t>
      </w:r>
      <w:r w:rsidR="004405C7">
        <w:rPr>
          <w:rStyle w:val="Voetnootmarkering"/>
          <w:rFonts w:ascii="Verdana" w:hAnsi="Verdana"/>
          <w:sz w:val="18"/>
          <w:szCs w:val="18"/>
        </w:rPr>
        <w:footnoteReference w:id="15"/>
      </w:r>
      <w:r w:rsidR="004405C7">
        <w:rPr>
          <w:rFonts w:ascii="Verdana" w:hAnsi="Verdana"/>
          <w:sz w:val="18"/>
          <w:szCs w:val="18"/>
        </w:rPr>
        <w:t xml:space="preserve"> </w:t>
      </w:r>
    </w:p>
    <w:p w:rsidR="00C65FBC" w:rsidRDefault="00C65FBC" w:rsidP="004D0A5A">
      <w:pPr>
        <w:pStyle w:val="Geenafstand"/>
        <w:spacing w:line="280" w:lineRule="atLeast"/>
        <w:rPr>
          <w:rFonts w:ascii="Verdana" w:hAnsi="Verdana"/>
          <w:sz w:val="18"/>
          <w:szCs w:val="18"/>
        </w:rPr>
      </w:pPr>
    </w:p>
    <w:p w:rsidR="000A2559" w:rsidRDefault="0062374E" w:rsidP="004D0A5A">
      <w:pPr>
        <w:pStyle w:val="Geenafstand"/>
        <w:spacing w:line="280" w:lineRule="atLeast"/>
        <w:rPr>
          <w:rFonts w:ascii="Verdana" w:hAnsi="Verdana"/>
          <w:sz w:val="18"/>
          <w:szCs w:val="18"/>
        </w:rPr>
      </w:pPr>
      <w:r w:rsidRPr="004D0A5A">
        <w:rPr>
          <w:rFonts w:ascii="Verdana" w:hAnsi="Verdana"/>
          <w:sz w:val="18"/>
          <w:szCs w:val="18"/>
        </w:rPr>
        <w:t>Tot de</w:t>
      </w:r>
      <w:r w:rsidR="00B56821" w:rsidRPr="004D0A5A">
        <w:rPr>
          <w:rFonts w:ascii="Verdana" w:hAnsi="Verdana"/>
          <w:sz w:val="18"/>
          <w:szCs w:val="18"/>
        </w:rPr>
        <w:t xml:space="preserve"> </w:t>
      </w:r>
      <w:r w:rsidR="00F915A2" w:rsidRPr="004D0A5A">
        <w:rPr>
          <w:rFonts w:ascii="Verdana" w:hAnsi="Verdana"/>
          <w:sz w:val="18"/>
          <w:szCs w:val="18"/>
        </w:rPr>
        <w:t>e</w:t>
      </w:r>
      <w:r w:rsidRPr="004D0A5A">
        <w:rPr>
          <w:rFonts w:ascii="Verdana" w:hAnsi="Verdana"/>
          <w:sz w:val="18"/>
          <w:szCs w:val="18"/>
        </w:rPr>
        <w:t>lemente</w:t>
      </w:r>
      <w:r w:rsidR="00F915A2" w:rsidRPr="004D0A5A">
        <w:rPr>
          <w:rFonts w:ascii="Verdana" w:hAnsi="Verdana"/>
          <w:sz w:val="18"/>
          <w:szCs w:val="18"/>
        </w:rPr>
        <w:t>n</w:t>
      </w:r>
      <w:r w:rsidRPr="004D0A5A">
        <w:rPr>
          <w:rFonts w:ascii="Verdana" w:hAnsi="Verdana"/>
          <w:sz w:val="18"/>
          <w:szCs w:val="18"/>
        </w:rPr>
        <w:t xml:space="preserve"> </w:t>
      </w:r>
      <w:r w:rsidR="000A2559">
        <w:rPr>
          <w:rFonts w:ascii="Verdana" w:hAnsi="Verdana"/>
          <w:sz w:val="18"/>
          <w:szCs w:val="18"/>
        </w:rPr>
        <w:t xml:space="preserve">van de rechtsstaat </w:t>
      </w:r>
      <w:r w:rsidRPr="004D0A5A">
        <w:rPr>
          <w:rFonts w:ascii="Verdana" w:hAnsi="Verdana"/>
          <w:sz w:val="18"/>
          <w:szCs w:val="18"/>
        </w:rPr>
        <w:t xml:space="preserve">wordt </w:t>
      </w:r>
      <w:r w:rsidR="00F915A2" w:rsidRPr="004D0A5A">
        <w:rPr>
          <w:rFonts w:ascii="Verdana" w:hAnsi="Verdana"/>
          <w:sz w:val="18"/>
          <w:szCs w:val="18"/>
        </w:rPr>
        <w:t xml:space="preserve">in </w:t>
      </w:r>
      <w:r w:rsidRPr="004D0A5A">
        <w:rPr>
          <w:rFonts w:ascii="Verdana" w:hAnsi="Verdana"/>
          <w:sz w:val="18"/>
          <w:szCs w:val="18"/>
        </w:rPr>
        <w:t>de</w:t>
      </w:r>
      <w:r w:rsidR="00F915A2" w:rsidRPr="004D0A5A">
        <w:rPr>
          <w:rFonts w:ascii="Verdana" w:hAnsi="Verdana"/>
          <w:sz w:val="18"/>
          <w:szCs w:val="18"/>
        </w:rPr>
        <w:t xml:space="preserve"> e</w:t>
      </w:r>
      <w:r w:rsidRPr="004D0A5A">
        <w:rPr>
          <w:rFonts w:ascii="Verdana" w:hAnsi="Verdana"/>
          <w:sz w:val="18"/>
          <w:szCs w:val="18"/>
        </w:rPr>
        <w:t xml:space="preserve">erste </w:t>
      </w:r>
      <w:r w:rsidR="00F915A2" w:rsidRPr="004D0A5A">
        <w:rPr>
          <w:rFonts w:ascii="Verdana" w:hAnsi="Verdana"/>
          <w:sz w:val="18"/>
          <w:szCs w:val="18"/>
        </w:rPr>
        <w:t>p</w:t>
      </w:r>
      <w:r w:rsidRPr="004D0A5A">
        <w:rPr>
          <w:rFonts w:ascii="Verdana" w:hAnsi="Verdana"/>
          <w:sz w:val="18"/>
          <w:szCs w:val="18"/>
        </w:rPr>
        <w:t>laat</w:t>
      </w:r>
      <w:r w:rsidR="00F915A2" w:rsidRPr="004D0A5A">
        <w:rPr>
          <w:rFonts w:ascii="Verdana" w:hAnsi="Verdana"/>
          <w:sz w:val="18"/>
          <w:szCs w:val="18"/>
        </w:rPr>
        <w:t>s</w:t>
      </w:r>
      <w:r w:rsidRPr="004D0A5A">
        <w:rPr>
          <w:rFonts w:ascii="Verdana" w:hAnsi="Verdana"/>
          <w:sz w:val="18"/>
          <w:szCs w:val="18"/>
        </w:rPr>
        <w:t xml:space="preserve"> gerek</w:t>
      </w:r>
      <w:r w:rsidR="00F915A2" w:rsidRPr="004D0A5A">
        <w:rPr>
          <w:rFonts w:ascii="Verdana" w:hAnsi="Verdana"/>
          <w:sz w:val="18"/>
          <w:szCs w:val="18"/>
        </w:rPr>
        <w:t>e</w:t>
      </w:r>
      <w:r w:rsidRPr="004D0A5A">
        <w:rPr>
          <w:rFonts w:ascii="Verdana" w:hAnsi="Verdana"/>
          <w:sz w:val="18"/>
          <w:szCs w:val="18"/>
        </w:rPr>
        <w:t>nd</w:t>
      </w:r>
      <w:r w:rsidR="00F915A2" w:rsidRPr="004D0A5A">
        <w:rPr>
          <w:rFonts w:ascii="Verdana" w:hAnsi="Verdana"/>
          <w:sz w:val="18"/>
          <w:szCs w:val="18"/>
        </w:rPr>
        <w:t xml:space="preserve"> het legaliteitsbeginsel, ofwel </w:t>
      </w:r>
      <w:r w:rsidR="001078F3">
        <w:rPr>
          <w:rFonts w:ascii="Verdana" w:hAnsi="Verdana"/>
          <w:sz w:val="18"/>
          <w:szCs w:val="18"/>
        </w:rPr>
        <w:t>het beginsel</w:t>
      </w:r>
      <w:r w:rsidR="00F915A2" w:rsidRPr="004D0A5A">
        <w:rPr>
          <w:rFonts w:ascii="Verdana" w:hAnsi="Verdana"/>
          <w:sz w:val="18"/>
          <w:szCs w:val="18"/>
        </w:rPr>
        <w:t xml:space="preserve"> dat elk overheidshandelen dient te zijn gebaseerd op een voorafgaande algemene regeling en binnen de door het recht getrokken grenzen. Het democratieprincipe vereist dat dergelijke regelingen ook democratisch tot </w:t>
      </w:r>
      <w:r w:rsidR="00D10506" w:rsidRPr="004D0A5A">
        <w:rPr>
          <w:rFonts w:ascii="Verdana" w:hAnsi="Verdana"/>
          <w:sz w:val="18"/>
          <w:szCs w:val="18"/>
        </w:rPr>
        <w:t xml:space="preserve">stand </w:t>
      </w:r>
      <w:r w:rsidR="00F915A2" w:rsidRPr="004D0A5A">
        <w:rPr>
          <w:rFonts w:ascii="Verdana" w:hAnsi="Verdana"/>
          <w:sz w:val="18"/>
          <w:szCs w:val="18"/>
        </w:rPr>
        <w:t xml:space="preserve">zijn gekomen; dit democratische aspect van de rechtsstaat komt mede </w:t>
      </w:r>
      <w:r w:rsidR="00C502FA">
        <w:rPr>
          <w:rFonts w:ascii="Verdana" w:hAnsi="Verdana"/>
          <w:sz w:val="18"/>
          <w:szCs w:val="18"/>
        </w:rPr>
        <w:t>tot</w:t>
      </w:r>
      <w:r w:rsidR="00F915A2" w:rsidRPr="004D0A5A">
        <w:rPr>
          <w:rFonts w:ascii="Verdana" w:hAnsi="Verdana"/>
          <w:sz w:val="18"/>
          <w:szCs w:val="18"/>
        </w:rPr>
        <w:t xml:space="preserve"> uitdrukking in grondwetsbepalingen inzake de Staten-Generaal, waaronder die met betrekking tot het kiesrecht, en bepalingen inzake wetgeving en bestuur. </w:t>
      </w:r>
      <w:r w:rsidR="00D34E1B" w:rsidRPr="004D0A5A">
        <w:rPr>
          <w:rFonts w:ascii="Verdana" w:hAnsi="Verdana"/>
          <w:sz w:val="18"/>
          <w:szCs w:val="18"/>
        </w:rPr>
        <w:t xml:space="preserve">Het legaliteitsbeginsel richt zich tot elk overheidsambt, waaronder de rechter. Deze wordt geacht recht te spreken op basis van de wet. </w:t>
      </w:r>
    </w:p>
    <w:p w:rsidR="00C65FBC" w:rsidRDefault="00C65FBC" w:rsidP="004D0A5A">
      <w:pPr>
        <w:pStyle w:val="Geenafstand"/>
        <w:spacing w:line="280" w:lineRule="atLeast"/>
        <w:rPr>
          <w:rFonts w:ascii="Verdana" w:hAnsi="Verdana"/>
          <w:sz w:val="18"/>
          <w:szCs w:val="18"/>
        </w:rPr>
      </w:pPr>
    </w:p>
    <w:p w:rsidR="000A2559" w:rsidRDefault="00F915A2" w:rsidP="004D0A5A">
      <w:pPr>
        <w:pStyle w:val="Geenafstand"/>
        <w:spacing w:line="280" w:lineRule="atLeast"/>
        <w:rPr>
          <w:rFonts w:ascii="Verdana" w:hAnsi="Verdana"/>
          <w:sz w:val="18"/>
          <w:szCs w:val="18"/>
        </w:rPr>
      </w:pPr>
      <w:r w:rsidRPr="004D0A5A">
        <w:rPr>
          <w:rFonts w:ascii="Verdana" w:hAnsi="Verdana"/>
          <w:sz w:val="18"/>
          <w:szCs w:val="18"/>
        </w:rPr>
        <w:t>Een tweede kenmerk</w:t>
      </w:r>
      <w:r w:rsidR="00D10506" w:rsidRPr="004D0A5A">
        <w:rPr>
          <w:rFonts w:ascii="Verdana" w:hAnsi="Verdana"/>
          <w:sz w:val="18"/>
          <w:szCs w:val="18"/>
        </w:rPr>
        <w:t xml:space="preserve"> van de rechtsstaat </w:t>
      </w:r>
      <w:r w:rsidRPr="004D0A5A">
        <w:rPr>
          <w:rFonts w:ascii="Verdana" w:hAnsi="Verdana"/>
          <w:sz w:val="18"/>
          <w:szCs w:val="18"/>
        </w:rPr>
        <w:t>is de machtenscheiding</w:t>
      </w:r>
      <w:r w:rsidR="0028560A">
        <w:rPr>
          <w:rFonts w:ascii="Verdana" w:hAnsi="Verdana"/>
          <w:sz w:val="18"/>
          <w:szCs w:val="18"/>
        </w:rPr>
        <w:t xml:space="preserve">. De drie </w:t>
      </w:r>
      <w:r w:rsidR="002C26BD">
        <w:rPr>
          <w:rFonts w:ascii="Verdana" w:hAnsi="Verdana"/>
          <w:sz w:val="18"/>
          <w:szCs w:val="18"/>
        </w:rPr>
        <w:t>categorieën van overheidsmacht, te weten</w:t>
      </w:r>
      <w:r w:rsidRPr="004D0A5A">
        <w:rPr>
          <w:rFonts w:ascii="Verdana" w:hAnsi="Verdana"/>
          <w:sz w:val="18"/>
          <w:szCs w:val="18"/>
        </w:rPr>
        <w:t xml:space="preserve"> wetgevi</w:t>
      </w:r>
      <w:r w:rsidR="002C26BD">
        <w:rPr>
          <w:rFonts w:ascii="Verdana" w:hAnsi="Verdana"/>
          <w:sz w:val="18"/>
          <w:szCs w:val="18"/>
        </w:rPr>
        <w:t xml:space="preserve">ng, uitvoering en rechtspraak, </w:t>
      </w:r>
      <w:r w:rsidRPr="004D0A5A">
        <w:rPr>
          <w:rFonts w:ascii="Verdana" w:hAnsi="Verdana"/>
          <w:sz w:val="18"/>
          <w:szCs w:val="18"/>
        </w:rPr>
        <w:t xml:space="preserve">worden uitgeoefend door drie te onderscheiden machten. Deze machtenscheiding heeft in Nederland in het bijzonder gestalte gekregen in een stelsel van elkaar wederzijds controlerende, in evenwicht houdende organen (checks </w:t>
      </w:r>
      <w:proofErr w:type="spellStart"/>
      <w:r w:rsidRPr="004D0A5A">
        <w:rPr>
          <w:rFonts w:ascii="Verdana" w:hAnsi="Verdana"/>
          <w:sz w:val="18"/>
          <w:szCs w:val="18"/>
        </w:rPr>
        <w:t>and</w:t>
      </w:r>
      <w:proofErr w:type="spellEnd"/>
      <w:r w:rsidRPr="004D0A5A">
        <w:rPr>
          <w:rFonts w:ascii="Verdana" w:hAnsi="Verdana"/>
          <w:sz w:val="18"/>
          <w:szCs w:val="18"/>
        </w:rPr>
        <w:t xml:space="preserve"> </w:t>
      </w:r>
      <w:proofErr w:type="spellStart"/>
      <w:r w:rsidRPr="004D0A5A">
        <w:rPr>
          <w:rFonts w:ascii="Verdana" w:hAnsi="Verdana"/>
          <w:sz w:val="18"/>
          <w:szCs w:val="18"/>
        </w:rPr>
        <w:t>balances</w:t>
      </w:r>
      <w:proofErr w:type="spellEnd"/>
      <w:r w:rsidRPr="004D0A5A">
        <w:rPr>
          <w:rFonts w:ascii="Verdana" w:hAnsi="Verdana"/>
          <w:sz w:val="18"/>
          <w:szCs w:val="18"/>
        </w:rPr>
        <w:t xml:space="preserve">) en in de vorm van decentralisatie, waarbij aan andere overheden, zoals gemeenten en provincies, zelfstandige bevoegdheden gelaten worden. Het belang van de onafhankelijkheid van het met rechtspraak belaste deel van de rechterlijke macht heeft binnen deze gedachte van machtenspreiding steeds meer nadruk gekregen, waardoor dit als een </w:t>
      </w:r>
      <w:r w:rsidR="001143CD">
        <w:rPr>
          <w:rFonts w:ascii="Verdana" w:hAnsi="Verdana"/>
          <w:sz w:val="18"/>
          <w:szCs w:val="18"/>
        </w:rPr>
        <w:t xml:space="preserve">derde, </w:t>
      </w:r>
      <w:r w:rsidRPr="004D0A5A">
        <w:rPr>
          <w:rFonts w:ascii="Verdana" w:hAnsi="Verdana"/>
          <w:sz w:val="18"/>
          <w:szCs w:val="18"/>
        </w:rPr>
        <w:t xml:space="preserve">afzonderlijke rechtsstatelijke eis kan worden aangemerkt. </w:t>
      </w:r>
    </w:p>
    <w:p w:rsidR="00C65FBC" w:rsidRDefault="00C65FBC" w:rsidP="004D0A5A">
      <w:pPr>
        <w:pStyle w:val="Geenafstand"/>
        <w:spacing w:line="280" w:lineRule="atLeast"/>
        <w:rPr>
          <w:rFonts w:ascii="Verdana" w:hAnsi="Verdana"/>
          <w:sz w:val="18"/>
          <w:szCs w:val="18"/>
        </w:rPr>
      </w:pPr>
    </w:p>
    <w:p w:rsidR="000A2559" w:rsidRDefault="00F915A2" w:rsidP="004D0A5A">
      <w:pPr>
        <w:pStyle w:val="Geenafstand"/>
        <w:spacing w:line="280" w:lineRule="atLeast"/>
        <w:rPr>
          <w:rFonts w:ascii="Verdana" w:hAnsi="Verdana"/>
          <w:sz w:val="18"/>
          <w:szCs w:val="18"/>
        </w:rPr>
      </w:pPr>
      <w:r w:rsidRPr="004D0A5A">
        <w:rPr>
          <w:rFonts w:ascii="Verdana" w:hAnsi="Verdana"/>
          <w:sz w:val="18"/>
          <w:szCs w:val="18"/>
        </w:rPr>
        <w:t xml:space="preserve">Tot slot gelden ook de (klassieke) grond- en mensenrechten als element van de rechtsstaat. Deze rechten moeten omwille van hun fundamentele karakter binnen een rechtsstaat worden beschermd. De grond- en mensenrechten zijn vastgelegd in onder andere de Grondwet, het EVRM, </w:t>
      </w:r>
      <w:r w:rsidR="0083680F">
        <w:rPr>
          <w:rFonts w:ascii="Verdana" w:hAnsi="Verdana"/>
          <w:sz w:val="18"/>
          <w:szCs w:val="18"/>
        </w:rPr>
        <w:t xml:space="preserve">het </w:t>
      </w:r>
      <w:r w:rsidR="0098152A">
        <w:rPr>
          <w:rFonts w:ascii="Verdana" w:hAnsi="Verdana"/>
          <w:sz w:val="18"/>
          <w:szCs w:val="18"/>
        </w:rPr>
        <w:t xml:space="preserve">EU-Handvest en </w:t>
      </w:r>
      <w:r w:rsidR="00280B79">
        <w:rPr>
          <w:rFonts w:ascii="Verdana" w:hAnsi="Verdana"/>
          <w:sz w:val="18"/>
          <w:szCs w:val="18"/>
        </w:rPr>
        <w:t>het IVBPR</w:t>
      </w:r>
      <w:r w:rsidRPr="004D0A5A">
        <w:rPr>
          <w:rFonts w:ascii="Verdana" w:hAnsi="Verdana"/>
          <w:sz w:val="18"/>
          <w:szCs w:val="18"/>
        </w:rPr>
        <w:t>. Rechtstreek</w:t>
      </w:r>
      <w:r w:rsidR="0083680F">
        <w:rPr>
          <w:rFonts w:ascii="Verdana" w:hAnsi="Verdana"/>
          <w:sz w:val="18"/>
          <w:szCs w:val="18"/>
        </w:rPr>
        <w:t>s werk</w:t>
      </w:r>
      <w:r w:rsidRPr="004D0A5A">
        <w:rPr>
          <w:rFonts w:ascii="Verdana" w:hAnsi="Verdana"/>
          <w:sz w:val="18"/>
          <w:szCs w:val="18"/>
        </w:rPr>
        <w:t>ende bepalingen van de mensenrechtenverdragen werken door in onze rechtsorde via de artikelen 93 en 94 van de Grondwet. De rechter ziet erop toe dat de overheid geen inbreuk maakt op de grondrechten</w:t>
      </w:r>
      <w:r w:rsidR="0083680F">
        <w:rPr>
          <w:rFonts w:ascii="Verdana" w:hAnsi="Verdana"/>
          <w:sz w:val="18"/>
          <w:szCs w:val="18"/>
        </w:rPr>
        <w:t xml:space="preserve"> en rechtmatig handelt</w:t>
      </w:r>
      <w:r w:rsidR="00E04790">
        <w:rPr>
          <w:rFonts w:ascii="Verdana" w:hAnsi="Verdana"/>
          <w:sz w:val="18"/>
          <w:szCs w:val="18"/>
        </w:rPr>
        <w:t>, met uitzondering van de toetsing van formele wetten aan de Grondwet</w:t>
      </w:r>
      <w:r w:rsidRPr="004D0A5A">
        <w:rPr>
          <w:rFonts w:ascii="Verdana" w:hAnsi="Verdana"/>
          <w:sz w:val="18"/>
          <w:szCs w:val="18"/>
        </w:rPr>
        <w:t xml:space="preserve">. De grondwetgever heeft de rol van de rechter bij de handhaving van grondrechten bij de </w:t>
      </w:r>
      <w:r w:rsidR="00EA4AD2">
        <w:rPr>
          <w:rFonts w:ascii="Verdana" w:hAnsi="Verdana"/>
          <w:sz w:val="18"/>
          <w:szCs w:val="18"/>
        </w:rPr>
        <w:t xml:space="preserve">algehele </w:t>
      </w:r>
      <w:r w:rsidRPr="004D0A5A">
        <w:rPr>
          <w:rFonts w:ascii="Verdana" w:hAnsi="Verdana"/>
          <w:sz w:val="18"/>
          <w:szCs w:val="18"/>
        </w:rPr>
        <w:t>herzien</w:t>
      </w:r>
      <w:r w:rsidR="0083680F">
        <w:rPr>
          <w:rFonts w:ascii="Verdana" w:hAnsi="Verdana"/>
          <w:sz w:val="18"/>
          <w:szCs w:val="18"/>
        </w:rPr>
        <w:t xml:space="preserve">ing van </w:t>
      </w:r>
      <w:r w:rsidR="00EA4AD2">
        <w:rPr>
          <w:rFonts w:ascii="Verdana" w:hAnsi="Verdana"/>
          <w:sz w:val="18"/>
          <w:szCs w:val="18"/>
        </w:rPr>
        <w:t xml:space="preserve">de Grondwet in </w:t>
      </w:r>
      <w:r w:rsidR="0083680F">
        <w:rPr>
          <w:rFonts w:ascii="Verdana" w:hAnsi="Verdana"/>
          <w:sz w:val="18"/>
          <w:szCs w:val="18"/>
        </w:rPr>
        <w:t>1983 benadrukt</w:t>
      </w:r>
      <w:r w:rsidRPr="004D0A5A">
        <w:rPr>
          <w:rFonts w:ascii="Verdana" w:hAnsi="Verdana"/>
          <w:sz w:val="18"/>
          <w:szCs w:val="18"/>
        </w:rPr>
        <w:t>.</w:t>
      </w:r>
      <w:r w:rsidRPr="004D0A5A">
        <w:rPr>
          <w:rStyle w:val="Voetnootmarkering"/>
          <w:rFonts w:ascii="Verdana" w:hAnsi="Verdana"/>
          <w:sz w:val="18"/>
          <w:szCs w:val="18"/>
        </w:rPr>
        <w:footnoteReference w:id="16"/>
      </w:r>
      <w:r w:rsidR="0083680F">
        <w:rPr>
          <w:rFonts w:ascii="Verdana" w:hAnsi="Verdana"/>
          <w:sz w:val="18"/>
          <w:szCs w:val="18"/>
        </w:rPr>
        <w:t xml:space="preserve"> </w:t>
      </w:r>
    </w:p>
    <w:p w:rsidR="000A2559" w:rsidRDefault="000A2559" w:rsidP="004D0A5A">
      <w:pPr>
        <w:pStyle w:val="Geenafstand"/>
        <w:spacing w:line="280" w:lineRule="atLeast"/>
        <w:rPr>
          <w:rFonts w:ascii="Verdana" w:hAnsi="Verdana"/>
          <w:sz w:val="18"/>
          <w:szCs w:val="18"/>
        </w:rPr>
      </w:pPr>
    </w:p>
    <w:p w:rsidR="00504F3B" w:rsidRDefault="00B56821" w:rsidP="004D0A5A">
      <w:pPr>
        <w:pStyle w:val="Geenafstand"/>
        <w:spacing w:line="280" w:lineRule="atLeast"/>
        <w:rPr>
          <w:rFonts w:ascii="Verdana" w:hAnsi="Verdana"/>
          <w:sz w:val="18"/>
          <w:szCs w:val="18"/>
        </w:rPr>
      </w:pPr>
      <w:r w:rsidRPr="004D0A5A">
        <w:rPr>
          <w:rFonts w:ascii="Verdana" w:hAnsi="Verdana"/>
          <w:sz w:val="18"/>
          <w:szCs w:val="18"/>
        </w:rPr>
        <w:t>Tege</w:t>
      </w:r>
      <w:r w:rsidR="00D34E1B" w:rsidRPr="004D0A5A">
        <w:rPr>
          <w:rFonts w:ascii="Verdana" w:hAnsi="Verdana"/>
          <w:sz w:val="18"/>
          <w:szCs w:val="18"/>
        </w:rPr>
        <w:t>n</w:t>
      </w:r>
      <w:r w:rsidRPr="004D0A5A">
        <w:rPr>
          <w:rFonts w:ascii="Verdana" w:hAnsi="Verdana"/>
          <w:sz w:val="18"/>
          <w:szCs w:val="18"/>
        </w:rPr>
        <w:t xml:space="preserve"> deze achterg</w:t>
      </w:r>
      <w:r w:rsidR="00D34E1B" w:rsidRPr="004D0A5A">
        <w:rPr>
          <w:rFonts w:ascii="Verdana" w:hAnsi="Verdana"/>
          <w:sz w:val="18"/>
          <w:szCs w:val="18"/>
        </w:rPr>
        <w:t>rond</w:t>
      </w:r>
      <w:r w:rsidRPr="004D0A5A">
        <w:rPr>
          <w:rFonts w:ascii="Verdana" w:hAnsi="Verdana"/>
          <w:sz w:val="18"/>
          <w:szCs w:val="18"/>
        </w:rPr>
        <w:t xml:space="preserve"> is dui</w:t>
      </w:r>
      <w:r w:rsidR="00D34E1B" w:rsidRPr="004D0A5A">
        <w:rPr>
          <w:rFonts w:ascii="Verdana" w:hAnsi="Verdana"/>
          <w:sz w:val="18"/>
          <w:szCs w:val="18"/>
        </w:rPr>
        <w:t>d</w:t>
      </w:r>
      <w:r w:rsidRPr="004D0A5A">
        <w:rPr>
          <w:rFonts w:ascii="Verdana" w:hAnsi="Verdana"/>
          <w:sz w:val="18"/>
          <w:szCs w:val="18"/>
        </w:rPr>
        <w:t>elij</w:t>
      </w:r>
      <w:r w:rsidR="00D34E1B" w:rsidRPr="004D0A5A">
        <w:rPr>
          <w:rFonts w:ascii="Verdana" w:hAnsi="Verdana"/>
          <w:sz w:val="18"/>
          <w:szCs w:val="18"/>
        </w:rPr>
        <w:t>k</w:t>
      </w:r>
      <w:r w:rsidRPr="004D0A5A">
        <w:rPr>
          <w:rFonts w:ascii="Verdana" w:hAnsi="Verdana"/>
          <w:sz w:val="18"/>
          <w:szCs w:val="18"/>
        </w:rPr>
        <w:t xml:space="preserve"> dat</w:t>
      </w:r>
      <w:r w:rsidR="00D34E1B" w:rsidRPr="004D0A5A">
        <w:rPr>
          <w:rFonts w:ascii="Verdana" w:hAnsi="Verdana"/>
          <w:sz w:val="18"/>
          <w:szCs w:val="18"/>
        </w:rPr>
        <w:t xml:space="preserve"> </w:t>
      </w:r>
      <w:r w:rsidRPr="004D0A5A">
        <w:rPr>
          <w:rFonts w:ascii="Verdana" w:hAnsi="Verdana"/>
          <w:sz w:val="18"/>
          <w:szCs w:val="18"/>
        </w:rPr>
        <w:t>de</w:t>
      </w:r>
      <w:r w:rsidR="00D34E1B" w:rsidRPr="004D0A5A">
        <w:rPr>
          <w:rFonts w:ascii="Verdana" w:hAnsi="Verdana"/>
          <w:sz w:val="18"/>
          <w:szCs w:val="18"/>
        </w:rPr>
        <w:t xml:space="preserve"> </w:t>
      </w:r>
      <w:r w:rsidRPr="004D0A5A">
        <w:rPr>
          <w:rFonts w:ascii="Verdana" w:hAnsi="Verdana"/>
          <w:sz w:val="18"/>
          <w:szCs w:val="18"/>
        </w:rPr>
        <w:t>r</w:t>
      </w:r>
      <w:r w:rsidR="00D34E1B" w:rsidRPr="004D0A5A">
        <w:rPr>
          <w:rFonts w:ascii="Verdana" w:hAnsi="Verdana"/>
          <w:sz w:val="18"/>
          <w:szCs w:val="18"/>
        </w:rPr>
        <w:t>e</w:t>
      </w:r>
      <w:r w:rsidRPr="004D0A5A">
        <w:rPr>
          <w:rFonts w:ascii="Verdana" w:hAnsi="Verdana"/>
          <w:sz w:val="18"/>
          <w:szCs w:val="18"/>
        </w:rPr>
        <w:t>c</w:t>
      </w:r>
      <w:r w:rsidR="00D34E1B" w:rsidRPr="004D0A5A">
        <w:rPr>
          <w:rFonts w:ascii="Verdana" w:hAnsi="Verdana"/>
          <w:sz w:val="18"/>
          <w:szCs w:val="18"/>
        </w:rPr>
        <w:t>h</w:t>
      </w:r>
      <w:r w:rsidRPr="004D0A5A">
        <w:rPr>
          <w:rFonts w:ascii="Verdana" w:hAnsi="Verdana"/>
          <w:sz w:val="18"/>
          <w:szCs w:val="18"/>
        </w:rPr>
        <w:t>ter ten</w:t>
      </w:r>
      <w:r w:rsidR="00D34E1B" w:rsidRPr="004D0A5A">
        <w:rPr>
          <w:rFonts w:ascii="Verdana" w:hAnsi="Verdana"/>
          <w:sz w:val="18"/>
          <w:szCs w:val="18"/>
        </w:rPr>
        <w:t xml:space="preserve"> </w:t>
      </w:r>
      <w:r w:rsidRPr="004D0A5A">
        <w:rPr>
          <w:rFonts w:ascii="Verdana" w:hAnsi="Verdana"/>
          <w:sz w:val="18"/>
          <w:szCs w:val="18"/>
        </w:rPr>
        <w:t>aanzi</w:t>
      </w:r>
      <w:r w:rsidR="00D34E1B" w:rsidRPr="004D0A5A">
        <w:rPr>
          <w:rFonts w:ascii="Verdana" w:hAnsi="Verdana"/>
          <w:sz w:val="18"/>
          <w:szCs w:val="18"/>
        </w:rPr>
        <w:t>e</w:t>
      </w:r>
      <w:r w:rsidRPr="004D0A5A">
        <w:rPr>
          <w:rFonts w:ascii="Verdana" w:hAnsi="Verdana"/>
          <w:sz w:val="18"/>
          <w:szCs w:val="18"/>
        </w:rPr>
        <w:t>n</w:t>
      </w:r>
      <w:r w:rsidR="00D34E1B" w:rsidRPr="004D0A5A">
        <w:rPr>
          <w:rFonts w:ascii="Verdana" w:hAnsi="Verdana"/>
          <w:sz w:val="18"/>
          <w:szCs w:val="18"/>
        </w:rPr>
        <w:t xml:space="preserve"> </w:t>
      </w:r>
      <w:r w:rsidRPr="004D0A5A">
        <w:rPr>
          <w:rFonts w:ascii="Verdana" w:hAnsi="Verdana"/>
          <w:sz w:val="18"/>
          <w:szCs w:val="18"/>
        </w:rPr>
        <w:t>van elk van de</w:t>
      </w:r>
      <w:r w:rsidR="00D34E1B" w:rsidRPr="004D0A5A">
        <w:rPr>
          <w:rFonts w:ascii="Verdana" w:hAnsi="Verdana"/>
          <w:sz w:val="18"/>
          <w:szCs w:val="18"/>
        </w:rPr>
        <w:t xml:space="preserve"> </w:t>
      </w:r>
      <w:r w:rsidRPr="004D0A5A">
        <w:rPr>
          <w:rFonts w:ascii="Verdana" w:hAnsi="Verdana"/>
          <w:sz w:val="18"/>
          <w:szCs w:val="18"/>
        </w:rPr>
        <w:t>kernel</w:t>
      </w:r>
      <w:r w:rsidR="00D34E1B" w:rsidRPr="004D0A5A">
        <w:rPr>
          <w:rFonts w:ascii="Verdana" w:hAnsi="Verdana"/>
          <w:sz w:val="18"/>
          <w:szCs w:val="18"/>
        </w:rPr>
        <w:t>e</w:t>
      </w:r>
      <w:r w:rsidRPr="004D0A5A">
        <w:rPr>
          <w:rFonts w:ascii="Verdana" w:hAnsi="Verdana"/>
          <w:sz w:val="18"/>
          <w:szCs w:val="18"/>
        </w:rPr>
        <w:t>menten van</w:t>
      </w:r>
      <w:r w:rsidR="00D34E1B" w:rsidRPr="004D0A5A">
        <w:rPr>
          <w:rFonts w:ascii="Verdana" w:hAnsi="Verdana"/>
          <w:sz w:val="18"/>
          <w:szCs w:val="18"/>
        </w:rPr>
        <w:t xml:space="preserve"> </w:t>
      </w:r>
      <w:r w:rsidRPr="004D0A5A">
        <w:rPr>
          <w:rFonts w:ascii="Verdana" w:hAnsi="Verdana"/>
          <w:sz w:val="18"/>
          <w:szCs w:val="18"/>
        </w:rPr>
        <w:t>d</w:t>
      </w:r>
      <w:r w:rsidR="00D34E1B" w:rsidRPr="004D0A5A">
        <w:rPr>
          <w:rFonts w:ascii="Verdana" w:hAnsi="Verdana"/>
          <w:sz w:val="18"/>
          <w:szCs w:val="18"/>
        </w:rPr>
        <w:t>e</w:t>
      </w:r>
      <w:r w:rsidRPr="004D0A5A">
        <w:rPr>
          <w:rFonts w:ascii="Verdana" w:hAnsi="Verdana"/>
          <w:sz w:val="18"/>
          <w:szCs w:val="18"/>
        </w:rPr>
        <w:t xml:space="preserve"> re</w:t>
      </w:r>
      <w:r w:rsidR="00A61E36" w:rsidRPr="004D0A5A">
        <w:rPr>
          <w:rFonts w:ascii="Verdana" w:hAnsi="Verdana"/>
          <w:sz w:val="18"/>
          <w:szCs w:val="18"/>
        </w:rPr>
        <w:t>c</w:t>
      </w:r>
      <w:r w:rsidRPr="004D0A5A">
        <w:rPr>
          <w:rFonts w:ascii="Verdana" w:hAnsi="Verdana"/>
          <w:sz w:val="18"/>
          <w:szCs w:val="18"/>
        </w:rPr>
        <w:t>htsstaat ee</w:t>
      </w:r>
      <w:r w:rsidR="00D34E1B" w:rsidRPr="004D0A5A">
        <w:rPr>
          <w:rFonts w:ascii="Verdana" w:hAnsi="Verdana"/>
          <w:sz w:val="18"/>
          <w:szCs w:val="18"/>
        </w:rPr>
        <w:t>n</w:t>
      </w:r>
      <w:r w:rsidR="0098152A">
        <w:rPr>
          <w:rFonts w:ascii="Verdana" w:hAnsi="Verdana"/>
          <w:sz w:val="18"/>
          <w:szCs w:val="18"/>
        </w:rPr>
        <w:t xml:space="preserve"> cruciale rol heeft</w:t>
      </w:r>
      <w:r w:rsidRPr="004D0A5A">
        <w:rPr>
          <w:rFonts w:ascii="Verdana" w:hAnsi="Verdana"/>
          <w:sz w:val="18"/>
          <w:szCs w:val="18"/>
        </w:rPr>
        <w:t xml:space="preserve">. </w:t>
      </w:r>
      <w:r w:rsidR="002D3187">
        <w:rPr>
          <w:rFonts w:ascii="Verdana" w:hAnsi="Verdana"/>
          <w:sz w:val="18"/>
          <w:szCs w:val="18"/>
        </w:rPr>
        <w:t>H</w:t>
      </w:r>
      <w:r w:rsidR="004871E5" w:rsidRPr="004D0A5A">
        <w:rPr>
          <w:rFonts w:ascii="Verdana" w:hAnsi="Verdana"/>
          <w:sz w:val="18"/>
          <w:szCs w:val="18"/>
        </w:rPr>
        <w:t>et rechtsstaat</w:t>
      </w:r>
      <w:r w:rsidR="00690131" w:rsidRPr="004D0A5A">
        <w:rPr>
          <w:rFonts w:ascii="Verdana" w:hAnsi="Verdana"/>
          <w:sz w:val="18"/>
          <w:szCs w:val="18"/>
        </w:rPr>
        <w:t xml:space="preserve">principe </w:t>
      </w:r>
      <w:r w:rsidR="002D3187">
        <w:rPr>
          <w:rFonts w:ascii="Verdana" w:hAnsi="Verdana"/>
          <w:sz w:val="18"/>
          <w:szCs w:val="18"/>
        </w:rPr>
        <w:t xml:space="preserve">kent </w:t>
      </w:r>
      <w:r w:rsidR="00690131" w:rsidRPr="004D0A5A">
        <w:rPr>
          <w:rFonts w:ascii="Verdana" w:hAnsi="Verdana"/>
          <w:sz w:val="18"/>
          <w:szCs w:val="18"/>
        </w:rPr>
        <w:t>de rechter specifiek</w:t>
      </w:r>
      <w:r w:rsidR="0098152A">
        <w:rPr>
          <w:rFonts w:ascii="Verdana" w:hAnsi="Verdana"/>
          <w:sz w:val="18"/>
          <w:szCs w:val="18"/>
        </w:rPr>
        <w:t>e</w:t>
      </w:r>
      <w:r w:rsidR="00690131" w:rsidRPr="004D0A5A">
        <w:rPr>
          <w:rFonts w:ascii="Verdana" w:hAnsi="Verdana"/>
          <w:sz w:val="18"/>
          <w:szCs w:val="18"/>
        </w:rPr>
        <w:t xml:space="preserve"> functies toe met het oog o</w:t>
      </w:r>
      <w:r w:rsidR="004871E5" w:rsidRPr="004D0A5A">
        <w:rPr>
          <w:rFonts w:ascii="Verdana" w:hAnsi="Verdana"/>
          <w:sz w:val="18"/>
          <w:szCs w:val="18"/>
        </w:rPr>
        <w:t>p de bescherming van de vrijheden</w:t>
      </w:r>
      <w:r w:rsidR="00690131" w:rsidRPr="004D0A5A">
        <w:rPr>
          <w:rFonts w:ascii="Verdana" w:hAnsi="Verdana"/>
          <w:sz w:val="18"/>
          <w:szCs w:val="18"/>
        </w:rPr>
        <w:t xml:space="preserve"> van burgers.</w:t>
      </w:r>
      <w:r w:rsidR="00690131" w:rsidRPr="004D0A5A">
        <w:rPr>
          <w:rStyle w:val="Voetnootmarkering"/>
          <w:rFonts w:ascii="Verdana" w:hAnsi="Verdana"/>
          <w:sz w:val="18"/>
          <w:szCs w:val="18"/>
        </w:rPr>
        <w:footnoteReference w:id="17"/>
      </w:r>
      <w:r w:rsidR="00690131" w:rsidRPr="004D0A5A">
        <w:rPr>
          <w:rFonts w:ascii="Verdana" w:hAnsi="Verdana"/>
          <w:sz w:val="18"/>
          <w:szCs w:val="18"/>
        </w:rPr>
        <w:t xml:space="preserve"> </w:t>
      </w:r>
      <w:r w:rsidR="000A2559">
        <w:rPr>
          <w:rFonts w:ascii="Verdana" w:hAnsi="Verdana"/>
          <w:sz w:val="18"/>
          <w:szCs w:val="18"/>
        </w:rPr>
        <w:t>De waarborg van het</w:t>
      </w:r>
      <w:r w:rsidRPr="004D0A5A">
        <w:rPr>
          <w:rFonts w:ascii="Verdana" w:hAnsi="Verdana"/>
          <w:sz w:val="18"/>
          <w:szCs w:val="18"/>
        </w:rPr>
        <w:t xml:space="preserve"> recht op e</w:t>
      </w:r>
      <w:r w:rsidR="00D34E1B" w:rsidRPr="004D0A5A">
        <w:rPr>
          <w:rFonts w:ascii="Verdana" w:hAnsi="Verdana"/>
          <w:sz w:val="18"/>
          <w:szCs w:val="18"/>
        </w:rPr>
        <w:t>e</w:t>
      </w:r>
      <w:r w:rsidRPr="004D0A5A">
        <w:rPr>
          <w:rFonts w:ascii="Verdana" w:hAnsi="Verdana"/>
          <w:sz w:val="18"/>
          <w:szCs w:val="18"/>
        </w:rPr>
        <w:t xml:space="preserve">n </w:t>
      </w:r>
      <w:r w:rsidR="00D34E1B" w:rsidRPr="004D0A5A">
        <w:rPr>
          <w:rFonts w:ascii="Verdana" w:hAnsi="Verdana"/>
          <w:sz w:val="18"/>
          <w:szCs w:val="18"/>
        </w:rPr>
        <w:t>ee</w:t>
      </w:r>
      <w:r w:rsidR="0013172E" w:rsidRPr="004D0A5A">
        <w:rPr>
          <w:rFonts w:ascii="Verdana" w:hAnsi="Verdana"/>
          <w:sz w:val="18"/>
          <w:szCs w:val="18"/>
        </w:rPr>
        <w:t xml:space="preserve">rlijk proces voor een onafhankelijke en onpartijdige rechter </w:t>
      </w:r>
      <w:r w:rsidR="000A2559">
        <w:rPr>
          <w:rFonts w:ascii="Verdana" w:hAnsi="Verdana"/>
          <w:sz w:val="18"/>
          <w:szCs w:val="18"/>
        </w:rPr>
        <w:t xml:space="preserve">geldt dan ook </w:t>
      </w:r>
      <w:r w:rsidRPr="004D0A5A">
        <w:rPr>
          <w:rFonts w:ascii="Verdana" w:hAnsi="Verdana"/>
          <w:sz w:val="18"/>
          <w:szCs w:val="18"/>
        </w:rPr>
        <w:t xml:space="preserve">als een </w:t>
      </w:r>
      <w:r w:rsidR="000A2559">
        <w:rPr>
          <w:rFonts w:ascii="Verdana" w:hAnsi="Verdana"/>
          <w:sz w:val="18"/>
          <w:szCs w:val="18"/>
        </w:rPr>
        <w:t xml:space="preserve">essentiële </w:t>
      </w:r>
      <w:r w:rsidR="00D34E1B" w:rsidRPr="004D0A5A">
        <w:rPr>
          <w:rFonts w:ascii="Verdana" w:hAnsi="Verdana"/>
          <w:sz w:val="18"/>
          <w:szCs w:val="18"/>
        </w:rPr>
        <w:t xml:space="preserve">voorwaarde voor de effectuering van </w:t>
      </w:r>
      <w:r w:rsidR="00A61E36" w:rsidRPr="004D0A5A">
        <w:rPr>
          <w:rFonts w:ascii="Verdana" w:hAnsi="Verdana"/>
          <w:sz w:val="18"/>
          <w:szCs w:val="18"/>
        </w:rPr>
        <w:t>andere grondrechten</w:t>
      </w:r>
      <w:r w:rsidR="00D34E1B" w:rsidRPr="004D0A5A">
        <w:rPr>
          <w:rFonts w:ascii="Verdana" w:hAnsi="Verdana"/>
          <w:sz w:val="18"/>
          <w:szCs w:val="18"/>
        </w:rPr>
        <w:t>.</w:t>
      </w:r>
      <w:r w:rsidR="00A61E36" w:rsidRPr="004D0A5A">
        <w:rPr>
          <w:rFonts w:ascii="Verdana" w:hAnsi="Verdana"/>
          <w:sz w:val="18"/>
          <w:szCs w:val="18"/>
        </w:rPr>
        <w:t xml:space="preserve"> </w:t>
      </w:r>
    </w:p>
    <w:p w:rsidR="00504F3B" w:rsidRDefault="00504F3B" w:rsidP="004D0A5A">
      <w:pPr>
        <w:pStyle w:val="Geenafstand"/>
        <w:spacing w:line="280" w:lineRule="atLeast"/>
        <w:rPr>
          <w:rFonts w:ascii="Verdana" w:hAnsi="Verdana"/>
          <w:sz w:val="18"/>
          <w:szCs w:val="18"/>
        </w:rPr>
      </w:pPr>
    </w:p>
    <w:p w:rsidR="004D0A5A" w:rsidRPr="004D0A5A" w:rsidRDefault="00E1550A" w:rsidP="004D0A5A">
      <w:pPr>
        <w:pStyle w:val="Geenafstand"/>
        <w:spacing w:line="280" w:lineRule="atLeast"/>
        <w:rPr>
          <w:rFonts w:ascii="Verdana" w:hAnsi="Verdana"/>
          <w:sz w:val="18"/>
          <w:szCs w:val="18"/>
        </w:rPr>
      </w:pPr>
      <w:r>
        <w:rPr>
          <w:rFonts w:ascii="Verdana" w:hAnsi="Verdana"/>
          <w:sz w:val="18"/>
          <w:szCs w:val="18"/>
        </w:rPr>
        <w:t>D</w:t>
      </w:r>
      <w:r w:rsidR="00E04790">
        <w:rPr>
          <w:rFonts w:ascii="Verdana" w:hAnsi="Verdana"/>
          <w:sz w:val="18"/>
          <w:szCs w:val="18"/>
        </w:rPr>
        <w:t xml:space="preserve">it wetsvoorstel heeft </w:t>
      </w:r>
      <w:r w:rsidR="00057223">
        <w:rPr>
          <w:rFonts w:ascii="Verdana" w:hAnsi="Verdana"/>
          <w:sz w:val="18"/>
          <w:szCs w:val="18"/>
        </w:rPr>
        <w:t>tot</w:t>
      </w:r>
      <w:r w:rsidR="00057223" w:rsidRPr="004D0A5A">
        <w:rPr>
          <w:rFonts w:ascii="Verdana" w:hAnsi="Verdana"/>
          <w:sz w:val="18"/>
          <w:szCs w:val="18"/>
        </w:rPr>
        <w:t xml:space="preserve"> doel </w:t>
      </w:r>
      <w:r w:rsidR="000A2559">
        <w:rPr>
          <w:rFonts w:ascii="Verdana" w:hAnsi="Verdana"/>
          <w:sz w:val="18"/>
          <w:szCs w:val="18"/>
        </w:rPr>
        <w:t>de waarborg van</w:t>
      </w:r>
      <w:r w:rsidR="00E04790">
        <w:rPr>
          <w:rFonts w:ascii="Verdana" w:hAnsi="Verdana"/>
          <w:sz w:val="18"/>
          <w:szCs w:val="18"/>
        </w:rPr>
        <w:t xml:space="preserve"> individuele rechtsbescherming </w:t>
      </w:r>
      <w:r w:rsidR="000A2559">
        <w:rPr>
          <w:rFonts w:ascii="Verdana" w:hAnsi="Verdana"/>
          <w:sz w:val="18"/>
          <w:szCs w:val="18"/>
        </w:rPr>
        <w:t xml:space="preserve">op grondwettelijk niveau </w:t>
      </w:r>
      <w:r w:rsidR="00E04790">
        <w:rPr>
          <w:rFonts w:ascii="Verdana" w:hAnsi="Verdana"/>
          <w:sz w:val="18"/>
          <w:szCs w:val="18"/>
        </w:rPr>
        <w:t>te ver</w:t>
      </w:r>
      <w:r w:rsidR="000A2559">
        <w:rPr>
          <w:rFonts w:ascii="Verdana" w:hAnsi="Verdana"/>
          <w:sz w:val="18"/>
          <w:szCs w:val="18"/>
        </w:rPr>
        <w:t>anker</w:t>
      </w:r>
      <w:r w:rsidR="00E04790">
        <w:rPr>
          <w:rFonts w:ascii="Verdana" w:hAnsi="Verdana"/>
          <w:sz w:val="18"/>
          <w:szCs w:val="18"/>
        </w:rPr>
        <w:t>en</w:t>
      </w:r>
      <w:r w:rsidR="00057223" w:rsidRPr="004D0A5A">
        <w:rPr>
          <w:rFonts w:ascii="Verdana" w:hAnsi="Verdana"/>
          <w:sz w:val="18"/>
          <w:szCs w:val="18"/>
        </w:rPr>
        <w:t xml:space="preserve">. </w:t>
      </w:r>
      <w:r w:rsidR="001127D1">
        <w:rPr>
          <w:rFonts w:ascii="Verdana" w:hAnsi="Verdana"/>
          <w:sz w:val="18"/>
          <w:szCs w:val="18"/>
        </w:rPr>
        <w:t>H</w:t>
      </w:r>
      <w:r w:rsidR="00555A55" w:rsidRPr="004D0A5A">
        <w:rPr>
          <w:rFonts w:ascii="Verdana" w:hAnsi="Verdana"/>
          <w:sz w:val="18"/>
          <w:szCs w:val="18"/>
        </w:rPr>
        <w:t xml:space="preserve">et verankeren van het recht op </w:t>
      </w:r>
      <w:r w:rsidR="007B6B1B" w:rsidRPr="004D0A5A">
        <w:rPr>
          <w:rFonts w:ascii="Verdana" w:hAnsi="Verdana"/>
          <w:sz w:val="18"/>
          <w:szCs w:val="18"/>
        </w:rPr>
        <w:t>een eerlijk proces</w:t>
      </w:r>
      <w:r w:rsidR="001127D1">
        <w:rPr>
          <w:rFonts w:ascii="Verdana" w:hAnsi="Verdana"/>
          <w:sz w:val="18"/>
          <w:szCs w:val="18"/>
        </w:rPr>
        <w:t xml:space="preserve"> </w:t>
      </w:r>
      <w:r w:rsidR="0098152A">
        <w:rPr>
          <w:rFonts w:ascii="Verdana" w:hAnsi="Verdana"/>
          <w:sz w:val="18"/>
          <w:szCs w:val="18"/>
        </w:rPr>
        <w:t xml:space="preserve">in de Grondwet </w:t>
      </w:r>
      <w:r w:rsidR="00747001">
        <w:rPr>
          <w:rFonts w:ascii="Verdana" w:hAnsi="Verdana"/>
          <w:sz w:val="18"/>
          <w:szCs w:val="18"/>
        </w:rPr>
        <w:t xml:space="preserve">en het garanderen van het daaraan inherente recht op toegang tot de rechter, </w:t>
      </w:r>
      <w:r w:rsidR="001127D1">
        <w:rPr>
          <w:rFonts w:ascii="Verdana" w:hAnsi="Verdana"/>
          <w:sz w:val="18"/>
          <w:szCs w:val="18"/>
        </w:rPr>
        <w:t>ka</w:t>
      </w:r>
      <w:r w:rsidR="00555A55" w:rsidRPr="004D0A5A">
        <w:rPr>
          <w:rFonts w:ascii="Verdana" w:hAnsi="Verdana"/>
          <w:sz w:val="18"/>
          <w:szCs w:val="18"/>
        </w:rPr>
        <w:t xml:space="preserve">n </w:t>
      </w:r>
      <w:r w:rsidR="000A2559">
        <w:rPr>
          <w:rFonts w:ascii="Verdana" w:hAnsi="Verdana"/>
          <w:sz w:val="18"/>
          <w:szCs w:val="18"/>
        </w:rPr>
        <w:t xml:space="preserve">daarnaast </w:t>
      </w:r>
      <w:r w:rsidR="00555A55" w:rsidRPr="004D0A5A">
        <w:rPr>
          <w:rFonts w:ascii="Verdana" w:hAnsi="Verdana"/>
          <w:sz w:val="18"/>
          <w:szCs w:val="18"/>
        </w:rPr>
        <w:t xml:space="preserve">bijdragen </w:t>
      </w:r>
      <w:r w:rsidR="00555A55" w:rsidRPr="004D0A5A">
        <w:rPr>
          <w:rFonts w:ascii="Verdana" w:hAnsi="Verdana"/>
          <w:sz w:val="18"/>
          <w:szCs w:val="18"/>
        </w:rPr>
        <w:lastRenderedPageBreak/>
        <w:t>aan het v</w:t>
      </w:r>
      <w:r w:rsidR="008A7C6F" w:rsidRPr="004D0A5A">
        <w:rPr>
          <w:rFonts w:ascii="Verdana" w:hAnsi="Verdana"/>
          <w:sz w:val="18"/>
          <w:szCs w:val="18"/>
        </w:rPr>
        <w:t>ertrouwen</w:t>
      </w:r>
      <w:r w:rsidR="00555A55" w:rsidRPr="004D0A5A">
        <w:rPr>
          <w:rFonts w:ascii="Verdana" w:hAnsi="Verdana"/>
          <w:sz w:val="18"/>
          <w:szCs w:val="18"/>
        </w:rPr>
        <w:t xml:space="preserve"> van</w:t>
      </w:r>
      <w:r w:rsidR="00AF2EEE" w:rsidRPr="004D0A5A">
        <w:rPr>
          <w:rFonts w:ascii="Verdana" w:hAnsi="Verdana"/>
          <w:sz w:val="18"/>
          <w:szCs w:val="18"/>
        </w:rPr>
        <w:t xml:space="preserve"> de burger </w:t>
      </w:r>
      <w:r w:rsidR="00555A55" w:rsidRPr="004D0A5A">
        <w:rPr>
          <w:rFonts w:ascii="Verdana" w:hAnsi="Verdana"/>
          <w:sz w:val="18"/>
          <w:szCs w:val="18"/>
        </w:rPr>
        <w:t>in de rechtsstaat</w:t>
      </w:r>
      <w:r w:rsidR="00AF2EEE" w:rsidRPr="004D0A5A">
        <w:rPr>
          <w:rFonts w:ascii="Verdana" w:hAnsi="Verdana"/>
          <w:sz w:val="18"/>
          <w:szCs w:val="18"/>
        </w:rPr>
        <w:t xml:space="preserve"> en meer in het bijzonder in de rechtspraak</w:t>
      </w:r>
      <w:r w:rsidR="00555A55" w:rsidRPr="004D0A5A">
        <w:rPr>
          <w:rFonts w:ascii="Verdana" w:hAnsi="Verdana"/>
          <w:sz w:val="18"/>
          <w:szCs w:val="18"/>
        </w:rPr>
        <w:t xml:space="preserve">. Onderzoek uit 2012 toont aan dat het vertrouwen van burgers in de rechtsstaat </w:t>
      </w:r>
      <w:r w:rsidR="00D61E94">
        <w:rPr>
          <w:rFonts w:ascii="Verdana" w:hAnsi="Verdana"/>
          <w:sz w:val="18"/>
          <w:szCs w:val="18"/>
        </w:rPr>
        <w:t xml:space="preserve">(mede) </w:t>
      </w:r>
      <w:r w:rsidR="00555A55" w:rsidRPr="004D0A5A">
        <w:rPr>
          <w:rFonts w:ascii="Verdana" w:hAnsi="Verdana"/>
          <w:sz w:val="18"/>
          <w:szCs w:val="18"/>
        </w:rPr>
        <w:t>berust op de overtuiging dat grondrechten grondwettelijk verankerd zijn en op de overtuiging dat er sprake is van een scheiding van machten, met een onafhankelijke rol voor de rechter.</w:t>
      </w:r>
      <w:r w:rsidR="00555A55" w:rsidRPr="004D0A5A">
        <w:rPr>
          <w:rStyle w:val="Voetnootmarkering"/>
          <w:rFonts w:ascii="Verdana" w:hAnsi="Verdana"/>
          <w:sz w:val="18"/>
          <w:szCs w:val="18"/>
        </w:rPr>
        <w:footnoteReference w:id="18"/>
      </w:r>
      <w:r w:rsidR="00555A55" w:rsidRPr="004D0A5A">
        <w:rPr>
          <w:rFonts w:ascii="Verdana" w:hAnsi="Verdana"/>
          <w:sz w:val="18"/>
          <w:szCs w:val="18"/>
        </w:rPr>
        <w:t xml:space="preserve"> </w:t>
      </w:r>
      <w:r w:rsidR="001127D1">
        <w:rPr>
          <w:rFonts w:ascii="Verdana" w:hAnsi="Verdana"/>
          <w:sz w:val="18"/>
          <w:szCs w:val="18"/>
        </w:rPr>
        <w:t>In het</w:t>
      </w:r>
      <w:r w:rsidR="006E1F3A" w:rsidRPr="004D0A5A">
        <w:rPr>
          <w:rFonts w:ascii="Verdana" w:hAnsi="Verdana"/>
          <w:sz w:val="18"/>
          <w:szCs w:val="18"/>
        </w:rPr>
        <w:t xml:space="preserve"> rapport </w:t>
      </w:r>
      <w:r w:rsidR="001127D1">
        <w:rPr>
          <w:rFonts w:ascii="Verdana" w:hAnsi="Verdana"/>
          <w:sz w:val="18"/>
          <w:szCs w:val="18"/>
        </w:rPr>
        <w:t>“</w:t>
      </w:r>
      <w:r w:rsidR="006E1F3A" w:rsidRPr="004D0A5A">
        <w:rPr>
          <w:rFonts w:ascii="Verdana" w:hAnsi="Verdana"/>
          <w:sz w:val="18"/>
          <w:szCs w:val="18"/>
        </w:rPr>
        <w:t>De toekomst van de nationale rechtsstaat</w:t>
      </w:r>
      <w:r w:rsidR="001127D1">
        <w:rPr>
          <w:rFonts w:ascii="Verdana" w:hAnsi="Verdana"/>
          <w:sz w:val="18"/>
          <w:szCs w:val="18"/>
        </w:rPr>
        <w:t>”</w:t>
      </w:r>
      <w:r w:rsidR="006E1F3A" w:rsidRPr="004D0A5A">
        <w:rPr>
          <w:rFonts w:ascii="Verdana" w:hAnsi="Verdana"/>
          <w:sz w:val="18"/>
          <w:szCs w:val="18"/>
        </w:rPr>
        <w:t xml:space="preserve"> ui</w:t>
      </w:r>
      <w:r w:rsidR="00BD719A">
        <w:rPr>
          <w:rFonts w:ascii="Verdana" w:hAnsi="Verdana"/>
          <w:sz w:val="18"/>
          <w:szCs w:val="18"/>
        </w:rPr>
        <w:t>t 2002 koppel</w:t>
      </w:r>
      <w:r w:rsidR="004D0A5A">
        <w:rPr>
          <w:rFonts w:ascii="Verdana" w:hAnsi="Verdana"/>
          <w:sz w:val="18"/>
          <w:szCs w:val="18"/>
        </w:rPr>
        <w:t xml:space="preserve">de de </w:t>
      </w:r>
      <w:r w:rsidR="000A2559">
        <w:rPr>
          <w:rFonts w:ascii="Verdana" w:hAnsi="Verdana"/>
          <w:sz w:val="18"/>
          <w:szCs w:val="18"/>
        </w:rPr>
        <w:t>Wetenschappelijke Raad voor het Regeringsbeleid (</w:t>
      </w:r>
      <w:r w:rsidR="004D0A5A">
        <w:rPr>
          <w:rFonts w:ascii="Verdana" w:hAnsi="Verdana"/>
          <w:sz w:val="18"/>
          <w:szCs w:val="18"/>
        </w:rPr>
        <w:t>WRR</w:t>
      </w:r>
      <w:r w:rsidR="000A2559">
        <w:rPr>
          <w:rFonts w:ascii="Verdana" w:hAnsi="Verdana"/>
          <w:sz w:val="18"/>
          <w:szCs w:val="18"/>
        </w:rPr>
        <w:t>)</w:t>
      </w:r>
      <w:r w:rsidR="006E1F3A" w:rsidRPr="004D0A5A">
        <w:rPr>
          <w:rFonts w:ascii="Verdana" w:hAnsi="Verdana"/>
          <w:sz w:val="18"/>
          <w:szCs w:val="18"/>
        </w:rPr>
        <w:t xml:space="preserve"> </w:t>
      </w:r>
      <w:r w:rsidR="00881A08" w:rsidRPr="004D0A5A">
        <w:rPr>
          <w:rFonts w:ascii="Verdana" w:hAnsi="Verdana"/>
          <w:sz w:val="18"/>
          <w:szCs w:val="18"/>
        </w:rPr>
        <w:t xml:space="preserve">het tegengaan van willekeur in de machtsuitoefening van de staat, </w:t>
      </w:r>
      <w:r w:rsidR="001127D1">
        <w:rPr>
          <w:rFonts w:ascii="Verdana" w:hAnsi="Verdana"/>
          <w:sz w:val="18"/>
          <w:szCs w:val="18"/>
        </w:rPr>
        <w:t>welke</w:t>
      </w:r>
      <w:r w:rsidR="002C41FE" w:rsidRPr="004D0A5A">
        <w:rPr>
          <w:rFonts w:ascii="Verdana" w:hAnsi="Verdana"/>
          <w:sz w:val="18"/>
          <w:szCs w:val="18"/>
        </w:rPr>
        <w:t xml:space="preserve"> </w:t>
      </w:r>
      <w:r w:rsidR="00881A08" w:rsidRPr="004D0A5A">
        <w:rPr>
          <w:rFonts w:ascii="Verdana" w:hAnsi="Verdana"/>
          <w:sz w:val="18"/>
          <w:szCs w:val="18"/>
        </w:rPr>
        <w:t>in l</w:t>
      </w:r>
      <w:r w:rsidR="001127D1">
        <w:rPr>
          <w:rFonts w:ascii="Verdana" w:hAnsi="Verdana"/>
          <w:sz w:val="18"/>
          <w:szCs w:val="18"/>
        </w:rPr>
        <w:t>aatste instantie is</w:t>
      </w:r>
      <w:r w:rsidR="002C41FE" w:rsidRPr="004D0A5A">
        <w:rPr>
          <w:rFonts w:ascii="Verdana" w:hAnsi="Verdana"/>
          <w:sz w:val="18"/>
          <w:szCs w:val="18"/>
        </w:rPr>
        <w:t xml:space="preserve"> </w:t>
      </w:r>
      <w:r w:rsidR="001127D1">
        <w:rPr>
          <w:rFonts w:ascii="Verdana" w:hAnsi="Verdana"/>
          <w:sz w:val="18"/>
          <w:szCs w:val="18"/>
        </w:rPr>
        <w:t xml:space="preserve">onderworpen </w:t>
      </w:r>
      <w:r w:rsidR="002C41FE" w:rsidRPr="004D0A5A">
        <w:rPr>
          <w:rFonts w:ascii="Verdana" w:hAnsi="Verdana"/>
          <w:sz w:val="18"/>
          <w:szCs w:val="18"/>
        </w:rPr>
        <w:t>aan</w:t>
      </w:r>
      <w:r w:rsidR="007B6B1B" w:rsidRPr="004D0A5A">
        <w:rPr>
          <w:rFonts w:ascii="Verdana" w:hAnsi="Verdana"/>
          <w:sz w:val="18"/>
          <w:szCs w:val="18"/>
        </w:rPr>
        <w:t xml:space="preserve"> controle</w:t>
      </w:r>
      <w:r w:rsidR="00881A08" w:rsidRPr="004D0A5A">
        <w:rPr>
          <w:rFonts w:ascii="Verdana" w:hAnsi="Verdana"/>
          <w:sz w:val="18"/>
          <w:szCs w:val="18"/>
        </w:rPr>
        <w:t xml:space="preserve"> van de rechter</w:t>
      </w:r>
      <w:r w:rsidR="00BD719A">
        <w:rPr>
          <w:rFonts w:ascii="Verdana" w:hAnsi="Verdana"/>
          <w:sz w:val="18"/>
          <w:szCs w:val="18"/>
        </w:rPr>
        <w:t>, aan</w:t>
      </w:r>
      <w:r w:rsidR="007B6B1B" w:rsidRPr="004D0A5A">
        <w:rPr>
          <w:rFonts w:ascii="Verdana" w:hAnsi="Verdana"/>
          <w:sz w:val="18"/>
          <w:szCs w:val="18"/>
        </w:rPr>
        <w:t xml:space="preserve"> de verwachting van en de plicht tot gehoorzaamheid van burgers aan de regels.</w:t>
      </w:r>
      <w:r w:rsidR="007B6B1B" w:rsidRPr="004D0A5A">
        <w:rPr>
          <w:rStyle w:val="Voetnootmarkering"/>
          <w:rFonts w:ascii="Verdana" w:hAnsi="Verdana"/>
          <w:sz w:val="18"/>
          <w:szCs w:val="18"/>
        </w:rPr>
        <w:footnoteReference w:id="19"/>
      </w:r>
      <w:r w:rsidR="007B6B1B" w:rsidRPr="004D0A5A">
        <w:rPr>
          <w:rFonts w:ascii="Verdana" w:hAnsi="Verdana"/>
          <w:sz w:val="18"/>
          <w:szCs w:val="18"/>
        </w:rPr>
        <w:t xml:space="preserve"> </w:t>
      </w:r>
      <w:r w:rsidR="00F7710F" w:rsidRPr="00F7710F">
        <w:rPr>
          <w:rFonts w:ascii="Verdana" w:hAnsi="Verdana"/>
          <w:sz w:val="18"/>
          <w:szCs w:val="18"/>
        </w:rPr>
        <w:t>Effectieve recht</w:t>
      </w:r>
      <w:r w:rsidR="00747001">
        <w:rPr>
          <w:rFonts w:ascii="Verdana" w:hAnsi="Verdana"/>
          <w:sz w:val="18"/>
          <w:szCs w:val="18"/>
        </w:rPr>
        <w:t>sbescherming</w:t>
      </w:r>
      <w:r w:rsidR="00F7710F" w:rsidRPr="00F7710F">
        <w:rPr>
          <w:rFonts w:ascii="Verdana" w:hAnsi="Verdana"/>
          <w:sz w:val="18"/>
          <w:szCs w:val="18"/>
        </w:rPr>
        <w:t xml:space="preserve"> kan bijdragen aan het voorkomen</w:t>
      </w:r>
      <w:r w:rsidR="00F7710F">
        <w:rPr>
          <w:rFonts w:ascii="Verdana" w:hAnsi="Verdana"/>
          <w:sz w:val="18"/>
          <w:szCs w:val="18"/>
        </w:rPr>
        <w:t xml:space="preserve"> </w:t>
      </w:r>
      <w:r w:rsidR="00F7710F" w:rsidRPr="00F7710F">
        <w:rPr>
          <w:rFonts w:ascii="Verdana" w:hAnsi="Verdana"/>
          <w:sz w:val="18"/>
          <w:szCs w:val="18"/>
        </w:rPr>
        <w:t>van gevoelens van onveiligheid en onzekerheid, van eigenrichting of het</w:t>
      </w:r>
      <w:r w:rsidR="00F7710F">
        <w:rPr>
          <w:rFonts w:ascii="Verdana" w:hAnsi="Verdana"/>
          <w:sz w:val="18"/>
          <w:szCs w:val="18"/>
        </w:rPr>
        <w:t xml:space="preserve"> overtreden van </w:t>
      </w:r>
      <w:r w:rsidR="00F7710F" w:rsidRPr="00F7710F">
        <w:rPr>
          <w:rFonts w:ascii="Verdana" w:hAnsi="Verdana"/>
          <w:sz w:val="18"/>
          <w:szCs w:val="18"/>
        </w:rPr>
        <w:t>maatschappelijke normen en waarden.</w:t>
      </w:r>
      <w:r w:rsidR="00F7710F">
        <w:rPr>
          <w:rStyle w:val="Voetnootmarkering"/>
          <w:rFonts w:ascii="Verdana" w:hAnsi="Verdana"/>
          <w:sz w:val="18"/>
          <w:szCs w:val="18"/>
        </w:rPr>
        <w:footnoteReference w:id="20"/>
      </w:r>
      <w:r w:rsidR="00F7710F" w:rsidRPr="00F7710F">
        <w:rPr>
          <w:rFonts w:ascii="Verdana" w:hAnsi="Verdana"/>
          <w:sz w:val="18"/>
          <w:szCs w:val="18"/>
        </w:rPr>
        <w:t xml:space="preserve"> </w:t>
      </w:r>
      <w:r w:rsidR="00881A08" w:rsidRPr="004D0A5A">
        <w:rPr>
          <w:rFonts w:ascii="Verdana" w:hAnsi="Verdana"/>
          <w:sz w:val="18"/>
          <w:szCs w:val="18"/>
        </w:rPr>
        <w:t>Ook binnen de Europese Unie wordt het wederzijds vertrouwen in elkaars rechtsstelsels van groot belang geacht</w:t>
      </w:r>
      <w:r w:rsidR="00023E76" w:rsidRPr="004D0A5A">
        <w:rPr>
          <w:rFonts w:ascii="Verdana" w:hAnsi="Verdana"/>
          <w:sz w:val="18"/>
          <w:szCs w:val="18"/>
        </w:rPr>
        <w:t xml:space="preserve"> voor het functioneren van de Europese rechtsruimte</w:t>
      </w:r>
      <w:r w:rsidR="00881A08" w:rsidRPr="004D0A5A">
        <w:rPr>
          <w:rFonts w:ascii="Verdana" w:hAnsi="Verdana"/>
          <w:sz w:val="18"/>
          <w:szCs w:val="18"/>
        </w:rPr>
        <w:t>.</w:t>
      </w:r>
      <w:r w:rsidR="00023E76" w:rsidRPr="004D0A5A">
        <w:rPr>
          <w:rStyle w:val="Voetnootmarkering"/>
          <w:rFonts w:ascii="Verdana" w:hAnsi="Verdana"/>
          <w:sz w:val="18"/>
          <w:szCs w:val="18"/>
        </w:rPr>
        <w:footnoteReference w:id="21"/>
      </w:r>
      <w:r w:rsidR="00881A08" w:rsidRPr="004D0A5A">
        <w:rPr>
          <w:rFonts w:ascii="Verdana" w:hAnsi="Verdana"/>
          <w:sz w:val="18"/>
          <w:szCs w:val="18"/>
        </w:rPr>
        <w:t xml:space="preserve"> </w:t>
      </w:r>
      <w:r w:rsidR="00EA4AD2">
        <w:rPr>
          <w:rFonts w:ascii="Verdana" w:hAnsi="Verdana"/>
          <w:sz w:val="18"/>
          <w:szCs w:val="18"/>
        </w:rPr>
        <w:t>Nationaal heeft d</w:t>
      </w:r>
      <w:r w:rsidR="007B6B1B" w:rsidRPr="004D0A5A">
        <w:rPr>
          <w:rFonts w:ascii="Verdana" w:hAnsi="Verdana"/>
          <w:sz w:val="18"/>
          <w:szCs w:val="18"/>
        </w:rPr>
        <w:t xml:space="preserve">e wetgever met het oog op </w:t>
      </w:r>
      <w:r>
        <w:rPr>
          <w:rFonts w:ascii="Verdana" w:hAnsi="Verdana"/>
          <w:sz w:val="18"/>
          <w:szCs w:val="18"/>
        </w:rPr>
        <w:t xml:space="preserve">vertrouwen in de rechtspraak </w:t>
      </w:r>
      <w:r w:rsidR="007B6B1B" w:rsidRPr="004D0A5A">
        <w:rPr>
          <w:rFonts w:ascii="Verdana" w:hAnsi="Verdana"/>
          <w:sz w:val="18"/>
          <w:szCs w:val="18"/>
        </w:rPr>
        <w:t xml:space="preserve">diverse </w:t>
      </w:r>
      <w:r w:rsidR="00881A08" w:rsidRPr="004D0A5A">
        <w:rPr>
          <w:rFonts w:ascii="Verdana" w:hAnsi="Verdana"/>
          <w:sz w:val="18"/>
          <w:szCs w:val="18"/>
        </w:rPr>
        <w:t>co</w:t>
      </w:r>
      <w:r w:rsidR="007B6B1B" w:rsidRPr="004D0A5A">
        <w:rPr>
          <w:rFonts w:ascii="Verdana" w:hAnsi="Verdana"/>
          <w:sz w:val="18"/>
          <w:szCs w:val="18"/>
        </w:rPr>
        <w:t>ncrete maatregelen genomen</w:t>
      </w:r>
      <w:r w:rsidR="00881A08" w:rsidRPr="004D0A5A">
        <w:rPr>
          <w:rFonts w:ascii="Verdana" w:hAnsi="Verdana"/>
          <w:sz w:val="18"/>
          <w:szCs w:val="18"/>
        </w:rPr>
        <w:t xml:space="preserve">, zoals </w:t>
      </w:r>
      <w:r w:rsidR="000A2559">
        <w:rPr>
          <w:rFonts w:ascii="Verdana" w:hAnsi="Verdana"/>
          <w:sz w:val="18"/>
          <w:szCs w:val="18"/>
        </w:rPr>
        <w:t xml:space="preserve">het openstellen van een wrakingsprocedure en </w:t>
      </w:r>
      <w:r w:rsidR="00881A08" w:rsidRPr="004D0A5A">
        <w:rPr>
          <w:rFonts w:ascii="Verdana" w:hAnsi="Verdana"/>
          <w:sz w:val="18"/>
          <w:szCs w:val="18"/>
        </w:rPr>
        <w:t>de openbaarheid van het register waarin de nevenbetrekkingen van rechters zijn opgenomen op grond van artikel 44 Wet rechtspositie rechterlijke ambtenaren</w:t>
      </w:r>
      <w:r w:rsidR="0018369F">
        <w:rPr>
          <w:rFonts w:ascii="Verdana" w:hAnsi="Verdana"/>
          <w:sz w:val="18"/>
          <w:szCs w:val="18"/>
        </w:rPr>
        <w:t xml:space="preserve"> (</w:t>
      </w:r>
      <w:proofErr w:type="spellStart"/>
      <w:r w:rsidR="0018369F">
        <w:rPr>
          <w:rFonts w:ascii="Verdana" w:hAnsi="Verdana"/>
          <w:sz w:val="18"/>
          <w:szCs w:val="18"/>
        </w:rPr>
        <w:t>Wrra</w:t>
      </w:r>
      <w:proofErr w:type="spellEnd"/>
      <w:r w:rsidR="0018369F">
        <w:rPr>
          <w:rFonts w:ascii="Verdana" w:hAnsi="Verdana"/>
          <w:sz w:val="18"/>
          <w:szCs w:val="18"/>
        </w:rPr>
        <w:t>)</w:t>
      </w:r>
      <w:r w:rsidR="007B6B1B" w:rsidRPr="004D0A5A">
        <w:rPr>
          <w:rFonts w:ascii="Verdana" w:hAnsi="Verdana"/>
          <w:sz w:val="18"/>
          <w:szCs w:val="18"/>
        </w:rPr>
        <w:t>.</w:t>
      </w:r>
      <w:r w:rsidR="00881A08" w:rsidRPr="004D0A5A">
        <w:rPr>
          <w:rStyle w:val="Voetnootmarkering"/>
          <w:rFonts w:ascii="Verdana" w:hAnsi="Verdana"/>
          <w:sz w:val="18"/>
          <w:szCs w:val="18"/>
        </w:rPr>
        <w:footnoteReference w:id="22"/>
      </w:r>
      <w:r w:rsidR="00881A08" w:rsidRPr="004D0A5A">
        <w:rPr>
          <w:rFonts w:ascii="Verdana" w:hAnsi="Verdana"/>
          <w:sz w:val="18"/>
          <w:szCs w:val="18"/>
        </w:rPr>
        <w:t xml:space="preserve"> </w:t>
      </w:r>
      <w:r w:rsidR="007B6B1B" w:rsidRPr="004D0A5A">
        <w:rPr>
          <w:rFonts w:ascii="Verdana" w:hAnsi="Verdana"/>
          <w:sz w:val="18"/>
          <w:szCs w:val="18"/>
        </w:rPr>
        <w:t xml:space="preserve">Ook binnen de rechterlijke organisatie is er aandacht voor het vertrouwen in de rechtspraak, onder meer door </w:t>
      </w:r>
      <w:r w:rsidR="004D0A5A">
        <w:rPr>
          <w:rFonts w:ascii="Verdana" w:hAnsi="Verdana"/>
          <w:sz w:val="18"/>
          <w:szCs w:val="18"/>
        </w:rPr>
        <w:t xml:space="preserve">(meer) </w:t>
      </w:r>
      <w:r w:rsidR="007B6B1B" w:rsidRPr="004D0A5A">
        <w:rPr>
          <w:rFonts w:ascii="Verdana" w:hAnsi="Verdana"/>
          <w:sz w:val="18"/>
          <w:szCs w:val="18"/>
        </w:rPr>
        <w:t>transparantie over haar functioneren</w:t>
      </w:r>
      <w:r w:rsidR="0083689B" w:rsidRPr="004D0A5A">
        <w:rPr>
          <w:rStyle w:val="Voetnootmarkering"/>
          <w:rFonts w:ascii="Verdana" w:hAnsi="Verdana"/>
          <w:sz w:val="18"/>
          <w:szCs w:val="18"/>
        </w:rPr>
        <w:footnoteReference w:id="23"/>
      </w:r>
      <w:r w:rsidR="00336FA0">
        <w:rPr>
          <w:rFonts w:ascii="Verdana" w:hAnsi="Verdana"/>
          <w:sz w:val="18"/>
          <w:szCs w:val="18"/>
        </w:rPr>
        <w:t xml:space="preserve"> en toenemende aandacht voor haar kernwaarden, waaronder onafhankelijkheid, onpartijdigheid en integriteit.</w:t>
      </w:r>
      <w:r w:rsidR="00336FA0">
        <w:rPr>
          <w:rStyle w:val="Voetnootmarkering"/>
          <w:rFonts w:ascii="Verdana" w:hAnsi="Verdana"/>
          <w:sz w:val="18"/>
          <w:szCs w:val="18"/>
        </w:rPr>
        <w:footnoteReference w:id="24"/>
      </w:r>
      <w:r w:rsidR="00881A08" w:rsidRPr="004D0A5A">
        <w:rPr>
          <w:rFonts w:ascii="Verdana" w:hAnsi="Verdana"/>
          <w:sz w:val="18"/>
          <w:szCs w:val="18"/>
        </w:rPr>
        <w:t xml:space="preserve"> </w:t>
      </w:r>
      <w:r w:rsidR="007B6B1B" w:rsidRPr="004D0A5A">
        <w:rPr>
          <w:rFonts w:ascii="Verdana" w:hAnsi="Verdana"/>
          <w:sz w:val="18"/>
          <w:szCs w:val="18"/>
        </w:rPr>
        <w:t>Di</w:t>
      </w:r>
      <w:r w:rsidR="006E48EA">
        <w:rPr>
          <w:rFonts w:ascii="Verdana" w:hAnsi="Verdana"/>
          <w:sz w:val="18"/>
          <w:szCs w:val="18"/>
        </w:rPr>
        <w:t xml:space="preserve">t wetsvoorstel benadrukt </w:t>
      </w:r>
      <w:r w:rsidR="007B6B1B" w:rsidRPr="004D0A5A">
        <w:rPr>
          <w:rFonts w:ascii="Verdana" w:hAnsi="Verdana"/>
          <w:sz w:val="18"/>
          <w:szCs w:val="18"/>
        </w:rPr>
        <w:t>de fundamentele be</w:t>
      </w:r>
      <w:r w:rsidR="004D0A5A">
        <w:rPr>
          <w:rFonts w:ascii="Verdana" w:hAnsi="Verdana"/>
          <w:sz w:val="18"/>
          <w:szCs w:val="18"/>
        </w:rPr>
        <w:t xml:space="preserve">tekenis van </w:t>
      </w:r>
      <w:r w:rsidR="00747001">
        <w:rPr>
          <w:rFonts w:ascii="Verdana" w:hAnsi="Verdana"/>
          <w:sz w:val="18"/>
          <w:szCs w:val="18"/>
        </w:rPr>
        <w:t>een eerlijk proces  voor</w:t>
      </w:r>
      <w:r w:rsidR="004D0A5A">
        <w:rPr>
          <w:rFonts w:ascii="Verdana" w:hAnsi="Verdana"/>
          <w:sz w:val="18"/>
          <w:szCs w:val="18"/>
        </w:rPr>
        <w:t xml:space="preserve"> een onafhankelijke en onpartijdige rechter</w:t>
      </w:r>
      <w:r w:rsidR="007B6B1B" w:rsidRPr="004D0A5A">
        <w:rPr>
          <w:rFonts w:ascii="Verdana" w:hAnsi="Verdana"/>
          <w:sz w:val="18"/>
          <w:szCs w:val="18"/>
        </w:rPr>
        <w:t xml:space="preserve"> in een democratische rechtsstaat</w:t>
      </w:r>
      <w:r w:rsidR="006E48EA">
        <w:rPr>
          <w:rFonts w:ascii="Verdana" w:hAnsi="Verdana"/>
          <w:sz w:val="18"/>
          <w:szCs w:val="18"/>
        </w:rPr>
        <w:t xml:space="preserve"> door dit recht op te nemen in de Grondwet</w:t>
      </w:r>
      <w:r w:rsidR="007B6B1B" w:rsidRPr="004D0A5A">
        <w:rPr>
          <w:rFonts w:ascii="Verdana" w:hAnsi="Verdana"/>
          <w:sz w:val="18"/>
          <w:szCs w:val="18"/>
        </w:rPr>
        <w:t>.</w:t>
      </w:r>
      <w:r w:rsidR="000A2559">
        <w:rPr>
          <w:rFonts w:ascii="Verdana" w:hAnsi="Verdana"/>
          <w:sz w:val="18"/>
          <w:szCs w:val="18"/>
        </w:rPr>
        <w:t xml:space="preserve"> Op die manier kan dit wetsvoorstel bijdragen aan het vertrouwen van burgers in de rechtspraak.</w:t>
      </w:r>
    </w:p>
    <w:p w:rsidR="00F7710F" w:rsidRDefault="00F7710F" w:rsidP="00F7710F">
      <w:pPr>
        <w:pStyle w:val="Geenafstand"/>
        <w:spacing w:line="280" w:lineRule="atLeast"/>
        <w:rPr>
          <w:rFonts w:ascii="Verdana" w:hAnsi="Verdana"/>
          <w:sz w:val="18"/>
          <w:szCs w:val="18"/>
        </w:rPr>
      </w:pPr>
    </w:p>
    <w:p w:rsidR="00635AAF" w:rsidRPr="004D0A5A" w:rsidRDefault="00635AAF" w:rsidP="00F7710F">
      <w:pPr>
        <w:pStyle w:val="Geenafstand"/>
        <w:spacing w:line="280" w:lineRule="atLeast"/>
        <w:rPr>
          <w:rFonts w:ascii="Verdana" w:hAnsi="Verdana"/>
          <w:sz w:val="18"/>
          <w:szCs w:val="18"/>
        </w:rPr>
      </w:pPr>
    </w:p>
    <w:p w:rsidR="00290B7B" w:rsidRDefault="0018369F" w:rsidP="00296568">
      <w:pPr>
        <w:pStyle w:val="Lijstalinea"/>
        <w:numPr>
          <w:ilvl w:val="0"/>
          <w:numId w:val="5"/>
        </w:numPr>
        <w:spacing w:line="280" w:lineRule="atLeast"/>
        <w:rPr>
          <w:rFonts w:ascii="Verdana" w:hAnsi="Verdana"/>
          <w:b/>
          <w:sz w:val="18"/>
          <w:szCs w:val="18"/>
        </w:rPr>
      </w:pPr>
      <w:r>
        <w:rPr>
          <w:rFonts w:ascii="Verdana" w:hAnsi="Verdana"/>
          <w:b/>
          <w:sz w:val="18"/>
          <w:szCs w:val="18"/>
        </w:rPr>
        <w:t>Het recht op een e</w:t>
      </w:r>
      <w:r w:rsidR="0090316B">
        <w:rPr>
          <w:rFonts w:ascii="Verdana" w:hAnsi="Verdana"/>
          <w:b/>
          <w:sz w:val="18"/>
          <w:szCs w:val="18"/>
        </w:rPr>
        <w:t xml:space="preserve">erlijk proces </w:t>
      </w:r>
      <w:r w:rsidR="00480B6F">
        <w:rPr>
          <w:rFonts w:ascii="Verdana" w:hAnsi="Verdana"/>
          <w:b/>
          <w:sz w:val="18"/>
          <w:szCs w:val="18"/>
        </w:rPr>
        <w:t>als grondr</w:t>
      </w:r>
      <w:r w:rsidR="002E0A34">
        <w:rPr>
          <w:rFonts w:ascii="Verdana" w:hAnsi="Verdana"/>
          <w:b/>
          <w:sz w:val="18"/>
          <w:szCs w:val="18"/>
        </w:rPr>
        <w:t>e</w:t>
      </w:r>
      <w:r w:rsidR="00480B6F">
        <w:rPr>
          <w:rFonts w:ascii="Verdana" w:hAnsi="Verdana"/>
          <w:b/>
          <w:sz w:val="18"/>
          <w:szCs w:val="18"/>
        </w:rPr>
        <w:t xml:space="preserve">cht </w:t>
      </w:r>
      <w:r w:rsidR="00480B6F" w:rsidRPr="007863A8">
        <w:rPr>
          <w:rFonts w:ascii="Verdana" w:hAnsi="Verdana"/>
          <w:b/>
          <w:sz w:val="18"/>
          <w:szCs w:val="18"/>
        </w:rPr>
        <w:t>mede i</w:t>
      </w:r>
      <w:r w:rsidR="002E0A34" w:rsidRPr="007863A8">
        <w:rPr>
          <w:rFonts w:ascii="Verdana" w:hAnsi="Verdana"/>
          <w:b/>
          <w:sz w:val="18"/>
          <w:szCs w:val="18"/>
        </w:rPr>
        <w:t>n</w:t>
      </w:r>
      <w:r w:rsidR="00480B6F" w:rsidRPr="007863A8">
        <w:rPr>
          <w:rFonts w:ascii="Verdana" w:hAnsi="Verdana"/>
          <w:b/>
          <w:sz w:val="18"/>
          <w:szCs w:val="18"/>
        </w:rPr>
        <w:t xml:space="preserve"> relat</w:t>
      </w:r>
      <w:r w:rsidR="002E0A34" w:rsidRPr="007863A8">
        <w:rPr>
          <w:rFonts w:ascii="Verdana" w:hAnsi="Verdana"/>
          <w:b/>
          <w:sz w:val="18"/>
          <w:szCs w:val="18"/>
        </w:rPr>
        <w:t>i</w:t>
      </w:r>
      <w:r w:rsidR="004F5720">
        <w:rPr>
          <w:rFonts w:ascii="Verdana" w:hAnsi="Verdana"/>
          <w:b/>
          <w:sz w:val="18"/>
          <w:szCs w:val="18"/>
        </w:rPr>
        <w:t>e tot andere grondwetsbepalingen</w:t>
      </w:r>
    </w:p>
    <w:p w:rsidR="00284432" w:rsidRPr="001F0059" w:rsidRDefault="00284432" w:rsidP="001F0059">
      <w:pPr>
        <w:pStyle w:val="Geenafstand"/>
        <w:spacing w:line="280" w:lineRule="atLeast"/>
        <w:rPr>
          <w:rFonts w:ascii="Verdana" w:hAnsi="Verdana"/>
          <w:sz w:val="18"/>
          <w:szCs w:val="18"/>
        </w:rPr>
      </w:pPr>
      <w:r w:rsidRPr="001F0059">
        <w:rPr>
          <w:rFonts w:ascii="Verdana" w:hAnsi="Verdana"/>
          <w:sz w:val="18"/>
          <w:szCs w:val="18"/>
        </w:rPr>
        <w:t xml:space="preserve">4.1 </w:t>
      </w:r>
      <w:r w:rsidRPr="001F0059">
        <w:rPr>
          <w:rFonts w:ascii="Verdana" w:hAnsi="Verdana"/>
          <w:sz w:val="18"/>
          <w:szCs w:val="18"/>
        </w:rPr>
        <w:tab/>
        <w:t>Grondrechtelijke benadering</w:t>
      </w:r>
    </w:p>
    <w:p w:rsidR="00C6412B" w:rsidRDefault="00C6412B" w:rsidP="00203B2C">
      <w:pPr>
        <w:pStyle w:val="Geenafstand"/>
        <w:spacing w:line="280" w:lineRule="atLeast"/>
        <w:rPr>
          <w:rFonts w:ascii="Verdana" w:hAnsi="Verdana"/>
          <w:sz w:val="18"/>
          <w:szCs w:val="18"/>
        </w:rPr>
      </w:pPr>
    </w:p>
    <w:p w:rsidR="004348B4" w:rsidRDefault="00B23305" w:rsidP="00203B2C">
      <w:pPr>
        <w:pStyle w:val="Geenafstand"/>
        <w:spacing w:line="280" w:lineRule="atLeast"/>
        <w:rPr>
          <w:rFonts w:ascii="Verdana" w:hAnsi="Verdana" w:cs="Frutiger-Roman"/>
          <w:sz w:val="18"/>
          <w:szCs w:val="18"/>
        </w:rPr>
      </w:pPr>
      <w:r>
        <w:rPr>
          <w:rFonts w:ascii="Verdana" w:hAnsi="Verdana"/>
          <w:sz w:val="18"/>
          <w:szCs w:val="18"/>
        </w:rPr>
        <w:t>D</w:t>
      </w:r>
      <w:r w:rsidR="00203B2C" w:rsidRPr="001F0059">
        <w:rPr>
          <w:rFonts w:ascii="Verdana" w:hAnsi="Verdana"/>
          <w:sz w:val="18"/>
          <w:szCs w:val="18"/>
        </w:rPr>
        <w:t>e strekking van het wetsvoorstel</w:t>
      </w:r>
      <w:r>
        <w:rPr>
          <w:rFonts w:ascii="Verdana" w:hAnsi="Verdana"/>
          <w:sz w:val="18"/>
          <w:szCs w:val="18"/>
        </w:rPr>
        <w:t xml:space="preserve"> is om </w:t>
      </w:r>
      <w:r w:rsidR="00B452AD">
        <w:rPr>
          <w:rFonts w:ascii="Verdana" w:hAnsi="Verdana"/>
          <w:sz w:val="18"/>
          <w:szCs w:val="18"/>
        </w:rPr>
        <w:t>de waarborg van</w:t>
      </w:r>
      <w:r w:rsidR="00203B2C" w:rsidRPr="001F0059">
        <w:rPr>
          <w:rFonts w:ascii="Verdana" w:hAnsi="Verdana"/>
          <w:sz w:val="18"/>
          <w:szCs w:val="18"/>
        </w:rPr>
        <w:t xml:space="preserve"> individuele rechtsbescherming </w:t>
      </w:r>
      <w:r w:rsidR="00B452AD">
        <w:rPr>
          <w:rFonts w:ascii="Verdana" w:hAnsi="Verdana"/>
          <w:sz w:val="18"/>
          <w:szCs w:val="18"/>
        </w:rPr>
        <w:t xml:space="preserve">op grondwettelijk niveau te verankeren. Voorgesteld wordt </w:t>
      </w:r>
      <w:r w:rsidR="00203B2C" w:rsidRPr="001F0059">
        <w:rPr>
          <w:rFonts w:ascii="Verdana" w:hAnsi="Verdana"/>
          <w:sz w:val="18"/>
          <w:szCs w:val="18"/>
        </w:rPr>
        <w:t xml:space="preserve">het recht op een eerlijk proces voor een onafhankelijke en onpartijdige rechter </w:t>
      </w:r>
      <w:r w:rsidR="008D7EF9">
        <w:rPr>
          <w:rFonts w:ascii="Verdana" w:hAnsi="Verdana"/>
          <w:sz w:val="18"/>
          <w:szCs w:val="18"/>
        </w:rPr>
        <w:t>te formuleren als</w:t>
      </w:r>
      <w:r>
        <w:rPr>
          <w:rFonts w:ascii="Verdana" w:hAnsi="Verdana"/>
          <w:sz w:val="18"/>
          <w:szCs w:val="18"/>
        </w:rPr>
        <w:t xml:space="preserve"> een subjectief (grond)recht</w:t>
      </w:r>
      <w:r w:rsidR="00E45B76">
        <w:rPr>
          <w:rFonts w:ascii="Verdana" w:hAnsi="Verdana"/>
          <w:sz w:val="18"/>
          <w:szCs w:val="18"/>
        </w:rPr>
        <w:t xml:space="preserve"> d</w:t>
      </w:r>
      <w:r w:rsidR="00B452AD">
        <w:rPr>
          <w:rFonts w:ascii="Verdana" w:hAnsi="Verdana"/>
          <w:sz w:val="18"/>
          <w:szCs w:val="18"/>
        </w:rPr>
        <w:t>at</w:t>
      </w:r>
      <w:r w:rsidR="00E45B76">
        <w:rPr>
          <w:rFonts w:ascii="Verdana" w:hAnsi="Verdana"/>
          <w:sz w:val="18"/>
          <w:szCs w:val="18"/>
        </w:rPr>
        <w:t xml:space="preserve"> de burger een bepaalde aanspraak geeft jegens de wetgever en rechter. </w:t>
      </w:r>
      <w:r>
        <w:rPr>
          <w:rFonts w:ascii="Verdana" w:hAnsi="Verdana"/>
          <w:sz w:val="18"/>
          <w:szCs w:val="18"/>
        </w:rPr>
        <w:t>Daarom wordt</w:t>
      </w:r>
      <w:r w:rsidR="00B452AD">
        <w:rPr>
          <w:rFonts w:ascii="Verdana" w:hAnsi="Verdana"/>
          <w:sz w:val="18"/>
          <w:szCs w:val="18"/>
        </w:rPr>
        <w:t xml:space="preserve"> deze bepaling in dit voorstel</w:t>
      </w:r>
      <w:r w:rsidR="00E45B76">
        <w:rPr>
          <w:rFonts w:ascii="Verdana" w:hAnsi="Verdana"/>
          <w:sz w:val="18"/>
          <w:szCs w:val="18"/>
        </w:rPr>
        <w:t xml:space="preserve">, </w:t>
      </w:r>
      <w:r w:rsidR="00B452AD">
        <w:rPr>
          <w:rFonts w:ascii="Verdana" w:hAnsi="Verdana"/>
          <w:sz w:val="18"/>
          <w:szCs w:val="18"/>
        </w:rPr>
        <w:t xml:space="preserve">conform </w:t>
      </w:r>
      <w:r w:rsidR="00E45B76">
        <w:rPr>
          <w:rFonts w:ascii="Verdana" w:hAnsi="Verdana"/>
          <w:sz w:val="18"/>
          <w:szCs w:val="18"/>
        </w:rPr>
        <w:t>het advies van de meerderheid van de staatscommissie,</w:t>
      </w:r>
      <w:r>
        <w:rPr>
          <w:rFonts w:ascii="Verdana" w:hAnsi="Verdana"/>
          <w:sz w:val="18"/>
          <w:szCs w:val="18"/>
        </w:rPr>
        <w:t xml:space="preserve"> </w:t>
      </w:r>
      <w:r w:rsidR="00B452AD">
        <w:rPr>
          <w:rFonts w:ascii="Verdana" w:hAnsi="Verdana"/>
          <w:sz w:val="18"/>
          <w:szCs w:val="18"/>
        </w:rPr>
        <w:t>opgenomen</w:t>
      </w:r>
      <w:r w:rsidRPr="001F0059">
        <w:rPr>
          <w:rFonts w:ascii="Verdana" w:hAnsi="Verdana"/>
          <w:sz w:val="18"/>
          <w:szCs w:val="18"/>
        </w:rPr>
        <w:t xml:space="preserve"> in hoofdstuk 1 van de Grondwet</w:t>
      </w:r>
      <w:r w:rsidR="00E45B76">
        <w:rPr>
          <w:rFonts w:ascii="Verdana" w:hAnsi="Verdana"/>
          <w:sz w:val="18"/>
          <w:szCs w:val="18"/>
        </w:rPr>
        <w:t xml:space="preserve"> </w:t>
      </w:r>
      <w:r w:rsidRPr="001F0059">
        <w:rPr>
          <w:rFonts w:ascii="Verdana" w:hAnsi="Verdana"/>
          <w:sz w:val="18"/>
          <w:szCs w:val="18"/>
        </w:rPr>
        <w:t>over grondrechten</w:t>
      </w:r>
      <w:r>
        <w:rPr>
          <w:rFonts w:ascii="Verdana" w:hAnsi="Verdana"/>
          <w:sz w:val="18"/>
          <w:szCs w:val="18"/>
        </w:rPr>
        <w:t>. Een algemeen recht op een eerlijk proces is daarin</w:t>
      </w:r>
      <w:r w:rsidR="00C6412B">
        <w:rPr>
          <w:rFonts w:ascii="Verdana" w:hAnsi="Verdana"/>
          <w:sz w:val="18"/>
          <w:szCs w:val="18"/>
        </w:rPr>
        <w:t xml:space="preserve"> thans </w:t>
      </w:r>
      <w:r w:rsidR="00280B79">
        <w:rPr>
          <w:rFonts w:ascii="Verdana" w:hAnsi="Verdana"/>
          <w:sz w:val="18"/>
          <w:szCs w:val="18"/>
        </w:rPr>
        <w:t>– ook</w:t>
      </w:r>
      <w:r w:rsidR="00C96BED">
        <w:rPr>
          <w:rFonts w:ascii="Verdana" w:hAnsi="Verdana"/>
          <w:sz w:val="18"/>
          <w:szCs w:val="18"/>
        </w:rPr>
        <w:t xml:space="preserve"> in andere delen van de Grondwet </w:t>
      </w:r>
      <w:r w:rsidR="00C502FA">
        <w:rPr>
          <w:rFonts w:ascii="Verdana" w:hAnsi="Verdana"/>
          <w:sz w:val="18"/>
          <w:szCs w:val="18"/>
        </w:rPr>
        <w:t>–</w:t>
      </w:r>
      <w:r w:rsidR="00C96BED">
        <w:rPr>
          <w:rFonts w:ascii="Verdana" w:hAnsi="Verdana"/>
          <w:sz w:val="18"/>
          <w:szCs w:val="18"/>
        </w:rPr>
        <w:t xml:space="preserve"> </w:t>
      </w:r>
      <w:r w:rsidR="00E45B76">
        <w:rPr>
          <w:rFonts w:ascii="Verdana" w:hAnsi="Verdana"/>
          <w:sz w:val="18"/>
          <w:szCs w:val="18"/>
        </w:rPr>
        <w:t xml:space="preserve">immers </w:t>
      </w:r>
      <w:r>
        <w:rPr>
          <w:rFonts w:ascii="Verdana" w:hAnsi="Verdana"/>
          <w:sz w:val="18"/>
          <w:szCs w:val="18"/>
        </w:rPr>
        <w:t>niet opgenomen</w:t>
      </w:r>
      <w:r w:rsidR="00E45B76">
        <w:rPr>
          <w:rFonts w:ascii="Verdana" w:hAnsi="Verdana"/>
          <w:sz w:val="18"/>
          <w:szCs w:val="18"/>
        </w:rPr>
        <w:t xml:space="preserve">. </w:t>
      </w:r>
      <w:r w:rsidR="004348B4">
        <w:rPr>
          <w:rFonts w:ascii="Verdana" w:hAnsi="Verdana" w:cs="Frutiger-Roman"/>
          <w:sz w:val="18"/>
          <w:szCs w:val="18"/>
        </w:rPr>
        <w:t xml:space="preserve">Aan het niet opnemen van het recht op een eerlijk proces zijn </w:t>
      </w:r>
      <w:r w:rsidR="008D7EF9">
        <w:rPr>
          <w:rFonts w:ascii="Verdana" w:hAnsi="Verdana" w:cs="Frutiger-Roman"/>
          <w:sz w:val="18"/>
          <w:szCs w:val="18"/>
        </w:rPr>
        <w:t xml:space="preserve">bij de algehele grondwetsherziening van 1983 </w:t>
      </w:r>
      <w:r w:rsidR="004348B4">
        <w:rPr>
          <w:rFonts w:ascii="Verdana" w:hAnsi="Verdana" w:cs="Frutiger-Roman"/>
          <w:sz w:val="18"/>
          <w:szCs w:val="18"/>
        </w:rPr>
        <w:t xml:space="preserve">geen expliciete overwegingen gewijd door de grondwetgever. Meer in algemene zin is de vraag </w:t>
      </w:r>
      <w:r w:rsidR="004348B4">
        <w:rPr>
          <w:rFonts w:ascii="Verdana" w:hAnsi="Verdana" w:cs="Frutiger-Roman"/>
          <w:sz w:val="18"/>
          <w:szCs w:val="18"/>
        </w:rPr>
        <w:lastRenderedPageBreak/>
        <w:t>welke grondrechten juist wel of niet voorwerp van regeling in de Grondwet zou moeten zijn in de parlementaire geschiedenis van 1983 niet uitvoerig beantwoord.</w:t>
      </w:r>
      <w:r w:rsidR="004348B4">
        <w:rPr>
          <w:rStyle w:val="Voetnootmarkering"/>
          <w:rFonts w:ascii="Verdana" w:hAnsi="Verdana" w:cs="Frutiger-Roman"/>
          <w:sz w:val="18"/>
          <w:szCs w:val="18"/>
        </w:rPr>
        <w:footnoteReference w:id="25"/>
      </w:r>
    </w:p>
    <w:p w:rsidR="004348B4" w:rsidRDefault="004348B4" w:rsidP="001F0059">
      <w:pPr>
        <w:pStyle w:val="Geenafstand"/>
        <w:spacing w:line="280" w:lineRule="atLeast"/>
        <w:rPr>
          <w:rFonts w:ascii="Verdana" w:hAnsi="Verdana"/>
          <w:sz w:val="18"/>
          <w:szCs w:val="18"/>
        </w:rPr>
      </w:pPr>
    </w:p>
    <w:p w:rsidR="00C6412B" w:rsidRPr="00987788" w:rsidRDefault="004348B4" w:rsidP="00C96BED">
      <w:pPr>
        <w:pStyle w:val="Geenafstand"/>
        <w:spacing w:line="280" w:lineRule="atLeast"/>
        <w:rPr>
          <w:rFonts w:ascii="Verdana" w:hAnsi="Verdana"/>
          <w:sz w:val="18"/>
          <w:szCs w:val="18"/>
        </w:rPr>
      </w:pPr>
      <w:r>
        <w:rPr>
          <w:rFonts w:ascii="Verdana" w:hAnsi="Verdana"/>
          <w:sz w:val="18"/>
          <w:szCs w:val="18"/>
        </w:rPr>
        <w:t xml:space="preserve">Wel bevat </w:t>
      </w:r>
      <w:r w:rsidR="00E45B76">
        <w:rPr>
          <w:rFonts w:ascii="Verdana" w:hAnsi="Verdana"/>
          <w:sz w:val="18"/>
          <w:szCs w:val="18"/>
        </w:rPr>
        <w:t>d</w:t>
      </w:r>
      <w:r w:rsidR="00F27453">
        <w:rPr>
          <w:rFonts w:ascii="Verdana" w:hAnsi="Verdana"/>
          <w:sz w:val="18"/>
          <w:szCs w:val="18"/>
        </w:rPr>
        <w:t xml:space="preserve">e Grondwet </w:t>
      </w:r>
      <w:r w:rsidR="00346A35" w:rsidRPr="001F0059">
        <w:rPr>
          <w:rFonts w:ascii="Verdana" w:hAnsi="Verdana" w:cs="Arial"/>
          <w:sz w:val="18"/>
          <w:szCs w:val="18"/>
        </w:rPr>
        <w:t>sporen van het recht op een eerlijk proces</w:t>
      </w:r>
      <w:r w:rsidR="00747001">
        <w:rPr>
          <w:rFonts w:ascii="Verdana" w:hAnsi="Verdana" w:cs="Arial"/>
          <w:sz w:val="18"/>
          <w:szCs w:val="18"/>
        </w:rPr>
        <w:t xml:space="preserve"> en het recht op toegang tot de rechter</w:t>
      </w:r>
      <w:r w:rsidR="00346A35" w:rsidRPr="001F0059">
        <w:rPr>
          <w:rFonts w:ascii="Verdana" w:hAnsi="Verdana" w:cs="Arial"/>
          <w:sz w:val="18"/>
          <w:szCs w:val="18"/>
        </w:rPr>
        <w:t>.</w:t>
      </w:r>
      <w:r w:rsidR="00346A35" w:rsidRPr="001F0059">
        <w:rPr>
          <w:rStyle w:val="Voetnootmarkering"/>
          <w:rFonts w:ascii="Verdana" w:hAnsi="Verdana" w:cs="Arial"/>
          <w:sz w:val="18"/>
          <w:szCs w:val="18"/>
        </w:rPr>
        <w:footnoteReference w:id="26"/>
      </w:r>
      <w:r w:rsidR="00E45B76">
        <w:rPr>
          <w:rFonts w:ascii="Verdana" w:hAnsi="Verdana" w:cs="Arial"/>
          <w:sz w:val="18"/>
          <w:szCs w:val="18"/>
        </w:rPr>
        <w:t xml:space="preserve"> </w:t>
      </w:r>
      <w:r w:rsidR="00C6412B">
        <w:rPr>
          <w:rFonts w:ascii="Verdana" w:hAnsi="Verdana" w:cs="Arial"/>
          <w:sz w:val="18"/>
          <w:szCs w:val="18"/>
        </w:rPr>
        <w:t xml:space="preserve">Wat </w:t>
      </w:r>
      <w:r w:rsidR="00604B79">
        <w:rPr>
          <w:rFonts w:ascii="Verdana" w:hAnsi="Verdana" w:cs="Arial"/>
          <w:sz w:val="18"/>
          <w:szCs w:val="18"/>
        </w:rPr>
        <w:t xml:space="preserve">betreft de grondrechten </w:t>
      </w:r>
      <w:r w:rsidR="00C6412B">
        <w:rPr>
          <w:rFonts w:ascii="Verdana" w:hAnsi="Verdana" w:cs="Arial"/>
          <w:sz w:val="18"/>
          <w:szCs w:val="18"/>
        </w:rPr>
        <w:t xml:space="preserve">gaat het daarbij </w:t>
      </w:r>
      <w:r w:rsidR="00F27453" w:rsidRPr="001F0059">
        <w:rPr>
          <w:rFonts w:ascii="Verdana" w:hAnsi="Verdana" w:cs="Arial"/>
          <w:sz w:val="18"/>
          <w:szCs w:val="18"/>
        </w:rPr>
        <w:t xml:space="preserve">in het bijzonder </w:t>
      </w:r>
      <w:r w:rsidR="00C6412B">
        <w:rPr>
          <w:rFonts w:ascii="Verdana" w:hAnsi="Verdana" w:cs="Arial"/>
          <w:sz w:val="18"/>
          <w:szCs w:val="18"/>
        </w:rPr>
        <w:t xml:space="preserve">om </w:t>
      </w:r>
      <w:r w:rsidR="00F27453" w:rsidRPr="001F0059">
        <w:rPr>
          <w:rFonts w:ascii="Verdana" w:hAnsi="Verdana" w:cs="Arial"/>
          <w:sz w:val="18"/>
          <w:szCs w:val="18"/>
        </w:rPr>
        <w:t xml:space="preserve">artikel 15, </w:t>
      </w:r>
      <w:r w:rsidR="00F27453">
        <w:rPr>
          <w:rFonts w:ascii="Verdana" w:hAnsi="Verdana" w:cs="Arial"/>
          <w:sz w:val="18"/>
          <w:szCs w:val="18"/>
        </w:rPr>
        <w:t>tweede lid</w:t>
      </w:r>
      <w:r w:rsidR="00F27453" w:rsidRPr="001F0059">
        <w:rPr>
          <w:rFonts w:ascii="Verdana" w:hAnsi="Verdana" w:cs="Arial"/>
          <w:sz w:val="18"/>
          <w:szCs w:val="18"/>
        </w:rPr>
        <w:t xml:space="preserve">, het zogenoemde </w:t>
      </w:r>
      <w:proofErr w:type="spellStart"/>
      <w:r w:rsidR="00F27453" w:rsidRPr="001F0059">
        <w:rPr>
          <w:rFonts w:ascii="Verdana" w:hAnsi="Verdana" w:cs="Arial"/>
          <w:i/>
          <w:sz w:val="18"/>
          <w:szCs w:val="18"/>
        </w:rPr>
        <w:t>habeas</w:t>
      </w:r>
      <w:proofErr w:type="spellEnd"/>
      <w:r w:rsidR="00F27453" w:rsidRPr="001F0059">
        <w:rPr>
          <w:rFonts w:ascii="Verdana" w:hAnsi="Verdana" w:cs="Arial"/>
          <w:i/>
          <w:sz w:val="18"/>
          <w:szCs w:val="18"/>
        </w:rPr>
        <w:t xml:space="preserve"> corpus-</w:t>
      </w:r>
      <w:r w:rsidR="0076017D">
        <w:rPr>
          <w:rFonts w:ascii="Verdana" w:hAnsi="Verdana" w:cs="Arial"/>
          <w:sz w:val="18"/>
          <w:szCs w:val="18"/>
        </w:rPr>
        <w:t>principe</w:t>
      </w:r>
      <w:r w:rsidR="00F27453" w:rsidRPr="001F0059">
        <w:rPr>
          <w:rFonts w:ascii="Verdana" w:hAnsi="Verdana" w:cs="Arial"/>
          <w:sz w:val="18"/>
          <w:szCs w:val="18"/>
        </w:rPr>
        <w:t xml:space="preserve">, </w:t>
      </w:r>
      <w:r w:rsidR="00C6412B">
        <w:rPr>
          <w:rFonts w:ascii="Verdana" w:hAnsi="Verdana"/>
          <w:sz w:val="18"/>
          <w:szCs w:val="18"/>
        </w:rPr>
        <w:t>artikel 16 dat het strafrechtelijk legaliteitsbeginsel waarborgt,</w:t>
      </w:r>
      <w:r w:rsidR="00C6412B" w:rsidRPr="001F0059">
        <w:rPr>
          <w:rFonts w:ascii="Verdana" w:hAnsi="Verdana" w:cs="Arial"/>
          <w:sz w:val="18"/>
          <w:szCs w:val="18"/>
        </w:rPr>
        <w:t xml:space="preserve"> </w:t>
      </w:r>
      <w:r w:rsidR="00F27453" w:rsidRPr="001F0059">
        <w:rPr>
          <w:rFonts w:ascii="Verdana" w:hAnsi="Verdana" w:cs="Arial"/>
          <w:sz w:val="18"/>
          <w:szCs w:val="18"/>
        </w:rPr>
        <w:t xml:space="preserve">artikel 17, het </w:t>
      </w:r>
      <w:r w:rsidR="0076017D">
        <w:rPr>
          <w:rFonts w:ascii="Verdana" w:hAnsi="Verdana" w:cs="Arial"/>
          <w:sz w:val="18"/>
          <w:szCs w:val="18"/>
        </w:rPr>
        <w:t xml:space="preserve">zogenoemde </w:t>
      </w:r>
      <w:r w:rsidR="00F27453" w:rsidRPr="009711DD">
        <w:rPr>
          <w:rFonts w:ascii="Verdana" w:hAnsi="Verdana" w:cs="Arial"/>
          <w:i/>
          <w:sz w:val="18"/>
          <w:szCs w:val="18"/>
        </w:rPr>
        <w:t xml:space="preserve">ius de non </w:t>
      </w:r>
      <w:proofErr w:type="spellStart"/>
      <w:r w:rsidR="00F27453" w:rsidRPr="009711DD">
        <w:rPr>
          <w:rFonts w:ascii="Verdana" w:hAnsi="Verdana" w:cs="Arial"/>
          <w:i/>
          <w:sz w:val="18"/>
          <w:szCs w:val="18"/>
        </w:rPr>
        <w:t>evocando</w:t>
      </w:r>
      <w:proofErr w:type="spellEnd"/>
      <w:r w:rsidR="0076017D">
        <w:rPr>
          <w:rFonts w:ascii="Verdana" w:hAnsi="Verdana" w:cs="Arial"/>
          <w:sz w:val="18"/>
          <w:szCs w:val="18"/>
        </w:rPr>
        <w:t xml:space="preserve"> en artikel 18, dat een recht op </w:t>
      </w:r>
      <w:r w:rsidR="00F27453" w:rsidRPr="001F0059">
        <w:rPr>
          <w:rFonts w:ascii="Verdana" w:hAnsi="Verdana" w:cs="Arial"/>
          <w:sz w:val="18"/>
          <w:szCs w:val="18"/>
        </w:rPr>
        <w:t xml:space="preserve">bijstand </w:t>
      </w:r>
      <w:r w:rsidR="0076017D">
        <w:rPr>
          <w:rFonts w:ascii="Verdana" w:hAnsi="Verdana" w:cs="Arial"/>
          <w:sz w:val="18"/>
          <w:szCs w:val="18"/>
        </w:rPr>
        <w:t xml:space="preserve">in rechte (en in administratief beroep) </w:t>
      </w:r>
      <w:r w:rsidR="00F27453" w:rsidRPr="001F0059">
        <w:rPr>
          <w:rFonts w:ascii="Verdana" w:hAnsi="Verdana" w:cs="Arial"/>
          <w:sz w:val="18"/>
          <w:szCs w:val="18"/>
        </w:rPr>
        <w:t>vestigt.</w:t>
      </w:r>
      <w:r w:rsidR="009711DD">
        <w:rPr>
          <w:rFonts w:ascii="Verdana" w:hAnsi="Verdana" w:cs="Arial"/>
          <w:sz w:val="18"/>
          <w:szCs w:val="18"/>
        </w:rPr>
        <w:t xml:space="preserve"> </w:t>
      </w:r>
      <w:r w:rsidR="0076017D">
        <w:rPr>
          <w:rFonts w:ascii="Verdana" w:hAnsi="Verdana" w:cs="Arial"/>
          <w:sz w:val="18"/>
          <w:szCs w:val="18"/>
        </w:rPr>
        <w:t xml:space="preserve">Het </w:t>
      </w:r>
      <w:proofErr w:type="spellStart"/>
      <w:r w:rsidR="0076017D" w:rsidRPr="008D7EF9">
        <w:rPr>
          <w:rFonts w:ascii="Verdana" w:hAnsi="Verdana" w:cs="Arial"/>
          <w:i/>
          <w:sz w:val="18"/>
          <w:szCs w:val="18"/>
        </w:rPr>
        <w:t>habeas</w:t>
      </w:r>
      <w:proofErr w:type="spellEnd"/>
      <w:r w:rsidR="0076017D" w:rsidRPr="008D7EF9">
        <w:rPr>
          <w:rFonts w:ascii="Verdana" w:hAnsi="Verdana" w:cs="Arial"/>
          <w:i/>
          <w:sz w:val="18"/>
          <w:szCs w:val="18"/>
        </w:rPr>
        <w:t xml:space="preserve"> corpus</w:t>
      </w:r>
      <w:r w:rsidR="00C71AC2" w:rsidRPr="00C71AC2">
        <w:rPr>
          <w:rFonts w:ascii="Verdana" w:hAnsi="Verdana" w:cs="Arial"/>
          <w:sz w:val="18"/>
          <w:szCs w:val="18"/>
        </w:rPr>
        <w:t>-principe</w:t>
      </w:r>
      <w:r w:rsidR="0076017D">
        <w:rPr>
          <w:rFonts w:ascii="Verdana" w:hAnsi="Verdana" w:cs="Arial"/>
          <w:sz w:val="18"/>
          <w:szCs w:val="18"/>
        </w:rPr>
        <w:t xml:space="preserve"> gaat over het recht op toegang tot de rechter in geval van vrijheidsontneming. Als vrijheidsontneming zonder rechterlijke tussenkomst heeft plaatsgevonden, dan kan degene wiens vrijheid is ontnomen de rechter verzoeken om zijn invrijheidsstelling.</w:t>
      </w:r>
      <w:r w:rsidR="0001692F">
        <w:rPr>
          <w:rFonts w:ascii="Verdana" w:hAnsi="Verdana" w:cs="Arial"/>
          <w:sz w:val="18"/>
          <w:szCs w:val="18"/>
        </w:rPr>
        <w:t xml:space="preserve"> </w:t>
      </w:r>
    </w:p>
    <w:p w:rsidR="000579D8" w:rsidRDefault="000579D8" w:rsidP="00C96BED">
      <w:pPr>
        <w:pStyle w:val="Geenafstand"/>
        <w:spacing w:line="280" w:lineRule="atLeast"/>
        <w:rPr>
          <w:rFonts w:ascii="Verdana" w:hAnsi="Verdana" w:cs="Arial"/>
          <w:sz w:val="18"/>
          <w:szCs w:val="18"/>
        </w:rPr>
      </w:pPr>
    </w:p>
    <w:p w:rsidR="00C96BED" w:rsidRPr="001F0059" w:rsidRDefault="00C96BED" w:rsidP="00C96BED">
      <w:pPr>
        <w:pStyle w:val="Geenafstand"/>
        <w:spacing w:line="280" w:lineRule="atLeast"/>
        <w:rPr>
          <w:rFonts w:ascii="Verdana" w:hAnsi="Verdana"/>
          <w:sz w:val="18"/>
          <w:szCs w:val="18"/>
        </w:rPr>
      </w:pPr>
      <w:r>
        <w:rPr>
          <w:rFonts w:ascii="Verdana" w:hAnsi="Verdana" w:cs="Arial"/>
          <w:sz w:val="18"/>
          <w:szCs w:val="18"/>
        </w:rPr>
        <w:t xml:space="preserve">Gelet op de inhoud van deze grondrechten wordt voorgesteld de nieuwe bepaling in hoofdstuk 1 van de Grondwet op te nemen </w:t>
      </w:r>
      <w:r w:rsidRPr="001F0059">
        <w:rPr>
          <w:rFonts w:ascii="Verdana" w:hAnsi="Verdana"/>
          <w:sz w:val="18"/>
          <w:szCs w:val="18"/>
        </w:rPr>
        <w:t xml:space="preserve">als een aanvulling op het </w:t>
      </w:r>
      <w:r w:rsidR="00C6412B">
        <w:rPr>
          <w:rFonts w:ascii="Verdana" w:hAnsi="Verdana"/>
          <w:sz w:val="18"/>
          <w:szCs w:val="18"/>
        </w:rPr>
        <w:t xml:space="preserve">genoemde </w:t>
      </w:r>
      <w:r w:rsidRPr="001F0059">
        <w:rPr>
          <w:rFonts w:ascii="Verdana" w:hAnsi="Verdana"/>
          <w:sz w:val="18"/>
          <w:szCs w:val="18"/>
        </w:rPr>
        <w:t xml:space="preserve">artikel 17 Grondwet. </w:t>
      </w:r>
      <w:r w:rsidR="007D61EB">
        <w:rPr>
          <w:rFonts w:ascii="Verdana" w:hAnsi="Verdana"/>
          <w:sz w:val="18"/>
          <w:szCs w:val="18"/>
        </w:rPr>
        <w:t xml:space="preserve">Deze plaatsing in hoofdstuk 1 </w:t>
      </w:r>
      <w:r w:rsidR="00612BA5">
        <w:rPr>
          <w:rFonts w:ascii="Verdana" w:hAnsi="Verdana"/>
          <w:sz w:val="18"/>
          <w:szCs w:val="18"/>
        </w:rPr>
        <w:t>sluit ook aan bij de benadering in de verdragsbepalingen</w:t>
      </w:r>
      <w:r w:rsidR="007D61EB">
        <w:rPr>
          <w:rFonts w:ascii="Verdana" w:hAnsi="Verdana"/>
          <w:sz w:val="18"/>
          <w:szCs w:val="18"/>
        </w:rPr>
        <w:t>,</w:t>
      </w:r>
      <w:r w:rsidR="00612BA5">
        <w:rPr>
          <w:rFonts w:ascii="Verdana" w:hAnsi="Verdana"/>
          <w:sz w:val="18"/>
          <w:szCs w:val="18"/>
        </w:rPr>
        <w:t xml:space="preserve"> die het recht op een eerlijk proces </w:t>
      </w:r>
      <w:r w:rsidR="00747001">
        <w:rPr>
          <w:rFonts w:ascii="Verdana" w:hAnsi="Verdana"/>
          <w:sz w:val="18"/>
          <w:szCs w:val="18"/>
        </w:rPr>
        <w:t xml:space="preserve">en het recht op toegang tot de rechter </w:t>
      </w:r>
      <w:r w:rsidR="00612BA5">
        <w:rPr>
          <w:rFonts w:ascii="Verdana" w:hAnsi="Verdana"/>
          <w:sz w:val="18"/>
          <w:szCs w:val="18"/>
        </w:rPr>
        <w:t>waarborge</w:t>
      </w:r>
      <w:r w:rsidR="007D61EB">
        <w:rPr>
          <w:rFonts w:ascii="Verdana" w:hAnsi="Verdana"/>
          <w:sz w:val="18"/>
          <w:szCs w:val="18"/>
        </w:rPr>
        <w:t>n in termen van een recht van</w:t>
      </w:r>
      <w:r w:rsidR="00612BA5">
        <w:rPr>
          <w:rFonts w:ascii="Verdana" w:hAnsi="Verdana"/>
          <w:sz w:val="18"/>
          <w:szCs w:val="18"/>
        </w:rPr>
        <w:t xml:space="preserve"> justitiabelen.</w:t>
      </w:r>
      <w:r w:rsidR="00711016" w:rsidRPr="00711016">
        <w:t xml:space="preserve"> </w:t>
      </w:r>
      <w:r w:rsidR="00711016" w:rsidRPr="00711016">
        <w:rPr>
          <w:rFonts w:ascii="Verdana" w:hAnsi="Verdana"/>
          <w:sz w:val="18"/>
          <w:szCs w:val="18"/>
        </w:rPr>
        <w:t xml:space="preserve">In reactie op het advies van de Afdeling merken wij op dat de </w:t>
      </w:r>
      <w:r w:rsidR="0098783B">
        <w:rPr>
          <w:rFonts w:ascii="Verdana" w:hAnsi="Verdana"/>
          <w:sz w:val="18"/>
          <w:szCs w:val="18"/>
        </w:rPr>
        <w:t>aard en plaats</w:t>
      </w:r>
      <w:r w:rsidR="00711016" w:rsidRPr="00711016">
        <w:rPr>
          <w:rFonts w:ascii="Verdana" w:hAnsi="Verdana"/>
          <w:sz w:val="18"/>
          <w:szCs w:val="18"/>
        </w:rPr>
        <w:t xml:space="preserve"> </w:t>
      </w:r>
      <w:r w:rsidR="0098783B">
        <w:rPr>
          <w:rFonts w:ascii="Verdana" w:hAnsi="Verdana"/>
          <w:sz w:val="18"/>
          <w:szCs w:val="18"/>
        </w:rPr>
        <w:t xml:space="preserve">van het voorgestelde grondrecht </w:t>
      </w:r>
      <w:r w:rsidR="00711016" w:rsidRPr="00711016">
        <w:rPr>
          <w:rFonts w:ascii="Verdana" w:hAnsi="Verdana"/>
          <w:sz w:val="18"/>
          <w:szCs w:val="18"/>
        </w:rPr>
        <w:t xml:space="preserve">in hoofdstuk 1 betekent dat hiervoor de </w:t>
      </w:r>
      <w:r w:rsidR="0098783B">
        <w:rPr>
          <w:rFonts w:ascii="Verdana" w:hAnsi="Verdana"/>
          <w:sz w:val="18"/>
          <w:szCs w:val="18"/>
        </w:rPr>
        <w:t xml:space="preserve">sinds de algehele grondwetsherziening van 1983 </w:t>
      </w:r>
      <w:r w:rsidR="00711016" w:rsidRPr="00711016">
        <w:rPr>
          <w:rFonts w:ascii="Verdana" w:hAnsi="Verdana"/>
          <w:sz w:val="18"/>
          <w:szCs w:val="18"/>
        </w:rPr>
        <w:t>geldende grondwettelijke beperkingssystematiek geldt.</w:t>
      </w:r>
      <w:r w:rsidR="00711016">
        <w:rPr>
          <w:rFonts w:ascii="Verdana" w:hAnsi="Verdana"/>
          <w:sz w:val="18"/>
          <w:szCs w:val="18"/>
        </w:rPr>
        <w:t xml:space="preserve"> </w:t>
      </w:r>
      <w:r w:rsidR="00B11858">
        <w:rPr>
          <w:rFonts w:ascii="Verdana" w:hAnsi="Verdana"/>
          <w:sz w:val="18"/>
          <w:szCs w:val="18"/>
        </w:rPr>
        <w:t>De voorgestelde bepaling kent evenwel net als artikel 6 EVRM geen expliciete beperkingsclausule. Dat achten wij</w:t>
      </w:r>
      <w:r w:rsidR="008A3D1E">
        <w:rPr>
          <w:rFonts w:ascii="Verdana" w:hAnsi="Verdana"/>
          <w:sz w:val="18"/>
          <w:szCs w:val="18"/>
        </w:rPr>
        <w:t xml:space="preserve"> noodzakelijk</w:t>
      </w:r>
      <w:r w:rsidR="00B11858">
        <w:rPr>
          <w:rFonts w:ascii="Verdana" w:hAnsi="Verdana"/>
          <w:sz w:val="18"/>
          <w:szCs w:val="18"/>
        </w:rPr>
        <w:t>, noch wenselijk</w:t>
      </w:r>
      <w:r w:rsidR="008A3D1E">
        <w:rPr>
          <w:rFonts w:ascii="Verdana" w:hAnsi="Verdana"/>
          <w:sz w:val="18"/>
          <w:szCs w:val="18"/>
        </w:rPr>
        <w:t xml:space="preserve">. </w:t>
      </w:r>
      <w:r w:rsidR="00B11858">
        <w:rPr>
          <w:rFonts w:ascii="Verdana" w:hAnsi="Verdana"/>
          <w:sz w:val="18"/>
          <w:szCs w:val="18"/>
        </w:rPr>
        <w:t>Ook andere grondwettelijke grondrechten ontberen</w:t>
      </w:r>
      <w:r w:rsidR="00711016">
        <w:rPr>
          <w:rFonts w:ascii="Verdana" w:hAnsi="Verdana"/>
          <w:sz w:val="18"/>
          <w:szCs w:val="18"/>
        </w:rPr>
        <w:t xml:space="preserve"> </w:t>
      </w:r>
      <w:r w:rsidR="00711016" w:rsidRPr="00711016">
        <w:rPr>
          <w:rFonts w:ascii="Verdana" w:hAnsi="Verdana"/>
          <w:sz w:val="18"/>
          <w:szCs w:val="18"/>
        </w:rPr>
        <w:t>een beperking</w:t>
      </w:r>
      <w:r w:rsidR="00B11858">
        <w:rPr>
          <w:rFonts w:ascii="Verdana" w:hAnsi="Verdana"/>
          <w:sz w:val="18"/>
          <w:szCs w:val="18"/>
        </w:rPr>
        <w:t xml:space="preserve">sclausule (vergelijk </w:t>
      </w:r>
      <w:r w:rsidR="00711016" w:rsidRPr="00711016">
        <w:rPr>
          <w:rFonts w:ascii="Verdana" w:hAnsi="Verdana"/>
          <w:sz w:val="18"/>
          <w:szCs w:val="18"/>
        </w:rPr>
        <w:t>artikel 1, 5 en 18, eerste lid, Grondwet).</w:t>
      </w:r>
      <w:r w:rsidR="0098783B">
        <w:rPr>
          <w:rFonts w:ascii="Verdana" w:hAnsi="Verdana"/>
          <w:sz w:val="18"/>
          <w:szCs w:val="18"/>
        </w:rPr>
        <w:t xml:space="preserve"> Naar de mening van het kabinet</w:t>
      </w:r>
      <w:r w:rsidR="0098783B" w:rsidRPr="0098783B">
        <w:rPr>
          <w:rFonts w:ascii="Verdana" w:hAnsi="Verdana"/>
          <w:sz w:val="18"/>
          <w:szCs w:val="18"/>
        </w:rPr>
        <w:t xml:space="preserve"> </w:t>
      </w:r>
      <w:r w:rsidR="0098783B">
        <w:rPr>
          <w:rFonts w:ascii="Verdana" w:hAnsi="Verdana"/>
          <w:sz w:val="18"/>
          <w:szCs w:val="18"/>
        </w:rPr>
        <w:t xml:space="preserve">is </w:t>
      </w:r>
      <w:r w:rsidR="0098783B" w:rsidRPr="0098783B">
        <w:rPr>
          <w:rFonts w:ascii="Verdana" w:hAnsi="Verdana"/>
          <w:sz w:val="18"/>
          <w:szCs w:val="18"/>
        </w:rPr>
        <w:t>het rec</w:t>
      </w:r>
      <w:r w:rsidR="006920D4">
        <w:rPr>
          <w:rFonts w:ascii="Verdana" w:hAnsi="Verdana"/>
          <w:sz w:val="18"/>
          <w:szCs w:val="18"/>
        </w:rPr>
        <w:t xml:space="preserve">ht op een eerlijk proces </w:t>
      </w:r>
      <w:r w:rsidR="0098783B" w:rsidRPr="0098783B">
        <w:rPr>
          <w:rFonts w:ascii="Verdana" w:hAnsi="Verdana"/>
          <w:sz w:val="18"/>
          <w:szCs w:val="18"/>
        </w:rPr>
        <w:t xml:space="preserve">absoluut, in die zin dat alle rechtsgeschillen in Nederland aan die norm moeten voldoen. </w:t>
      </w:r>
      <w:r w:rsidR="0098783B">
        <w:rPr>
          <w:rFonts w:ascii="Verdana" w:hAnsi="Verdana"/>
          <w:sz w:val="18"/>
          <w:szCs w:val="18"/>
        </w:rPr>
        <w:t xml:space="preserve">De </w:t>
      </w:r>
      <w:r w:rsidR="0098783B" w:rsidRPr="0098783B">
        <w:rPr>
          <w:rFonts w:ascii="Verdana" w:hAnsi="Verdana"/>
          <w:sz w:val="18"/>
          <w:szCs w:val="18"/>
        </w:rPr>
        <w:t xml:space="preserve">invulling van wat een eerlijk proces in de zin van de grondwetsbepaling is, </w:t>
      </w:r>
      <w:r w:rsidR="003F20B8">
        <w:rPr>
          <w:rFonts w:ascii="Verdana" w:hAnsi="Verdana"/>
          <w:sz w:val="18"/>
          <w:szCs w:val="18"/>
        </w:rPr>
        <w:t xml:space="preserve">is uiteraard </w:t>
      </w:r>
      <w:r w:rsidR="00B11858">
        <w:rPr>
          <w:rFonts w:ascii="Verdana" w:hAnsi="Verdana"/>
          <w:sz w:val="18"/>
          <w:szCs w:val="18"/>
        </w:rPr>
        <w:t xml:space="preserve">onderhevig </w:t>
      </w:r>
      <w:r w:rsidR="0098783B" w:rsidRPr="0098783B">
        <w:rPr>
          <w:rFonts w:ascii="Verdana" w:hAnsi="Verdana"/>
          <w:sz w:val="18"/>
          <w:szCs w:val="18"/>
        </w:rPr>
        <w:t xml:space="preserve">aan uitleg. Vragen als ‘Welke concrete waarborgen horen bij het recht op een eerlijk proces?’ en ‘Wanneer is sprake van een redelijke </w:t>
      </w:r>
      <w:r w:rsidR="0098783B">
        <w:rPr>
          <w:rFonts w:ascii="Verdana" w:hAnsi="Verdana"/>
          <w:sz w:val="18"/>
          <w:szCs w:val="18"/>
        </w:rPr>
        <w:t xml:space="preserve">termijn?’, zijn vragen </w:t>
      </w:r>
      <w:r w:rsidR="0098783B" w:rsidRPr="0098783B">
        <w:rPr>
          <w:rFonts w:ascii="Verdana" w:hAnsi="Verdana"/>
          <w:sz w:val="18"/>
          <w:szCs w:val="18"/>
        </w:rPr>
        <w:t>over de reikwijdte en de omvang van het recht en betreffen niet de mogelijkheden tot beperking van het recht op een eerlijk proces.</w:t>
      </w:r>
      <w:r w:rsidR="006920D4">
        <w:rPr>
          <w:rFonts w:ascii="Verdana" w:hAnsi="Verdana"/>
          <w:sz w:val="18"/>
          <w:szCs w:val="18"/>
        </w:rPr>
        <w:t xml:space="preserve"> </w:t>
      </w:r>
      <w:r w:rsidR="008A3D1E">
        <w:rPr>
          <w:rFonts w:ascii="Verdana" w:hAnsi="Verdana"/>
          <w:sz w:val="18"/>
          <w:szCs w:val="18"/>
        </w:rPr>
        <w:t xml:space="preserve">Het aan het recht op een eerlijk proces inherente recht op toegang tot de rechter is niet </w:t>
      </w:r>
      <w:r w:rsidR="00B11858">
        <w:rPr>
          <w:rFonts w:ascii="Verdana" w:hAnsi="Verdana"/>
          <w:sz w:val="18"/>
          <w:szCs w:val="18"/>
        </w:rPr>
        <w:t>absoluut</w:t>
      </w:r>
      <w:r w:rsidR="008A3D1E">
        <w:rPr>
          <w:rFonts w:ascii="Verdana" w:hAnsi="Verdana"/>
          <w:sz w:val="18"/>
          <w:szCs w:val="18"/>
        </w:rPr>
        <w:t>, in die zin dat er altijd regels van procedurele aard kunnen worden gesteld</w:t>
      </w:r>
      <w:r w:rsidR="00B11858">
        <w:rPr>
          <w:rFonts w:ascii="Verdana" w:hAnsi="Verdana"/>
          <w:sz w:val="18"/>
          <w:szCs w:val="18"/>
        </w:rPr>
        <w:t>, zolang deze regels er niet toe leiden dat het recht in zijn essentie wordt aangetast (vergelijk artikel 18, eerste lid, Grondwet).</w:t>
      </w:r>
      <w:r w:rsidR="00B11858">
        <w:rPr>
          <w:rStyle w:val="Voetnootmarkering"/>
          <w:rFonts w:ascii="Verdana" w:hAnsi="Verdana"/>
          <w:sz w:val="18"/>
          <w:szCs w:val="18"/>
        </w:rPr>
        <w:footnoteReference w:id="27"/>
      </w:r>
      <w:r w:rsidR="00B11858">
        <w:rPr>
          <w:rFonts w:ascii="Verdana" w:hAnsi="Verdana"/>
          <w:sz w:val="18"/>
          <w:szCs w:val="18"/>
        </w:rPr>
        <w:t xml:space="preserve"> </w:t>
      </w:r>
      <w:r w:rsidR="006920D4">
        <w:rPr>
          <w:rFonts w:ascii="Verdana" w:hAnsi="Verdana"/>
          <w:sz w:val="18"/>
          <w:szCs w:val="18"/>
        </w:rPr>
        <w:t>Op de reikwijdte en omvang van het voorgestelde recht</w:t>
      </w:r>
      <w:r w:rsidR="0098783B">
        <w:rPr>
          <w:rFonts w:ascii="Verdana" w:hAnsi="Verdana"/>
          <w:sz w:val="18"/>
          <w:szCs w:val="18"/>
        </w:rPr>
        <w:t xml:space="preserve"> wordt nader ingegaan in paragraaf </w:t>
      </w:r>
      <w:r w:rsidR="006920D4">
        <w:rPr>
          <w:rFonts w:ascii="Verdana" w:hAnsi="Verdana"/>
          <w:sz w:val="18"/>
          <w:szCs w:val="18"/>
        </w:rPr>
        <w:t>5 (</w:t>
      </w:r>
      <w:r w:rsidR="0098783B">
        <w:rPr>
          <w:rFonts w:ascii="Verdana" w:hAnsi="Verdana"/>
          <w:sz w:val="18"/>
          <w:szCs w:val="18"/>
        </w:rPr>
        <w:t xml:space="preserve">wat betreft de toegang tot de rechter) en de paragrafen 6 en 7 </w:t>
      </w:r>
      <w:r w:rsidR="006920D4">
        <w:rPr>
          <w:rFonts w:ascii="Verdana" w:hAnsi="Verdana"/>
          <w:sz w:val="18"/>
          <w:szCs w:val="18"/>
        </w:rPr>
        <w:t>(</w:t>
      </w:r>
      <w:r w:rsidR="0098783B">
        <w:rPr>
          <w:rFonts w:ascii="Verdana" w:hAnsi="Verdana"/>
          <w:sz w:val="18"/>
          <w:szCs w:val="18"/>
        </w:rPr>
        <w:t>wat betreft een eerlijk proces) van de toelichting.</w:t>
      </w:r>
    </w:p>
    <w:p w:rsidR="004649A2" w:rsidRDefault="004649A2" w:rsidP="001F0059">
      <w:pPr>
        <w:pStyle w:val="Geenafstand"/>
        <w:spacing w:line="280" w:lineRule="atLeast"/>
        <w:rPr>
          <w:rFonts w:ascii="Verdana" w:hAnsi="Verdana"/>
          <w:b/>
          <w:sz w:val="18"/>
          <w:szCs w:val="18"/>
        </w:rPr>
      </w:pPr>
    </w:p>
    <w:p w:rsidR="00565A3B" w:rsidRDefault="00FB32C0" w:rsidP="001F0059">
      <w:pPr>
        <w:pStyle w:val="Geenafstand"/>
        <w:spacing w:line="280" w:lineRule="atLeast"/>
        <w:rPr>
          <w:rFonts w:ascii="Verdana" w:hAnsi="Verdana"/>
          <w:sz w:val="18"/>
          <w:szCs w:val="18"/>
        </w:rPr>
      </w:pPr>
      <w:r>
        <w:rPr>
          <w:rFonts w:ascii="Verdana" w:hAnsi="Verdana"/>
          <w:sz w:val="18"/>
          <w:szCs w:val="18"/>
        </w:rPr>
        <w:t>Een</w:t>
      </w:r>
      <w:r w:rsidR="002439EE" w:rsidRPr="001F0059">
        <w:rPr>
          <w:rFonts w:ascii="Verdana" w:hAnsi="Verdana"/>
          <w:sz w:val="18"/>
          <w:szCs w:val="18"/>
        </w:rPr>
        <w:t xml:space="preserve"> grondwettelijk recht op een eerlijk proces heeft </w:t>
      </w:r>
      <w:r w:rsidR="004649A2">
        <w:rPr>
          <w:rFonts w:ascii="Verdana" w:hAnsi="Verdana"/>
          <w:sz w:val="18"/>
          <w:szCs w:val="18"/>
        </w:rPr>
        <w:t xml:space="preserve">naast betekenis als grondrecht voor de burger ook </w:t>
      </w:r>
      <w:r w:rsidR="002439EE" w:rsidRPr="001F0059">
        <w:rPr>
          <w:rFonts w:ascii="Verdana" w:hAnsi="Verdana"/>
          <w:sz w:val="18"/>
          <w:szCs w:val="18"/>
        </w:rPr>
        <w:t>een funct</w:t>
      </w:r>
      <w:r w:rsidR="007D61EB">
        <w:rPr>
          <w:rFonts w:ascii="Verdana" w:hAnsi="Verdana"/>
          <w:sz w:val="18"/>
          <w:szCs w:val="18"/>
        </w:rPr>
        <w:t>ie voor</w:t>
      </w:r>
      <w:r w:rsidR="004649A2">
        <w:rPr>
          <w:rFonts w:ascii="Verdana" w:hAnsi="Verdana"/>
          <w:sz w:val="18"/>
          <w:szCs w:val="18"/>
        </w:rPr>
        <w:t xml:space="preserve"> de rechtsvorming </w:t>
      </w:r>
      <w:r w:rsidR="00AD5C69">
        <w:rPr>
          <w:rFonts w:ascii="Verdana" w:hAnsi="Verdana"/>
          <w:sz w:val="18"/>
          <w:szCs w:val="18"/>
        </w:rPr>
        <w:t>door de wetgever</w:t>
      </w:r>
      <w:r w:rsidR="004649A2">
        <w:rPr>
          <w:rFonts w:ascii="Verdana" w:hAnsi="Verdana"/>
          <w:sz w:val="18"/>
          <w:szCs w:val="18"/>
        </w:rPr>
        <w:t xml:space="preserve"> </w:t>
      </w:r>
      <w:r w:rsidR="007D61EB">
        <w:rPr>
          <w:rFonts w:ascii="Verdana" w:hAnsi="Verdana"/>
          <w:sz w:val="18"/>
          <w:szCs w:val="18"/>
        </w:rPr>
        <w:t xml:space="preserve">en </w:t>
      </w:r>
      <w:r w:rsidR="00565A3B">
        <w:rPr>
          <w:rFonts w:ascii="Verdana" w:hAnsi="Verdana"/>
          <w:sz w:val="18"/>
          <w:szCs w:val="18"/>
        </w:rPr>
        <w:t xml:space="preserve">rechtsvinding door </w:t>
      </w:r>
      <w:r w:rsidR="004649A2">
        <w:rPr>
          <w:rFonts w:ascii="Verdana" w:hAnsi="Verdana"/>
          <w:sz w:val="18"/>
          <w:szCs w:val="18"/>
        </w:rPr>
        <w:t xml:space="preserve">de </w:t>
      </w:r>
      <w:r>
        <w:rPr>
          <w:rFonts w:ascii="Verdana" w:hAnsi="Verdana"/>
          <w:sz w:val="18"/>
          <w:szCs w:val="18"/>
        </w:rPr>
        <w:t>rechter</w:t>
      </w:r>
      <w:r w:rsidR="002439EE" w:rsidRPr="001F0059">
        <w:rPr>
          <w:rFonts w:ascii="Verdana" w:hAnsi="Verdana"/>
          <w:sz w:val="18"/>
          <w:szCs w:val="18"/>
        </w:rPr>
        <w:t>.</w:t>
      </w:r>
      <w:r w:rsidR="004649A2">
        <w:rPr>
          <w:rStyle w:val="Voetnootmarkering"/>
          <w:rFonts w:ascii="Verdana" w:hAnsi="Verdana"/>
          <w:sz w:val="18"/>
          <w:szCs w:val="18"/>
        </w:rPr>
        <w:footnoteReference w:id="28"/>
      </w:r>
      <w:r>
        <w:rPr>
          <w:rFonts w:ascii="Verdana" w:hAnsi="Verdana"/>
          <w:sz w:val="18"/>
          <w:szCs w:val="18"/>
        </w:rPr>
        <w:t xml:space="preserve"> </w:t>
      </w:r>
      <w:r w:rsidR="0044423E">
        <w:rPr>
          <w:rFonts w:ascii="Verdana" w:hAnsi="Verdana"/>
          <w:sz w:val="18"/>
          <w:szCs w:val="18"/>
        </w:rPr>
        <w:t xml:space="preserve">De voorgestelde bepaling dient </w:t>
      </w:r>
      <w:r w:rsidR="00AB20CA">
        <w:rPr>
          <w:rFonts w:ascii="Verdana" w:hAnsi="Verdana"/>
          <w:sz w:val="18"/>
          <w:szCs w:val="18"/>
        </w:rPr>
        <w:t>in de eerste plaats</w:t>
      </w:r>
      <w:r w:rsidR="0044423E">
        <w:rPr>
          <w:rFonts w:ascii="Verdana" w:hAnsi="Verdana"/>
          <w:sz w:val="18"/>
          <w:szCs w:val="18"/>
        </w:rPr>
        <w:t xml:space="preserve"> als grondwettelijk kader voor de wetgever bij het opstellen van (nieuwe) wetgeving.</w:t>
      </w:r>
      <w:r w:rsidR="0044423E">
        <w:rPr>
          <w:rStyle w:val="Voetnootmarkering"/>
          <w:rFonts w:ascii="Verdana" w:hAnsi="Verdana"/>
          <w:sz w:val="18"/>
          <w:szCs w:val="18"/>
        </w:rPr>
        <w:footnoteReference w:id="29"/>
      </w:r>
      <w:r w:rsidR="0044423E">
        <w:rPr>
          <w:rFonts w:ascii="Verdana" w:hAnsi="Verdana"/>
          <w:sz w:val="18"/>
          <w:szCs w:val="18"/>
        </w:rPr>
        <w:t xml:space="preserve"> Dit in aanvulling op het bestaande kader</w:t>
      </w:r>
      <w:r w:rsidR="001C0571">
        <w:rPr>
          <w:rFonts w:ascii="Verdana" w:hAnsi="Verdana"/>
          <w:sz w:val="18"/>
          <w:szCs w:val="18"/>
        </w:rPr>
        <w:t xml:space="preserve"> voor het recht op een eerlijk proces</w:t>
      </w:r>
      <w:r w:rsidR="0044423E">
        <w:rPr>
          <w:rFonts w:ascii="Verdana" w:hAnsi="Verdana"/>
          <w:sz w:val="18"/>
          <w:szCs w:val="18"/>
        </w:rPr>
        <w:t xml:space="preserve"> in de verdragsrechtelijke normen. </w:t>
      </w:r>
      <w:r>
        <w:rPr>
          <w:rFonts w:ascii="Verdana" w:hAnsi="Verdana"/>
          <w:sz w:val="18"/>
          <w:szCs w:val="18"/>
        </w:rPr>
        <w:t>De</w:t>
      </w:r>
      <w:r w:rsidR="00C96427">
        <w:rPr>
          <w:rFonts w:ascii="Verdana" w:hAnsi="Verdana"/>
          <w:sz w:val="18"/>
          <w:szCs w:val="18"/>
        </w:rPr>
        <w:t xml:space="preserve"> grondwettelijke bepaling</w:t>
      </w:r>
      <w:r w:rsidR="00E55C33">
        <w:rPr>
          <w:rFonts w:ascii="Verdana" w:hAnsi="Verdana"/>
          <w:sz w:val="18"/>
          <w:szCs w:val="18"/>
        </w:rPr>
        <w:t xml:space="preserve"> die door een </w:t>
      </w:r>
      <w:r>
        <w:rPr>
          <w:rFonts w:ascii="Verdana" w:hAnsi="Verdana"/>
          <w:sz w:val="18"/>
          <w:szCs w:val="18"/>
        </w:rPr>
        <w:t>procespartij</w:t>
      </w:r>
      <w:r w:rsidR="00C96427">
        <w:rPr>
          <w:rFonts w:ascii="Verdana" w:hAnsi="Verdana"/>
          <w:sz w:val="18"/>
          <w:szCs w:val="18"/>
        </w:rPr>
        <w:t xml:space="preserve"> </w:t>
      </w:r>
      <w:r w:rsidR="00E55C33">
        <w:rPr>
          <w:rFonts w:ascii="Verdana" w:hAnsi="Verdana"/>
          <w:sz w:val="18"/>
          <w:szCs w:val="18"/>
        </w:rPr>
        <w:t xml:space="preserve">of verdachte </w:t>
      </w:r>
      <w:r w:rsidR="00C96427">
        <w:rPr>
          <w:rFonts w:ascii="Verdana" w:hAnsi="Verdana"/>
          <w:sz w:val="18"/>
          <w:szCs w:val="18"/>
        </w:rPr>
        <w:t xml:space="preserve">in een concrete </w:t>
      </w:r>
      <w:r>
        <w:rPr>
          <w:rFonts w:ascii="Verdana" w:hAnsi="Verdana"/>
          <w:sz w:val="18"/>
          <w:szCs w:val="18"/>
        </w:rPr>
        <w:t>(</w:t>
      </w:r>
      <w:r w:rsidR="00C96427">
        <w:rPr>
          <w:rFonts w:ascii="Verdana" w:hAnsi="Verdana"/>
          <w:sz w:val="18"/>
          <w:szCs w:val="18"/>
        </w:rPr>
        <w:t>straf</w:t>
      </w:r>
      <w:r>
        <w:rPr>
          <w:rFonts w:ascii="Verdana" w:hAnsi="Verdana"/>
          <w:sz w:val="18"/>
          <w:szCs w:val="18"/>
        </w:rPr>
        <w:t>)</w:t>
      </w:r>
      <w:r w:rsidR="00E55C33">
        <w:rPr>
          <w:rFonts w:ascii="Verdana" w:hAnsi="Verdana"/>
          <w:sz w:val="18"/>
          <w:szCs w:val="18"/>
        </w:rPr>
        <w:t xml:space="preserve">procedure </w:t>
      </w:r>
      <w:r w:rsidR="009F7CBA">
        <w:rPr>
          <w:rFonts w:ascii="Verdana" w:hAnsi="Verdana"/>
          <w:sz w:val="18"/>
          <w:szCs w:val="18"/>
        </w:rPr>
        <w:t>kan</w:t>
      </w:r>
      <w:r w:rsidR="00E55C33">
        <w:rPr>
          <w:rFonts w:ascii="Verdana" w:hAnsi="Verdana"/>
          <w:sz w:val="18"/>
          <w:szCs w:val="18"/>
        </w:rPr>
        <w:t xml:space="preserve"> worden ingeroepen, </w:t>
      </w:r>
      <w:r w:rsidR="009F7CBA">
        <w:rPr>
          <w:rFonts w:ascii="Verdana" w:hAnsi="Verdana"/>
          <w:sz w:val="18"/>
          <w:szCs w:val="18"/>
        </w:rPr>
        <w:t xml:space="preserve">zal </w:t>
      </w:r>
      <w:r w:rsidR="00AB20CA">
        <w:rPr>
          <w:rFonts w:ascii="Verdana" w:hAnsi="Verdana"/>
          <w:sz w:val="18"/>
          <w:szCs w:val="18"/>
        </w:rPr>
        <w:t>voorts</w:t>
      </w:r>
      <w:r w:rsidR="00C96427">
        <w:rPr>
          <w:rFonts w:ascii="Verdana" w:hAnsi="Verdana"/>
          <w:sz w:val="18"/>
          <w:szCs w:val="18"/>
        </w:rPr>
        <w:t xml:space="preserve"> door de rechter moeten wor</w:t>
      </w:r>
      <w:r>
        <w:rPr>
          <w:rFonts w:ascii="Verdana" w:hAnsi="Verdana"/>
          <w:sz w:val="18"/>
          <w:szCs w:val="18"/>
        </w:rPr>
        <w:t xml:space="preserve">den gehandhaafd. </w:t>
      </w:r>
      <w:r w:rsidR="00E55C33">
        <w:rPr>
          <w:rFonts w:ascii="Verdana" w:hAnsi="Verdana"/>
          <w:sz w:val="18"/>
          <w:szCs w:val="18"/>
        </w:rPr>
        <w:t xml:space="preserve">De rechter moet immers in elke procedure het recht op een eerlijk proces concreet </w:t>
      </w:r>
      <w:r w:rsidR="008D7EF9">
        <w:rPr>
          <w:rFonts w:ascii="Verdana" w:hAnsi="Verdana"/>
          <w:sz w:val="18"/>
          <w:szCs w:val="18"/>
        </w:rPr>
        <w:t xml:space="preserve">garanderen en </w:t>
      </w:r>
      <w:r w:rsidR="00E55C33">
        <w:rPr>
          <w:rFonts w:ascii="Verdana" w:hAnsi="Verdana"/>
          <w:sz w:val="18"/>
          <w:szCs w:val="18"/>
        </w:rPr>
        <w:t xml:space="preserve">vormgeven. </w:t>
      </w:r>
      <w:r w:rsidR="009F7CBA">
        <w:rPr>
          <w:rFonts w:ascii="Verdana" w:hAnsi="Verdana"/>
          <w:sz w:val="18"/>
          <w:szCs w:val="18"/>
        </w:rPr>
        <w:t xml:space="preserve">De burger kan dus een beroep doen op de </w:t>
      </w:r>
      <w:r w:rsidR="009F7CBA">
        <w:rPr>
          <w:rFonts w:ascii="Verdana" w:hAnsi="Verdana"/>
          <w:sz w:val="18"/>
          <w:szCs w:val="18"/>
        </w:rPr>
        <w:lastRenderedPageBreak/>
        <w:t xml:space="preserve">toepassing van het grondrecht in de rechtspraktijk. De rechter moet de grondwetsbepaling daarbij in acht nemen. </w:t>
      </w:r>
    </w:p>
    <w:p w:rsidR="0044423E" w:rsidRDefault="0044423E" w:rsidP="001F0059">
      <w:pPr>
        <w:pStyle w:val="Geenafstand"/>
        <w:spacing w:line="280" w:lineRule="atLeast"/>
        <w:rPr>
          <w:rFonts w:ascii="Verdana" w:hAnsi="Verdana"/>
          <w:sz w:val="18"/>
          <w:szCs w:val="18"/>
        </w:rPr>
      </w:pPr>
    </w:p>
    <w:p w:rsidR="00BD3B69" w:rsidRDefault="00536C3E" w:rsidP="001F0059">
      <w:pPr>
        <w:pStyle w:val="Geenafstand"/>
        <w:spacing w:line="280" w:lineRule="atLeast"/>
        <w:rPr>
          <w:rFonts w:ascii="Verdana" w:hAnsi="Verdana"/>
          <w:sz w:val="18"/>
          <w:szCs w:val="18"/>
        </w:rPr>
      </w:pPr>
      <w:r>
        <w:rPr>
          <w:rFonts w:ascii="Verdana" w:hAnsi="Verdana"/>
          <w:sz w:val="18"/>
          <w:szCs w:val="18"/>
        </w:rPr>
        <w:t xml:space="preserve">Het </w:t>
      </w:r>
      <w:r w:rsidR="00565A3B">
        <w:rPr>
          <w:rFonts w:ascii="Verdana" w:hAnsi="Verdana"/>
          <w:sz w:val="18"/>
          <w:szCs w:val="18"/>
        </w:rPr>
        <w:t xml:space="preserve">NJCM, </w:t>
      </w:r>
      <w:r w:rsidR="00461592">
        <w:rPr>
          <w:rFonts w:ascii="Verdana" w:hAnsi="Verdana"/>
          <w:sz w:val="18"/>
          <w:szCs w:val="18"/>
        </w:rPr>
        <w:t xml:space="preserve">CRM </w:t>
      </w:r>
      <w:r w:rsidR="00565A3B">
        <w:rPr>
          <w:rFonts w:ascii="Verdana" w:hAnsi="Verdana"/>
          <w:sz w:val="18"/>
          <w:szCs w:val="18"/>
        </w:rPr>
        <w:t>en</w:t>
      </w:r>
      <w:r>
        <w:rPr>
          <w:rFonts w:ascii="Verdana" w:hAnsi="Verdana"/>
          <w:sz w:val="18"/>
          <w:szCs w:val="18"/>
        </w:rPr>
        <w:t xml:space="preserve"> de </w:t>
      </w:r>
      <w:r w:rsidR="0028560A">
        <w:rPr>
          <w:rFonts w:ascii="Verdana" w:hAnsi="Verdana"/>
          <w:sz w:val="18"/>
          <w:szCs w:val="18"/>
        </w:rPr>
        <w:t>Rvdr</w:t>
      </w:r>
      <w:r>
        <w:rPr>
          <w:rFonts w:ascii="Verdana" w:hAnsi="Verdana"/>
          <w:sz w:val="18"/>
          <w:szCs w:val="18"/>
        </w:rPr>
        <w:t xml:space="preserve"> zijn van mening</w:t>
      </w:r>
      <w:r w:rsidR="00565A3B">
        <w:rPr>
          <w:rFonts w:ascii="Verdana" w:hAnsi="Verdana"/>
          <w:sz w:val="18"/>
          <w:szCs w:val="18"/>
        </w:rPr>
        <w:t xml:space="preserve"> dat de normatieve functie van het voorgestelde recht op een eerlijk proces zou worden versterkt door het afschaffen van het verbod op toetsing van formele wetten aan de Grondwet</w:t>
      </w:r>
      <w:r>
        <w:rPr>
          <w:rFonts w:ascii="Verdana" w:hAnsi="Verdana"/>
          <w:sz w:val="18"/>
          <w:szCs w:val="18"/>
        </w:rPr>
        <w:t>. De NVvR ziet het wetsvoorstel gelet op het toetsingsverbod vooral als een wijziging van de Grondwet die een functie heeft voor de rechtsvorming door de wetgever</w:t>
      </w:r>
      <w:r w:rsidR="00565A3B">
        <w:rPr>
          <w:rFonts w:ascii="Verdana" w:hAnsi="Verdana"/>
          <w:sz w:val="18"/>
          <w:szCs w:val="18"/>
        </w:rPr>
        <w:t xml:space="preserve">. </w:t>
      </w:r>
      <w:r w:rsidR="00565A3B" w:rsidRPr="00565A3B">
        <w:rPr>
          <w:rFonts w:ascii="Verdana" w:hAnsi="Verdana"/>
          <w:sz w:val="18"/>
          <w:szCs w:val="18"/>
        </w:rPr>
        <w:t xml:space="preserve">Het </w:t>
      </w:r>
      <w:r w:rsidR="00F577DD">
        <w:rPr>
          <w:rFonts w:ascii="Verdana" w:hAnsi="Verdana"/>
          <w:sz w:val="18"/>
          <w:szCs w:val="18"/>
        </w:rPr>
        <w:t>kabinet acht</w:t>
      </w:r>
      <w:r w:rsidR="00565A3B" w:rsidRPr="00565A3B">
        <w:rPr>
          <w:rFonts w:ascii="Verdana" w:hAnsi="Verdana"/>
          <w:sz w:val="18"/>
          <w:szCs w:val="18"/>
        </w:rPr>
        <w:t xml:space="preserve"> </w:t>
      </w:r>
      <w:r w:rsidR="00053A1E">
        <w:rPr>
          <w:rFonts w:ascii="Verdana" w:hAnsi="Verdana"/>
          <w:sz w:val="18"/>
          <w:szCs w:val="18"/>
        </w:rPr>
        <w:t xml:space="preserve">het </w:t>
      </w:r>
      <w:r w:rsidR="00F577DD">
        <w:rPr>
          <w:rFonts w:ascii="Verdana" w:hAnsi="Verdana"/>
          <w:sz w:val="18"/>
          <w:szCs w:val="18"/>
        </w:rPr>
        <w:t xml:space="preserve">niet in de rede liggen om de discussie over het toetsingsverbod te voeren in het kader van het onderhavige wetsvoorstel. </w:t>
      </w:r>
      <w:r w:rsidR="009F7CBA">
        <w:rPr>
          <w:rFonts w:ascii="Verdana" w:hAnsi="Verdana"/>
          <w:sz w:val="18"/>
          <w:szCs w:val="18"/>
        </w:rPr>
        <w:t>H</w:t>
      </w:r>
      <w:r w:rsidR="00224470">
        <w:rPr>
          <w:rFonts w:ascii="Verdana" w:hAnsi="Verdana"/>
          <w:sz w:val="18"/>
          <w:szCs w:val="18"/>
        </w:rPr>
        <w:t>et initiatiefwetsvoorstel-V</w:t>
      </w:r>
      <w:r w:rsidR="00FA395F">
        <w:rPr>
          <w:rFonts w:ascii="Verdana" w:hAnsi="Verdana"/>
          <w:sz w:val="18"/>
          <w:szCs w:val="18"/>
        </w:rPr>
        <w:t>an Tongeren</w:t>
      </w:r>
      <w:r w:rsidR="00FA395F">
        <w:rPr>
          <w:rStyle w:val="Voetnootmarkering"/>
          <w:rFonts w:ascii="Verdana" w:hAnsi="Verdana"/>
          <w:sz w:val="18"/>
          <w:szCs w:val="18"/>
        </w:rPr>
        <w:footnoteReference w:id="30"/>
      </w:r>
      <w:r w:rsidR="00FA395F">
        <w:rPr>
          <w:rFonts w:ascii="Verdana" w:hAnsi="Verdana"/>
          <w:sz w:val="18"/>
          <w:szCs w:val="18"/>
        </w:rPr>
        <w:t>, waarin de rechter de bevoegdheid krijgt formele wetten te toetsen aan een aantal grondrechten,</w:t>
      </w:r>
      <w:r w:rsidR="00224470">
        <w:rPr>
          <w:rFonts w:ascii="Verdana" w:hAnsi="Verdana"/>
          <w:sz w:val="18"/>
          <w:szCs w:val="18"/>
        </w:rPr>
        <w:t xml:space="preserve"> waaronder artikel 17 van de Grondwet,</w:t>
      </w:r>
      <w:r w:rsidR="00F577DD">
        <w:rPr>
          <w:rFonts w:ascii="Verdana" w:hAnsi="Verdana"/>
          <w:sz w:val="18"/>
          <w:szCs w:val="18"/>
        </w:rPr>
        <w:t xml:space="preserve"> </w:t>
      </w:r>
      <w:r w:rsidR="009F7CBA">
        <w:rPr>
          <w:rFonts w:ascii="Verdana" w:hAnsi="Verdana"/>
          <w:sz w:val="18"/>
          <w:szCs w:val="18"/>
        </w:rPr>
        <w:t xml:space="preserve">bevindt </w:t>
      </w:r>
      <w:r w:rsidR="00F577DD">
        <w:rPr>
          <w:rFonts w:ascii="Verdana" w:hAnsi="Verdana"/>
          <w:sz w:val="18"/>
          <w:szCs w:val="18"/>
        </w:rPr>
        <w:t xml:space="preserve">zich momenteel in het stadium van </w:t>
      </w:r>
      <w:r w:rsidR="00FA395F">
        <w:rPr>
          <w:rFonts w:ascii="Verdana" w:hAnsi="Verdana"/>
          <w:sz w:val="18"/>
          <w:szCs w:val="18"/>
        </w:rPr>
        <w:t xml:space="preserve">tweede lezing. </w:t>
      </w:r>
      <w:r w:rsidR="00F577DD">
        <w:rPr>
          <w:rFonts w:ascii="Verdana" w:hAnsi="Verdana"/>
          <w:sz w:val="18"/>
          <w:szCs w:val="18"/>
        </w:rPr>
        <w:t>Bij de</w:t>
      </w:r>
      <w:r>
        <w:rPr>
          <w:rFonts w:ascii="Verdana" w:hAnsi="Verdana"/>
          <w:sz w:val="18"/>
          <w:szCs w:val="18"/>
        </w:rPr>
        <w:t xml:space="preserve"> mondelinge</w:t>
      </w:r>
      <w:r w:rsidR="00F577DD">
        <w:rPr>
          <w:rFonts w:ascii="Verdana" w:hAnsi="Verdana"/>
          <w:sz w:val="18"/>
          <w:szCs w:val="18"/>
        </w:rPr>
        <w:t xml:space="preserve"> behandeling</w:t>
      </w:r>
      <w:r w:rsidR="00FA395F">
        <w:rPr>
          <w:rFonts w:ascii="Verdana" w:hAnsi="Verdana"/>
          <w:sz w:val="18"/>
          <w:szCs w:val="18"/>
        </w:rPr>
        <w:t xml:space="preserve"> hiervan zal het kabinet </w:t>
      </w:r>
      <w:r w:rsidR="00BD3B69">
        <w:rPr>
          <w:rFonts w:ascii="Verdana" w:hAnsi="Verdana"/>
          <w:sz w:val="18"/>
          <w:szCs w:val="18"/>
        </w:rPr>
        <w:t xml:space="preserve">mede </w:t>
      </w:r>
      <w:r w:rsidR="00FA395F">
        <w:rPr>
          <w:rFonts w:ascii="Verdana" w:hAnsi="Verdana"/>
          <w:sz w:val="18"/>
          <w:szCs w:val="18"/>
        </w:rPr>
        <w:t xml:space="preserve">als adviseur van de </w:t>
      </w:r>
      <w:r w:rsidR="00245940">
        <w:rPr>
          <w:rFonts w:ascii="Verdana" w:hAnsi="Verdana"/>
          <w:sz w:val="18"/>
          <w:szCs w:val="18"/>
        </w:rPr>
        <w:t>K</w:t>
      </w:r>
      <w:r w:rsidR="00FA395F">
        <w:rPr>
          <w:rFonts w:ascii="Verdana" w:hAnsi="Verdana"/>
          <w:sz w:val="18"/>
          <w:szCs w:val="18"/>
        </w:rPr>
        <w:t>amer aan het debat deelnemen</w:t>
      </w:r>
      <w:r w:rsidR="00F577DD">
        <w:rPr>
          <w:rFonts w:ascii="Verdana" w:hAnsi="Verdana"/>
          <w:sz w:val="18"/>
          <w:szCs w:val="18"/>
        </w:rPr>
        <w:t>.</w:t>
      </w:r>
      <w:r w:rsidR="00F577DD" w:rsidRPr="00565A3B">
        <w:rPr>
          <w:rFonts w:ascii="Verdana" w:hAnsi="Verdana"/>
          <w:sz w:val="18"/>
          <w:szCs w:val="18"/>
        </w:rPr>
        <w:t xml:space="preserve"> </w:t>
      </w:r>
      <w:r w:rsidR="00565A3B" w:rsidRPr="00565A3B">
        <w:rPr>
          <w:rFonts w:ascii="Verdana" w:hAnsi="Verdana"/>
          <w:sz w:val="18"/>
          <w:szCs w:val="18"/>
        </w:rPr>
        <w:t>H</w:t>
      </w:r>
      <w:r w:rsidR="00F577DD">
        <w:rPr>
          <w:rFonts w:ascii="Verdana" w:hAnsi="Verdana"/>
          <w:sz w:val="18"/>
          <w:szCs w:val="18"/>
        </w:rPr>
        <w:t>et kabinet is van mening dat het onderhavige</w:t>
      </w:r>
      <w:r w:rsidR="00565A3B" w:rsidRPr="00565A3B">
        <w:rPr>
          <w:rFonts w:ascii="Verdana" w:hAnsi="Verdana"/>
          <w:sz w:val="18"/>
          <w:szCs w:val="18"/>
        </w:rPr>
        <w:t xml:space="preserve"> wetsvoorstel ook van betekenis is in het huidige grondwettelijke stelsel met het toetsingsverbod van</w:t>
      </w:r>
      <w:r w:rsidR="00565A3B">
        <w:rPr>
          <w:rFonts w:ascii="Verdana" w:hAnsi="Verdana"/>
          <w:sz w:val="18"/>
          <w:szCs w:val="18"/>
        </w:rPr>
        <w:t xml:space="preserve"> artikel 120 Grondwet, zoals </w:t>
      </w:r>
      <w:r w:rsidR="00F577DD">
        <w:rPr>
          <w:rFonts w:ascii="Verdana" w:hAnsi="Verdana"/>
          <w:sz w:val="18"/>
          <w:szCs w:val="18"/>
        </w:rPr>
        <w:t xml:space="preserve">eveneens </w:t>
      </w:r>
      <w:r w:rsidR="00FA395F">
        <w:rPr>
          <w:rFonts w:ascii="Verdana" w:hAnsi="Verdana"/>
          <w:sz w:val="18"/>
          <w:szCs w:val="18"/>
        </w:rPr>
        <w:t xml:space="preserve">wordt </w:t>
      </w:r>
      <w:r w:rsidR="00565A3B">
        <w:rPr>
          <w:rFonts w:ascii="Verdana" w:hAnsi="Verdana"/>
          <w:sz w:val="18"/>
          <w:szCs w:val="18"/>
        </w:rPr>
        <w:t>bev</w:t>
      </w:r>
      <w:r w:rsidR="00FA395F">
        <w:rPr>
          <w:rFonts w:ascii="Verdana" w:hAnsi="Verdana"/>
          <w:sz w:val="18"/>
          <w:szCs w:val="18"/>
        </w:rPr>
        <w:t xml:space="preserve">estigd </w:t>
      </w:r>
      <w:r w:rsidR="00F577DD">
        <w:rPr>
          <w:rFonts w:ascii="Verdana" w:hAnsi="Verdana"/>
          <w:sz w:val="18"/>
          <w:szCs w:val="18"/>
        </w:rPr>
        <w:t>door de eerder genoemde</w:t>
      </w:r>
      <w:r>
        <w:rPr>
          <w:rFonts w:ascii="Verdana" w:hAnsi="Verdana"/>
          <w:sz w:val="18"/>
          <w:szCs w:val="18"/>
        </w:rPr>
        <w:t xml:space="preserve"> adviesorganen</w:t>
      </w:r>
      <w:r w:rsidR="00565A3B">
        <w:rPr>
          <w:rFonts w:ascii="Verdana" w:hAnsi="Verdana"/>
          <w:sz w:val="18"/>
          <w:szCs w:val="18"/>
        </w:rPr>
        <w:t>.</w:t>
      </w:r>
      <w:r w:rsidR="00BD3B69">
        <w:rPr>
          <w:rFonts w:ascii="Verdana" w:hAnsi="Verdana"/>
          <w:sz w:val="18"/>
          <w:szCs w:val="18"/>
        </w:rPr>
        <w:t xml:space="preserve"> In dat opzicht zij ook verwezen naar paragraaf 1.2.</w:t>
      </w:r>
    </w:p>
    <w:p w:rsidR="00810C6E" w:rsidRDefault="00F577DD" w:rsidP="001F0059">
      <w:pPr>
        <w:pStyle w:val="Geenafstand"/>
        <w:spacing w:line="280" w:lineRule="atLeast"/>
        <w:rPr>
          <w:rFonts w:ascii="Verdana" w:hAnsi="Verdana"/>
          <w:sz w:val="18"/>
          <w:szCs w:val="18"/>
        </w:rPr>
      </w:pPr>
      <w:r>
        <w:rPr>
          <w:rFonts w:ascii="Verdana" w:hAnsi="Verdana"/>
          <w:sz w:val="18"/>
          <w:szCs w:val="18"/>
        </w:rPr>
        <w:t xml:space="preserve"> </w:t>
      </w:r>
    </w:p>
    <w:p w:rsidR="00284432" w:rsidRPr="001F0059" w:rsidRDefault="000629F3" w:rsidP="001F0059">
      <w:pPr>
        <w:pStyle w:val="Geenafstand"/>
        <w:spacing w:line="280" w:lineRule="atLeast"/>
        <w:rPr>
          <w:rFonts w:ascii="Verdana" w:hAnsi="Verdana"/>
          <w:sz w:val="18"/>
          <w:szCs w:val="18"/>
        </w:rPr>
      </w:pPr>
      <w:r w:rsidRPr="001F0059">
        <w:rPr>
          <w:rFonts w:ascii="Verdana" w:hAnsi="Verdana"/>
          <w:sz w:val="18"/>
          <w:szCs w:val="18"/>
        </w:rPr>
        <w:t>4.2</w:t>
      </w:r>
      <w:r w:rsidR="00284432" w:rsidRPr="001F0059">
        <w:rPr>
          <w:rFonts w:ascii="Verdana" w:hAnsi="Verdana"/>
          <w:sz w:val="18"/>
          <w:szCs w:val="18"/>
        </w:rPr>
        <w:t xml:space="preserve"> </w:t>
      </w:r>
      <w:r w:rsidR="00284432" w:rsidRPr="001F0059">
        <w:rPr>
          <w:rFonts w:ascii="Verdana" w:hAnsi="Verdana"/>
          <w:sz w:val="18"/>
          <w:szCs w:val="18"/>
        </w:rPr>
        <w:tab/>
        <w:t>Hoofdstuk 6 van de Grondwet</w:t>
      </w:r>
    </w:p>
    <w:p w:rsidR="001F0059" w:rsidRDefault="001F0059" w:rsidP="001F0059">
      <w:pPr>
        <w:pStyle w:val="Geenafstand"/>
        <w:spacing w:line="280" w:lineRule="atLeast"/>
        <w:rPr>
          <w:rFonts w:ascii="Verdana" w:eastAsia="Arial Unicode MS" w:hAnsi="Verdana" w:cs="Arial Unicode MS"/>
          <w:sz w:val="18"/>
          <w:szCs w:val="18"/>
        </w:rPr>
      </w:pPr>
    </w:p>
    <w:p w:rsidR="00072EB4" w:rsidRPr="001F0059" w:rsidRDefault="00AA50B9" w:rsidP="001F0059">
      <w:pPr>
        <w:pStyle w:val="Geenafstand"/>
        <w:spacing w:line="280" w:lineRule="atLeast"/>
        <w:rPr>
          <w:rFonts w:ascii="Verdana" w:eastAsia="Arial Unicode MS" w:hAnsi="Verdana" w:cs="Arial Unicode MS"/>
          <w:sz w:val="18"/>
          <w:szCs w:val="18"/>
        </w:rPr>
      </w:pPr>
      <w:r w:rsidRPr="001F0059">
        <w:rPr>
          <w:rFonts w:ascii="Verdana" w:eastAsia="Arial Unicode MS" w:hAnsi="Verdana" w:cs="Arial Unicode MS"/>
          <w:sz w:val="18"/>
          <w:szCs w:val="18"/>
        </w:rPr>
        <w:t>De bepaling</w:t>
      </w:r>
      <w:r w:rsidR="004C7897">
        <w:rPr>
          <w:rFonts w:ascii="Verdana" w:eastAsia="Arial Unicode MS" w:hAnsi="Verdana" w:cs="Arial Unicode MS"/>
          <w:sz w:val="18"/>
          <w:szCs w:val="18"/>
        </w:rPr>
        <w:t xml:space="preserve"> die</w:t>
      </w:r>
      <w:r w:rsidRPr="001F0059">
        <w:rPr>
          <w:rFonts w:ascii="Verdana" w:eastAsia="Arial Unicode MS" w:hAnsi="Verdana" w:cs="Arial Unicode MS"/>
          <w:sz w:val="18"/>
          <w:szCs w:val="18"/>
        </w:rPr>
        <w:t xml:space="preserve"> het recht op toegang tot de rechter en het recht op een eerl</w:t>
      </w:r>
      <w:r w:rsidR="004C7897">
        <w:rPr>
          <w:rFonts w:ascii="Verdana" w:eastAsia="Arial Unicode MS" w:hAnsi="Verdana" w:cs="Arial Unicode MS"/>
          <w:sz w:val="18"/>
          <w:szCs w:val="18"/>
        </w:rPr>
        <w:t>ijk proces in de Grondwet op</w:t>
      </w:r>
      <w:r w:rsidRPr="001F0059">
        <w:rPr>
          <w:rFonts w:ascii="Verdana" w:eastAsia="Arial Unicode MS" w:hAnsi="Verdana" w:cs="Arial Unicode MS"/>
          <w:sz w:val="18"/>
          <w:szCs w:val="18"/>
        </w:rPr>
        <w:t>ne</w:t>
      </w:r>
      <w:r w:rsidR="000F7179">
        <w:rPr>
          <w:rFonts w:ascii="Verdana" w:eastAsia="Arial Unicode MS" w:hAnsi="Verdana" w:cs="Arial Unicode MS"/>
          <w:sz w:val="18"/>
          <w:szCs w:val="18"/>
        </w:rPr>
        <w:t>e</w:t>
      </w:r>
      <w:r w:rsidRPr="001F0059">
        <w:rPr>
          <w:rFonts w:ascii="Verdana" w:eastAsia="Arial Unicode MS" w:hAnsi="Verdana" w:cs="Arial Unicode MS"/>
          <w:sz w:val="18"/>
          <w:szCs w:val="18"/>
        </w:rPr>
        <w:t>m</w:t>
      </w:r>
      <w:r w:rsidR="000F7179">
        <w:rPr>
          <w:rFonts w:ascii="Verdana" w:eastAsia="Arial Unicode MS" w:hAnsi="Verdana" w:cs="Arial Unicode MS"/>
          <w:sz w:val="18"/>
          <w:szCs w:val="18"/>
        </w:rPr>
        <w:t>t</w:t>
      </w:r>
      <w:r w:rsidR="004C7897">
        <w:rPr>
          <w:rFonts w:ascii="Verdana" w:eastAsia="Arial Unicode MS" w:hAnsi="Verdana" w:cs="Arial Unicode MS"/>
          <w:sz w:val="18"/>
          <w:szCs w:val="18"/>
        </w:rPr>
        <w:t>, verto</w:t>
      </w:r>
      <w:r w:rsidR="000F7179">
        <w:rPr>
          <w:rFonts w:ascii="Verdana" w:eastAsia="Arial Unicode MS" w:hAnsi="Verdana" w:cs="Arial Unicode MS"/>
          <w:sz w:val="18"/>
          <w:szCs w:val="18"/>
        </w:rPr>
        <w:t>ont</w:t>
      </w:r>
      <w:r w:rsidR="004C7897">
        <w:rPr>
          <w:rFonts w:ascii="Verdana" w:eastAsia="Arial Unicode MS" w:hAnsi="Verdana" w:cs="Arial Unicode MS"/>
          <w:sz w:val="18"/>
          <w:szCs w:val="18"/>
        </w:rPr>
        <w:t xml:space="preserve"> </w:t>
      </w:r>
      <w:r w:rsidRPr="001F0059">
        <w:rPr>
          <w:rFonts w:ascii="Verdana" w:eastAsia="Arial Unicode MS" w:hAnsi="Verdana" w:cs="Arial Unicode MS"/>
          <w:sz w:val="18"/>
          <w:szCs w:val="18"/>
        </w:rPr>
        <w:t xml:space="preserve">samenhang met het onderwerp </w:t>
      </w:r>
      <w:r w:rsidR="002952A1">
        <w:rPr>
          <w:rFonts w:ascii="Verdana" w:eastAsia="Arial Unicode MS" w:hAnsi="Verdana" w:cs="Arial Unicode MS"/>
          <w:sz w:val="18"/>
          <w:szCs w:val="18"/>
        </w:rPr>
        <w:t>van</w:t>
      </w:r>
      <w:r w:rsidRPr="001F0059">
        <w:rPr>
          <w:rFonts w:ascii="Verdana" w:eastAsia="Arial Unicode MS" w:hAnsi="Verdana" w:cs="Arial Unicode MS"/>
          <w:sz w:val="18"/>
          <w:szCs w:val="18"/>
        </w:rPr>
        <w:t xml:space="preserve"> hoofdstu</w:t>
      </w:r>
      <w:r w:rsidR="004C7897">
        <w:rPr>
          <w:rFonts w:ascii="Verdana" w:eastAsia="Arial Unicode MS" w:hAnsi="Verdana" w:cs="Arial Unicode MS"/>
          <w:sz w:val="18"/>
          <w:szCs w:val="18"/>
        </w:rPr>
        <w:t>k 6 van de Grondwet</w:t>
      </w:r>
      <w:r w:rsidR="002952A1">
        <w:rPr>
          <w:rFonts w:ascii="Verdana" w:eastAsia="Arial Unicode MS" w:hAnsi="Verdana" w:cs="Arial Unicode MS"/>
          <w:sz w:val="18"/>
          <w:szCs w:val="18"/>
        </w:rPr>
        <w:t>: rechtspraak</w:t>
      </w:r>
      <w:r w:rsidRPr="001F0059">
        <w:rPr>
          <w:rFonts w:ascii="Verdana" w:eastAsia="Arial Unicode MS" w:hAnsi="Verdana" w:cs="Arial Unicode MS"/>
          <w:sz w:val="18"/>
          <w:szCs w:val="18"/>
        </w:rPr>
        <w:t xml:space="preserve">. </w:t>
      </w:r>
      <w:r w:rsidR="004C7897">
        <w:rPr>
          <w:rFonts w:ascii="Verdana" w:eastAsia="Arial Unicode MS" w:hAnsi="Verdana" w:cs="Arial Unicode MS"/>
          <w:sz w:val="18"/>
          <w:szCs w:val="18"/>
        </w:rPr>
        <w:t>D</w:t>
      </w:r>
      <w:r w:rsidR="00066ACD">
        <w:rPr>
          <w:rFonts w:ascii="Verdana" w:eastAsia="Arial Unicode MS" w:hAnsi="Verdana" w:cs="Arial Unicode MS"/>
          <w:sz w:val="18"/>
          <w:szCs w:val="18"/>
        </w:rPr>
        <w:t xml:space="preserve">aarin zijn </w:t>
      </w:r>
      <w:r w:rsidR="004C7897">
        <w:rPr>
          <w:rFonts w:ascii="Verdana" w:eastAsia="Arial Unicode MS" w:hAnsi="Verdana" w:cs="Arial Unicode MS"/>
          <w:sz w:val="18"/>
          <w:szCs w:val="18"/>
        </w:rPr>
        <w:t>onder andere</w:t>
      </w:r>
      <w:r w:rsidR="00A83C38">
        <w:rPr>
          <w:rFonts w:ascii="Verdana" w:eastAsia="Arial Unicode MS" w:hAnsi="Verdana" w:cs="Arial Unicode MS"/>
          <w:sz w:val="18"/>
          <w:szCs w:val="18"/>
        </w:rPr>
        <w:t xml:space="preserve"> </w:t>
      </w:r>
      <w:r w:rsidR="00066ACD">
        <w:rPr>
          <w:rFonts w:ascii="Verdana" w:eastAsia="Arial Unicode MS" w:hAnsi="Verdana" w:cs="Arial Unicode MS"/>
          <w:sz w:val="18"/>
          <w:szCs w:val="18"/>
        </w:rPr>
        <w:t>elementen van een eerlijke procesgang voor de rechter opgenomen</w:t>
      </w:r>
      <w:r w:rsidR="004C7897">
        <w:rPr>
          <w:rFonts w:ascii="Verdana" w:eastAsia="Arial Unicode MS" w:hAnsi="Verdana" w:cs="Arial Unicode MS"/>
          <w:sz w:val="18"/>
          <w:szCs w:val="18"/>
        </w:rPr>
        <w:t>, zoals de openbaarheid en</w:t>
      </w:r>
      <w:r w:rsidR="002952A1">
        <w:rPr>
          <w:rFonts w:ascii="Verdana" w:eastAsia="Arial Unicode MS" w:hAnsi="Verdana" w:cs="Arial Unicode MS"/>
          <w:sz w:val="18"/>
          <w:szCs w:val="18"/>
        </w:rPr>
        <w:t xml:space="preserve"> de </w:t>
      </w:r>
      <w:r w:rsidR="004C7897">
        <w:rPr>
          <w:rFonts w:ascii="Verdana" w:eastAsia="Arial Unicode MS" w:hAnsi="Verdana" w:cs="Arial Unicode MS"/>
          <w:sz w:val="18"/>
          <w:szCs w:val="18"/>
        </w:rPr>
        <w:t xml:space="preserve">motivering </w:t>
      </w:r>
      <w:r w:rsidR="002952A1">
        <w:rPr>
          <w:rFonts w:ascii="Verdana" w:eastAsia="Arial Unicode MS" w:hAnsi="Verdana" w:cs="Arial Unicode MS"/>
          <w:sz w:val="18"/>
          <w:szCs w:val="18"/>
        </w:rPr>
        <w:t>van rechterlijke uitsprak</w:t>
      </w:r>
      <w:r w:rsidR="00604B79">
        <w:rPr>
          <w:rFonts w:ascii="Verdana" w:eastAsia="Arial Unicode MS" w:hAnsi="Verdana" w:cs="Arial Unicode MS"/>
          <w:sz w:val="18"/>
          <w:szCs w:val="18"/>
        </w:rPr>
        <w:t xml:space="preserve">en </w:t>
      </w:r>
      <w:r w:rsidR="004C7897">
        <w:rPr>
          <w:rFonts w:ascii="Verdana" w:eastAsia="Arial Unicode MS" w:hAnsi="Verdana" w:cs="Arial Unicode MS"/>
          <w:sz w:val="18"/>
          <w:szCs w:val="18"/>
        </w:rPr>
        <w:t xml:space="preserve">(artikel 121 </w:t>
      </w:r>
      <w:r w:rsidR="00604B79">
        <w:rPr>
          <w:rFonts w:ascii="Verdana" w:eastAsia="Arial Unicode MS" w:hAnsi="Verdana" w:cs="Arial Unicode MS"/>
          <w:sz w:val="18"/>
          <w:szCs w:val="18"/>
        </w:rPr>
        <w:t>Grondwet, zie daarover nader</w:t>
      </w:r>
      <w:r w:rsidR="004C7897">
        <w:rPr>
          <w:rFonts w:ascii="Verdana" w:eastAsia="Arial Unicode MS" w:hAnsi="Verdana" w:cs="Arial Unicode MS"/>
          <w:sz w:val="18"/>
          <w:szCs w:val="18"/>
        </w:rPr>
        <w:t xml:space="preserve"> paragraaf 7.</w:t>
      </w:r>
      <w:r w:rsidR="001816C6">
        <w:rPr>
          <w:rFonts w:ascii="Verdana" w:eastAsia="Arial Unicode MS" w:hAnsi="Verdana" w:cs="Arial Unicode MS"/>
          <w:sz w:val="18"/>
          <w:szCs w:val="18"/>
        </w:rPr>
        <w:t>4</w:t>
      </w:r>
      <w:r w:rsidR="00066ACD">
        <w:rPr>
          <w:rFonts w:ascii="Verdana" w:eastAsia="Arial Unicode MS" w:hAnsi="Verdana" w:cs="Arial Unicode MS"/>
          <w:sz w:val="18"/>
          <w:szCs w:val="18"/>
        </w:rPr>
        <w:t>.</w:t>
      </w:r>
      <w:r w:rsidR="004C7897">
        <w:rPr>
          <w:rFonts w:ascii="Verdana" w:eastAsia="Arial Unicode MS" w:hAnsi="Verdana" w:cs="Arial Unicode MS"/>
          <w:sz w:val="18"/>
          <w:szCs w:val="18"/>
        </w:rPr>
        <w:t>1).</w:t>
      </w:r>
      <w:r w:rsidR="00066ACD">
        <w:rPr>
          <w:rFonts w:ascii="Verdana" w:eastAsia="Arial Unicode MS" w:hAnsi="Verdana" w:cs="Arial Unicode MS"/>
          <w:sz w:val="18"/>
          <w:szCs w:val="18"/>
        </w:rPr>
        <w:t xml:space="preserve"> </w:t>
      </w:r>
      <w:r w:rsidR="00072EB4" w:rsidRPr="001F0059">
        <w:rPr>
          <w:rFonts w:ascii="Verdana" w:eastAsia="Arial Unicode MS" w:hAnsi="Verdana" w:cs="Arial Unicode MS"/>
          <w:sz w:val="18"/>
          <w:szCs w:val="18"/>
        </w:rPr>
        <w:t xml:space="preserve">Bij de </w:t>
      </w:r>
      <w:r w:rsidR="00682E8D">
        <w:rPr>
          <w:rFonts w:ascii="Verdana" w:eastAsia="Arial Unicode MS" w:hAnsi="Verdana" w:cs="Arial Unicode MS"/>
          <w:sz w:val="18"/>
          <w:szCs w:val="18"/>
        </w:rPr>
        <w:t xml:space="preserve">algehele </w:t>
      </w:r>
      <w:r w:rsidR="00072EB4" w:rsidRPr="001F0059">
        <w:rPr>
          <w:rFonts w:ascii="Verdana" w:eastAsia="Arial Unicode MS" w:hAnsi="Verdana" w:cs="Arial Unicode MS"/>
          <w:sz w:val="18"/>
          <w:szCs w:val="18"/>
        </w:rPr>
        <w:t xml:space="preserve">grondwetsherziening van 1983 heeft de regering als uitgangspunt genomen dat de hoofdlijnen, de taak en organisatie van de rechtspraak in de </w:t>
      </w:r>
      <w:r w:rsidR="00072EB4" w:rsidRPr="001F0059">
        <w:rPr>
          <w:rFonts w:ascii="Verdana" w:eastAsia="Arial Unicode MS" w:hAnsi="Verdana" w:cs="Arial Unicode MS"/>
          <w:vanish/>
          <w:sz w:val="18"/>
          <w:szCs w:val="18"/>
        </w:rPr>
        <w:t>Grondwet</w:t>
      </w:r>
      <w:hyperlink r:id="rId10" w:history="1">
        <w:r w:rsidR="00072EB4" w:rsidRPr="001F0059">
          <w:rPr>
            <w:rStyle w:val="Hyperlink"/>
            <w:rFonts w:ascii="Verdana" w:eastAsia="Arial Unicode MS" w:hAnsi="Verdana" w:cs="Arial Unicode MS"/>
            <w:color w:val="auto"/>
            <w:sz w:val="18"/>
            <w:szCs w:val="18"/>
            <w:u w:val="none"/>
          </w:rPr>
          <w:t>Grondwet</w:t>
        </w:r>
      </w:hyperlink>
      <w:r w:rsidR="00072EB4" w:rsidRPr="001F0059">
        <w:rPr>
          <w:rFonts w:ascii="Verdana" w:eastAsia="Arial Unicode MS" w:hAnsi="Verdana" w:cs="Arial Unicode MS"/>
          <w:sz w:val="18"/>
          <w:szCs w:val="18"/>
        </w:rPr>
        <w:t xml:space="preserve"> vastliggen, zonder dat de wetgever te zeer in zijn mogelijkheden wordt beperkt, en dat voorts voldoende waarborgen zijn opgenomen ter verzekering van de belangen van de justitiabelen.</w:t>
      </w:r>
      <w:r w:rsidR="00072EB4" w:rsidRPr="001F0059">
        <w:rPr>
          <w:rStyle w:val="Voetnootmarkering"/>
          <w:rFonts w:ascii="Verdana" w:eastAsia="Arial Unicode MS" w:hAnsi="Verdana" w:cs="Arial Unicode MS"/>
          <w:sz w:val="18"/>
          <w:szCs w:val="18"/>
        </w:rPr>
        <w:footnoteReference w:id="31"/>
      </w:r>
      <w:r w:rsidR="00072EB4" w:rsidRPr="001F0059">
        <w:rPr>
          <w:rFonts w:ascii="Verdana" w:eastAsia="Arial Unicode MS" w:hAnsi="Verdana" w:cs="Arial Unicode MS"/>
          <w:sz w:val="18"/>
          <w:szCs w:val="18"/>
        </w:rPr>
        <w:t xml:space="preserve"> </w:t>
      </w:r>
      <w:r w:rsidR="002952A1">
        <w:rPr>
          <w:rFonts w:ascii="Verdana" w:eastAsia="Arial Unicode MS" w:hAnsi="Verdana" w:cs="Arial Unicode MS"/>
          <w:sz w:val="18"/>
          <w:szCs w:val="18"/>
        </w:rPr>
        <w:t xml:space="preserve">Daartoe is in hoofdstuk 6 </w:t>
      </w:r>
      <w:r w:rsidR="004C7897">
        <w:rPr>
          <w:rFonts w:ascii="Verdana" w:eastAsia="Arial Unicode MS" w:hAnsi="Verdana" w:cs="Arial Unicode MS"/>
          <w:sz w:val="18"/>
          <w:szCs w:val="18"/>
        </w:rPr>
        <w:t>d</w:t>
      </w:r>
      <w:r w:rsidR="00072EB4" w:rsidRPr="001F0059">
        <w:rPr>
          <w:rFonts w:ascii="Verdana" w:eastAsia="Arial Unicode MS" w:hAnsi="Verdana" w:cs="Arial Unicode MS"/>
          <w:sz w:val="18"/>
          <w:szCs w:val="18"/>
        </w:rPr>
        <w:t>e bevoegd</w:t>
      </w:r>
      <w:r w:rsidR="004C7897">
        <w:rPr>
          <w:rFonts w:ascii="Verdana" w:eastAsia="Arial Unicode MS" w:hAnsi="Verdana" w:cs="Arial Unicode MS"/>
          <w:sz w:val="18"/>
          <w:szCs w:val="18"/>
        </w:rPr>
        <w:t>heid van de rechterlijke macht vast</w:t>
      </w:r>
      <w:r w:rsidR="00EF315C">
        <w:rPr>
          <w:rFonts w:ascii="Verdana" w:eastAsia="Arial Unicode MS" w:hAnsi="Verdana" w:cs="Arial Unicode MS"/>
          <w:sz w:val="18"/>
          <w:szCs w:val="18"/>
        </w:rPr>
        <w:t>gelegd</w:t>
      </w:r>
      <w:r w:rsidR="004C7897">
        <w:rPr>
          <w:rFonts w:ascii="Verdana" w:eastAsia="Arial Unicode MS" w:hAnsi="Verdana" w:cs="Arial Unicode MS"/>
          <w:sz w:val="18"/>
          <w:szCs w:val="18"/>
        </w:rPr>
        <w:t xml:space="preserve"> in de artikelen 112 en 113 Grondwet</w:t>
      </w:r>
      <w:r w:rsidR="002952A1">
        <w:rPr>
          <w:rFonts w:ascii="Verdana" w:eastAsia="Arial Unicode MS" w:hAnsi="Verdana" w:cs="Arial Unicode MS"/>
          <w:sz w:val="18"/>
          <w:szCs w:val="18"/>
        </w:rPr>
        <w:t xml:space="preserve">. </w:t>
      </w:r>
      <w:r w:rsidR="00CB591A">
        <w:rPr>
          <w:rFonts w:ascii="Verdana" w:eastAsia="Arial Unicode MS" w:hAnsi="Verdana" w:cs="Arial Unicode MS"/>
          <w:sz w:val="18"/>
          <w:szCs w:val="18"/>
        </w:rPr>
        <w:t>Artik</w:t>
      </w:r>
      <w:r w:rsidR="00605688">
        <w:rPr>
          <w:rFonts w:ascii="Verdana" w:eastAsia="Arial Unicode MS" w:hAnsi="Verdana" w:cs="Arial Unicode MS"/>
          <w:sz w:val="18"/>
          <w:szCs w:val="18"/>
        </w:rPr>
        <w:t>el 115 Grondwet maakt het mogel</w:t>
      </w:r>
      <w:r w:rsidR="00CB591A">
        <w:rPr>
          <w:rFonts w:ascii="Verdana" w:eastAsia="Arial Unicode MS" w:hAnsi="Verdana" w:cs="Arial Unicode MS"/>
          <w:sz w:val="18"/>
          <w:szCs w:val="18"/>
        </w:rPr>
        <w:t>i</w:t>
      </w:r>
      <w:r w:rsidR="00605688">
        <w:rPr>
          <w:rFonts w:ascii="Verdana" w:eastAsia="Arial Unicode MS" w:hAnsi="Verdana" w:cs="Arial Unicode MS"/>
          <w:sz w:val="18"/>
          <w:szCs w:val="18"/>
        </w:rPr>
        <w:t>j</w:t>
      </w:r>
      <w:r w:rsidR="00CB591A">
        <w:rPr>
          <w:rFonts w:ascii="Verdana" w:eastAsia="Arial Unicode MS" w:hAnsi="Verdana" w:cs="Arial Unicode MS"/>
          <w:sz w:val="18"/>
          <w:szCs w:val="18"/>
        </w:rPr>
        <w:t xml:space="preserve">k voor </w:t>
      </w:r>
      <w:r w:rsidR="005A5C9D">
        <w:rPr>
          <w:rFonts w:ascii="Verdana" w:eastAsia="Arial Unicode MS" w:hAnsi="Verdana" w:cs="Arial Unicode MS"/>
          <w:sz w:val="18"/>
          <w:szCs w:val="18"/>
        </w:rPr>
        <w:t>geschillen die niet uit burgerlijke rechtsbetrekkingen zijn ontstaan (</w:t>
      </w:r>
      <w:r w:rsidR="00CB591A">
        <w:rPr>
          <w:rFonts w:ascii="Verdana" w:eastAsia="Arial Unicode MS" w:hAnsi="Verdana" w:cs="Arial Unicode MS"/>
          <w:sz w:val="18"/>
          <w:szCs w:val="18"/>
        </w:rPr>
        <w:t>de in artikel 112, tweede lid, Grondwet bedoelde geschillen</w:t>
      </w:r>
      <w:r w:rsidR="005A5C9D">
        <w:rPr>
          <w:rFonts w:ascii="Verdana" w:eastAsia="Arial Unicode MS" w:hAnsi="Verdana" w:cs="Arial Unicode MS"/>
          <w:sz w:val="18"/>
          <w:szCs w:val="18"/>
        </w:rPr>
        <w:t>)</w:t>
      </w:r>
      <w:r w:rsidR="00CB591A">
        <w:rPr>
          <w:rFonts w:ascii="Verdana" w:eastAsia="Arial Unicode MS" w:hAnsi="Verdana" w:cs="Arial Unicode MS"/>
          <w:sz w:val="18"/>
          <w:szCs w:val="18"/>
        </w:rPr>
        <w:t xml:space="preserve"> administratief beroep open te stellen. Voor administratief beroep geldt sinds </w:t>
      </w:r>
      <w:r w:rsidR="00280B79">
        <w:rPr>
          <w:rFonts w:ascii="Verdana" w:eastAsia="Arial Unicode MS" w:hAnsi="Verdana" w:cs="Arial Unicode MS"/>
          <w:sz w:val="18"/>
          <w:szCs w:val="18"/>
        </w:rPr>
        <w:t>de uitspraak in de zaak</w:t>
      </w:r>
      <w:r w:rsidR="00CB591A">
        <w:rPr>
          <w:rFonts w:ascii="Verdana" w:eastAsia="Arial Unicode MS" w:hAnsi="Verdana" w:cs="Arial Unicode MS"/>
          <w:sz w:val="18"/>
          <w:szCs w:val="18"/>
        </w:rPr>
        <w:t xml:space="preserve"> </w:t>
      </w:r>
      <w:r w:rsidR="00CB591A" w:rsidRPr="00CB591A">
        <w:rPr>
          <w:rFonts w:ascii="Verdana" w:eastAsia="Arial Unicode MS" w:hAnsi="Verdana" w:cs="Arial Unicode MS"/>
          <w:i/>
          <w:sz w:val="18"/>
          <w:szCs w:val="18"/>
        </w:rPr>
        <w:t>Benthem</w:t>
      </w:r>
      <w:r w:rsidR="00280B79">
        <w:rPr>
          <w:rFonts w:ascii="Verdana" w:eastAsia="Arial Unicode MS" w:hAnsi="Verdana" w:cs="Arial Unicode MS"/>
          <w:i/>
          <w:sz w:val="18"/>
          <w:szCs w:val="18"/>
        </w:rPr>
        <w:t xml:space="preserve"> </w:t>
      </w:r>
      <w:r w:rsidR="00280B79" w:rsidRPr="002D09B5">
        <w:rPr>
          <w:rFonts w:ascii="Verdana" w:eastAsia="Arial Unicode MS" w:hAnsi="Verdana" w:cs="Arial Unicode MS"/>
          <w:sz w:val="18"/>
          <w:szCs w:val="18"/>
        </w:rPr>
        <w:t>t.</w:t>
      </w:r>
      <w:r w:rsidR="00280B79">
        <w:rPr>
          <w:rFonts w:ascii="Verdana" w:eastAsia="Arial Unicode MS" w:hAnsi="Verdana" w:cs="Arial Unicode MS"/>
          <w:i/>
          <w:sz w:val="18"/>
          <w:szCs w:val="18"/>
        </w:rPr>
        <w:t xml:space="preserve"> Nederland</w:t>
      </w:r>
      <w:r w:rsidR="00CB591A">
        <w:rPr>
          <w:rStyle w:val="Voetnootmarkering"/>
          <w:rFonts w:ascii="Verdana" w:eastAsia="Arial Unicode MS" w:hAnsi="Verdana" w:cs="Arial Unicode MS"/>
          <w:i/>
          <w:sz w:val="18"/>
          <w:szCs w:val="18"/>
        </w:rPr>
        <w:footnoteReference w:id="32"/>
      </w:r>
      <w:r w:rsidR="00CB591A">
        <w:rPr>
          <w:rFonts w:ascii="Verdana" w:eastAsia="Arial Unicode MS" w:hAnsi="Verdana" w:cs="Arial Unicode MS"/>
          <w:sz w:val="18"/>
          <w:szCs w:val="18"/>
        </w:rPr>
        <w:t xml:space="preserve">, dat dit </w:t>
      </w:r>
      <w:r w:rsidR="005A5C9D">
        <w:rPr>
          <w:rFonts w:ascii="Verdana" w:eastAsia="Arial Unicode MS" w:hAnsi="Verdana" w:cs="Arial Unicode MS"/>
          <w:sz w:val="18"/>
          <w:szCs w:val="18"/>
        </w:rPr>
        <w:t xml:space="preserve">gelet op artikel 6 EVRM </w:t>
      </w:r>
      <w:r w:rsidR="00CB591A">
        <w:rPr>
          <w:rFonts w:ascii="Verdana" w:eastAsia="Arial Unicode MS" w:hAnsi="Verdana" w:cs="Arial Unicode MS"/>
          <w:sz w:val="18"/>
          <w:szCs w:val="18"/>
        </w:rPr>
        <w:t xml:space="preserve">slechts een voorfase kan zijn van beroep op een onafhankelijke rechter. </w:t>
      </w:r>
      <w:r w:rsidR="005A5C9D">
        <w:rPr>
          <w:rFonts w:ascii="Verdana" w:eastAsia="Arial Unicode MS" w:hAnsi="Verdana" w:cs="Arial Unicode MS"/>
          <w:sz w:val="18"/>
          <w:szCs w:val="18"/>
        </w:rPr>
        <w:t>Deze rechtsregel</w:t>
      </w:r>
      <w:r w:rsidR="00CB591A">
        <w:rPr>
          <w:rFonts w:ascii="Verdana" w:eastAsia="Arial Unicode MS" w:hAnsi="Verdana" w:cs="Arial Unicode MS"/>
          <w:sz w:val="18"/>
          <w:szCs w:val="18"/>
        </w:rPr>
        <w:t xml:space="preserve"> is derhalve </w:t>
      </w:r>
      <w:r w:rsidR="005A5C9D">
        <w:rPr>
          <w:rFonts w:ascii="Verdana" w:eastAsia="Arial Unicode MS" w:hAnsi="Verdana" w:cs="Arial Unicode MS"/>
          <w:sz w:val="18"/>
          <w:szCs w:val="18"/>
        </w:rPr>
        <w:t xml:space="preserve">ook </w:t>
      </w:r>
      <w:r w:rsidR="00CB591A">
        <w:rPr>
          <w:rFonts w:ascii="Verdana" w:eastAsia="Arial Unicode MS" w:hAnsi="Verdana" w:cs="Arial Unicode MS"/>
          <w:sz w:val="18"/>
          <w:szCs w:val="18"/>
        </w:rPr>
        <w:t>bepalend voor de onderlinge relatie tussen artikel 115 Grondwet en het voorgestelde artikel 17, eerste lid</w:t>
      </w:r>
      <w:r w:rsidR="005A5C9D">
        <w:rPr>
          <w:rFonts w:ascii="Verdana" w:eastAsia="Arial Unicode MS" w:hAnsi="Verdana" w:cs="Arial Unicode MS"/>
          <w:sz w:val="18"/>
          <w:szCs w:val="18"/>
        </w:rPr>
        <w:t>, Grondwet</w:t>
      </w:r>
      <w:r w:rsidR="00CB591A">
        <w:rPr>
          <w:rFonts w:ascii="Verdana" w:eastAsia="Arial Unicode MS" w:hAnsi="Verdana" w:cs="Arial Unicode MS"/>
          <w:sz w:val="18"/>
          <w:szCs w:val="18"/>
        </w:rPr>
        <w:t xml:space="preserve">. </w:t>
      </w:r>
      <w:r w:rsidR="005A5C9D">
        <w:rPr>
          <w:rFonts w:ascii="Verdana" w:eastAsia="Arial Unicode MS" w:hAnsi="Verdana" w:cs="Arial Unicode MS"/>
          <w:sz w:val="18"/>
          <w:szCs w:val="18"/>
        </w:rPr>
        <w:t xml:space="preserve">Als de wetgever </w:t>
      </w:r>
      <w:r w:rsidR="00CB591A">
        <w:rPr>
          <w:rFonts w:ascii="Verdana" w:eastAsia="Arial Unicode MS" w:hAnsi="Verdana" w:cs="Arial Unicode MS"/>
          <w:sz w:val="18"/>
          <w:szCs w:val="18"/>
        </w:rPr>
        <w:t>a</w:t>
      </w:r>
      <w:r w:rsidR="005A5C9D">
        <w:rPr>
          <w:rFonts w:ascii="Verdana" w:eastAsia="Arial Unicode MS" w:hAnsi="Verdana" w:cs="Arial Unicode MS"/>
          <w:sz w:val="18"/>
          <w:szCs w:val="18"/>
        </w:rPr>
        <w:t>dministratief beroep openstelt</w:t>
      </w:r>
      <w:r w:rsidR="00CB591A">
        <w:rPr>
          <w:rFonts w:ascii="Verdana" w:eastAsia="Arial Unicode MS" w:hAnsi="Verdana" w:cs="Arial Unicode MS"/>
          <w:sz w:val="18"/>
          <w:szCs w:val="18"/>
        </w:rPr>
        <w:t xml:space="preserve">, </w:t>
      </w:r>
      <w:r w:rsidR="005A5C9D">
        <w:rPr>
          <w:rFonts w:ascii="Verdana" w:eastAsia="Arial Unicode MS" w:hAnsi="Verdana" w:cs="Arial Unicode MS"/>
          <w:sz w:val="18"/>
          <w:szCs w:val="18"/>
        </w:rPr>
        <w:t>zal daarna nog beroep op een rechter moeten openstaan</w:t>
      </w:r>
      <w:r w:rsidR="00CB591A">
        <w:rPr>
          <w:rFonts w:ascii="Verdana" w:eastAsia="Arial Unicode MS" w:hAnsi="Verdana" w:cs="Arial Unicode MS"/>
          <w:sz w:val="18"/>
          <w:szCs w:val="18"/>
        </w:rPr>
        <w:t>.</w:t>
      </w:r>
      <w:r w:rsidR="005A5C9D">
        <w:rPr>
          <w:rFonts w:ascii="Verdana" w:eastAsia="Arial Unicode MS" w:hAnsi="Verdana" w:cs="Arial Unicode MS"/>
          <w:sz w:val="18"/>
          <w:szCs w:val="18"/>
        </w:rPr>
        <w:t xml:space="preserve"> </w:t>
      </w:r>
      <w:r w:rsidR="002952A1">
        <w:rPr>
          <w:rFonts w:ascii="Verdana" w:eastAsia="Arial Unicode MS" w:hAnsi="Verdana" w:cs="Arial Unicode MS"/>
          <w:sz w:val="18"/>
          <w:szCs w:val="18"/>
        </w:rPr>
        <w:t>Voorts vestigen de artike</w:t>
      </w:r>
      <w:r w:rsidR="00D443DD">
        <w:rPr>
          <w:rFonts w:ascii="Verdana" w:eastAsia="Arial Unicode MS" w:hAnsi="Verdana" w:cs="Arial Unicode MS"/>
          <w:sz w:val="18"/>
          <w:szCs w:val="18"/>
        </w:rPr>
        <w:t>len 116 en 117</w:t>
      </w:r>
      <w:r w:rsidR="002952A1">
        <w:rPr>
          <w:rFonts w:ascii="Verdana" w:eastAsia="Arial Unicode MS" w:hAnsi="Verdana" w:cs="Arial Unicode MS"/>
          <w:sz w:val="18"/>
          <w:szCs w:val="18"/>
        </w:rPr>
        <w:t xml:space="preserve"> </w:t>
      </w:r>
      <w:r w:rsidR="00D443DD">
        <w:rPr>
          <w:rFonts w:ascii="Verdana" w:eastAsia="Arial Unicode MS" w:hAnsi="Verdana" w:cs="Arial Unicode MS"/>
          <w:sz w:val="18"/>
          <w:szCs w:val="18"/>
        </w:rPr>
        <w:t xml:space="preserve">Grondwet </w:t>
      </w:r>
      <w:r w:rsidR="00072EB4" w:rsidRPr="001F0059">
        <w:rPr>
          <w:rFonts w:ascii="Verdana" w:eastAsia="Arial Unicode MS" w:hAnsi="Verdana" w:cs="Arial Unicode MS"/>
          <w:vanish/>
          <w:sz w:val="18"/>
          <w:szCs w:val="18"/>
        </w:rPr>
        <w:t>Grondwet</w:t>
      </w:r>
      <w:r w:rsidR="00FB0CBA">
        <w:rPr>
          <w:rFonts w:ascii="Verdana" w:eastAsia="Arial Unicode MS" w:hAnsi="Verdana" w:cs="Arial Unicode MS"/>
          <w:sz w:val="18"/>
          <w:szCs w:val="18"/>
        </w:rPr>
        <w:t xml:space="preserve">waarborgen </w:t>
      </w:r>
      <w:r w:rsidR="00072EB4" w:rsidRPr="001F0059">
        <w:rPr>
          <w:rFonts w:ascii="Verdana" w:eastAsia="Arial Unicode MS" w:hAnsi="Verdana" w:cs="Arial Unicode MS"/>
          <w:sz w:val="18"/>
          <w:szCs w:val="18"/>
        </w:rPr>
        <w:t xml:space="preserve">omtrent de onafhankelijkheid van de leden van de rechterlijke macht met rechtspraak belast. </w:t>
      </w:r>
      <w:r w:rsidR="00FB0CBA">
        <w:rPr>
          <w:rFonts w:ascii="Verdana" w:eastAsia="Arial Unicode MS" w:hAnsi="Verdana" w:cs="Arial Unicode MS"/>
          <w:sz w:val="18"/>
          <w:szCs w:val="18"/>
        </w:rPr>
        <w:t>Op de</w:t>
      </w:r>
      <w:r w:rsidR="00D443DD">
        <w:rPr>
          <w:rFonts w:ascii="Verdana" w:eastAsia="Arial Unicode MS" w:hAnsi="Verdana" w:cs="Arial Unicode MS"/>
          <w:sz w:val="18"/>
          <w:szCs w:val="18"/>
        </w:rPr>
        <w:t>ze</w:t>
      </w:r>
      <w:r w:rsidR="001F0059" w:rsidRPr="001F0059">
        <w:rPr>
          <w:rFonts w:ascii="Verdana" w:eastAsia="Arial Unicode MS" w:hAnsi="Verdana" w:cs="Arial Unicode MS"/>
          <w:sz w:val="18"/>
          <w:szCs w:val="18"/>
        </w:rPr>
        <w:t xml:space="preserve"> grondwettelijke onafhankelijkheidswaarborgen wordt nader ingegaan in paragraaf 7.2.1</w:t>
      </w:r>
      <w:r w:rsidR="00FB0CBA">
        <w:rPr>
          <w:rFonts w:ascii="Verdana" w:eastAsia="Arial Unicode MS" w:hAnsi="Verdana" w:cs="Arial Unicode MS"/>
          <w:sz w:val="18"/>
          <w:szCs w:val="18"/>
        </w:rPr>
        <w:t>,</w:t>
      </w:r>
      <w:r w:rsidR="00C502FA">
        <w:rPr>
          <w:rFonts w:ascii="Verdana" w:eastAsia="Arial Unicode MS" w:hAnsi="Verdana" w:cs="Arial Unicode MS"/>
          <w:sz w:val="18"/>
          <w:szCs w:val="18"/>
        </w:rPr>
        <w:t xml:space="preserve"> omdat de onafhankelijkheid van de </w:t>
      </w:r>
      <w:r w:rsidR="00FB0CBA">
        <w:rPr>
          <w:rFonts w:ascii="Verdana" w:eastAsia="Arial Unicode MS" w:hAnsi="Verdana" w:cs="Arial Unicode MS"/>
          <w:sz w:val="18"/>
          <w:szCs w:val="18"/>
        </w:rPr>
        <w:t>rechter een belangrijk element is van het recht op een eerlijk proces</w:t>
      </w:r>
      <w:r w:rsidR="001F0059" w:rsidRPr="001F0059">
        <w:rPr>
          <w:rFonts w:ascii="Verdana" w:eastAsia="Arial Unicode MS" w:hAnsi="Verdana" w:cs="Arial Unicode MS"/>
          <w:sz w:val="18"/>
          <w:szCs w:val="18"/>
        </w:rPr>
        <w:t xml:space="preserve">. </w:t>
      </w:r>
      <w:r w:rsidR="00D443DD">
        <w:rPr>
          <w:rFonts w:ascii="Verdana" w:eastAsia="Arial Unicode MS" w:hAnsi="Verdana" w:cs="Arial Unicode MS"/>
          <w:sz w:val="18"/>
          <w:szCs w:val="18"/>
        </w:rPr>
        <w:t>Voor het overige laat hoofdstuk 6 veel over aan de wetgever, zoals het aanwijzen van de gerechten die behoren tot de rechterlijke macht.</w:t>
      </w:r>
    </w:p>
    <w:p w:rsidR="003D7E50" w:rsidRDefault="003D7E50" w:rsidP="001F0059">
      <w:pPr>
        <w:pStyle w:val="Geenafstand"/>
        <w:spacing w:line="280" w:lineRule="atLeast"/>
        <w:rPr>
          <w:rFonts w:ascii="Verdana" w:eastAsia="Arial Unicode MS" w:hAnsi="Verdana" w:cs="Arial Unicode MS"/>
          <w:sz w:val="18"/>
          <w:szCs w:val="18"/>
        </w:rPr>
      </w:pPr>
    </w:p>
    <w:p w:rsidR="00072EB4" w:rsidRDefault="001F0059" w:rsidP="001F0059">
      <w:pPr>
        <w:pStyle w:val="Geenafstand"/>
        <w:spacing w:line="280" w:lineRule="atLeast"/>
        <w:rPr>
          <w:rFonts w:ascii="Verdana" w:eastAsia="Arial Unicode MS" w:hAnsi="Verdana" w:cs="Arial Unicode MS"/>
          <w:sz w:val="18"/>
          <w:szCs w:val="18"/>
        </w:rPr>
      </w:pPr>
      <w:r w:rsidRPr="001F0059">
        <w:rPr>
          <w:rFonts w:ascii="Verdana" w:eastAsia="Arial Unicode MS" w:hAnsi="Verdana" w:cs="Arial Unicode MS"/>
          <w:sz w:val="18"/>
          <w:szCs w:val="18"/>
        </w:rPr>
        <w:t xml:space="preserve">Het onderhavige voorstel vestigt </w:t>
      </w:r>
      <w:r w:rsidR="00D443DD">
        <w:rPr>
          <w:rFonts w:ascii="Verdana" w:eastAsia="Arial Unicode MS" w:hAnsi="Verdana" w:cs="Arial Unicode MS"/>
          <w:sz w:val="18"/>
          <w:szCs w:val="18"/>
        </w:rPr>
        <w:t xml:space="preserve">zoals toegelicht in de vorige paragraaf </w:t>
      </w:r>
      <w:r w:rsidRPr="001F0059">
        <w:rPr>
          <w:rFonts w:ascii="Verdana" w:eastAsia="Arial Unicode MS" w:hAnsi="Verdana" w:cs="Arial Unicode MS"/>
          <w:sz w:val="18"/>
          <w:szCs w:val="18"/>
        </w:rPr>
        <w:t xml:space="preserve">een </w:t>
      </w:r>
      <w:r w:rsidR="004C7897">
        <w:rPr>
          <w:rFonts w:ascii="Verdana" w:eastAsia="Arial Unicode MS" w:hAnsi="Verdana" w:cs="Arial Unicode MS"/>
          <w:sz w:val="18"/>
          <w:szCs w:val="18"/>
        </w:rPr>
        <w:t>grond</w:t>
      </w:r>
      <w:r w:rsidR="00FC005E">
        <w:rPr>
          <w:rFonts w:ascii="Verdana" w:eastAsia="Arial Unicode MS" w:hAnsi="Verdana" w:cs="Arial Unicode MS"/>
          <w:sz w:val="18"/>
          <w:szCs w:val="18"/>
        </w:rPr>
        <w:t>recht van de burger</w:t>
      </w:r>
      <w:r w:rsidR="004024FE">
        <w:rPr>
          <w:rFonts w:ascii="Verdana" w:eastAsia="Arial Unicode MS" w:hAnsi="Verdana" w:cs="Arial Unicode MS"/>
          <w:sz w:val="18"/>
          <w:szCs w:val="18"/>
        </w:rPr>
        <w:t>. Het kabinet</w:t>
      </w:r>
      <w:r w:rsidR="00FC005E">
        <w:rPr>
          <w:rFonts w:ascii="Verdana" w:eastAsia="Arial Unicode MS" w:hAnsi="Verdana" w:cs="Arial Unicode MS"/>
          <w:sz w:val="18"/>
          <w:szCs w:val="18"/>
        </w:rPr>
        <w:t xml:space="preserve"> kiest daarmee voor een grondrechtelijke invalshoek van het recht op eerlijk </w:t>
      </w:r>
      <w:r w:rsidR="00FC005E">
        <w:rPr>
          <w:rFonts w:ascii="Verdana" w:eastAsia="Arial Unicode MS" w:hAnsi="Verdana" w:cs="Arial Unicode MS"/>
          <w:sz w:val="18"/>
          <w:szCs w:val="18"/>
        </w:rPr>
        <w:lastRenderedPageBreak/>
        <w:t>proces.</w:t>
      </w:r>
      <w:r w:rsidRPr="001F0059">
        <w:rPr>
          <w:rFonts w:ascii="Verdana" w:eastAsia="Arial Unicode MS" w:hAnsi="Verdana" w:cs="Arial Unicode MS"/>
          <w:sz w:val="18"/>
          <w:szCs w:val="18"/>
        </w:rPr>
        <w:t xml:space="preserve"> </w:t>
      </w:r>
      <w:r w:rsidR="002F7033">
        <w:rPr>
          <w:rFonts w:ascii="Verdana" w:eastAsia="Arial Unicode MS" w:hAnsi="Verdana" w:cs="Arial Unicode MS"/>
          <w:sz w:val="18"/>
          <w:szCs w:val="18"/>
        </w:rPr>
        <w:t xml:space="preserve">De aanspraak van de burger op een eerlijk proces </w:t>
      </w:r>
      <w:r w:rsidR="00B66786">
        <w:rPr>
          <w:rFonts w:ascii="Verdana" w:eastAsia="Arial Unicode MS" w:hAnsi="Verdana" w:cs="Arial Unicode MS"/>
          <w:sz w:val="18"/>
          <w:szCs w:val="18"/>
        </w:rPr>
        <w:t>leidt</w:t>
      </w:r>
      <w:r w:rsidR="002F7033">
        <w:rPr>
          <w:rFonts w:ascii="Verdana" w:eastAsia="Arial Unicode MS" w:hAnsi="Verdana" w:cs="Arial Unicode MS"/>
          <w:sz w:val="18"/>
          <w:szCs w:val="18"/>
        </w:rPr>
        <w:t xml:space="preserve"> niet tot het anders inrichten van de </w:t>
      </w:r>
      <w:r w:rsidR="000579D8">
        <w:rPr>
          <w:rFonts w:ascii="Verdana" w:eastAsia="Arial Unicode MS" w:hAnsi="Verdana" w:cs="Arial Unicode MS"/>
          <w:sz w:val="18"/>
          <w:szCs w:val="18"/>
        </w:rPr>
        <w:t xml:space="preserve">rechterlijke </w:t>
      </w:r>
      <w:r w:rsidR="002F7033">
        <w:rPr>
          <w:rFonts w:ascii="Verdana" w:eastAsia="Arial Unicode MS" w:hAnsi="Verdana" w:cs="Arial Unicode MS"/>
          <w:sz w:val="18"/>
          <w:szCs w:val="18"/>
        </w:rPr>
        <w:t>organisati</w:t>
      </w:r>
      <w:r w:rsidR="000579D8">
        <w:rPr>
          <w:rFonts w:ascii="Verdana" w:eastAsia="Arial Unicode MS" w:hAnsi="Verdana" w:cs="Arial Unicode MS"/>
          <w:sz w:val="18"/>
          <w:szCs w:val="18"/>
        </w:rPr>
        <w:t>e</w:t>
      </w:r>
      <w:r w:rsidR="00604B79">
        <w:rPr>
          <w:rFonts w:ascii="Verdana" w:eastAsia="Arial Unicode MS" w:hAnsi="Verdana" w:cs="Arial Unicode MS"/>
          <w:sz w:val="18"/>
          <w:szCs w:val="18"/>
        </w:rPr>
        <w:t>, zoals die</w:t>
      </w:r>
      <w:r w:rsidR="004C7897">
        <w:rPr>
          <w:rFonts w:ascii="Verdana" w:eastAsia="Arial Unicode MS" w:hAnsi="Verdana" w:cs="Arial Unicode MS"/>
          <w:sz w:val="18"/>
          <w:szCs w:val="18"/>
        </w:rPr>
        <w:t xml:space="preserve"> </w:t>
      </w:r>
      <w:r w:rsidR="002F7033">
        <w:rPr>
          <w:rFonts w:ascii="Verdana" w:eastAsia="Arial Unicode MS" w:hAnsi="Verdana" w:cs="Arial Unicode MS"/>
          <w:sz w:val="18"/>
          <w:szCs w:val="18"/>
        </w:rPr>
        <w:t xml:space="preserve">nu in </w:t>
      </w:r>
      <w:r w:rsidR="004C7897">
        <w:rPr>
          <w:rFonts w:ascii="Verdana" w:eastAsia="Arial Unicode MS" w:hAnsi="Verdana" w:cs="Arial Unicode MS"/>
          <w:sz w:val="18"/>
          <w:szCs w:val="18"/>
        </w:rPr>
        <w:t xml:space="preserve">hoofdlijnen is vormgegeven in </w:t>
      </w:r>
      <w:r w:rsidR="002F7033">
        <w:rPr>
          <w:rFonts w:ascii="Verdana" w:eastAsia="Arial Unicode MS" w:hAnsi="Verdana" w:cs="Arial Unicode MS"/>
          <w:sz w:val="18"/>
          <w:szCs w:val="18"/>
        </w:rPr>
        <w:t>hoofdstuk</w:t>
      </w:r>
      <w:r w:rsidR="004C7897">
        <w:rPr>
          <w:rFonts w:ascii="Verdana" w:eastAsia="Arial Unicode MS" w:hAnsi="Verdana" w:cs="Arial Unicode MS"/>
          <w:sz w:val="18"/>
          <w:szCs w:val="18"/>
        </w:rPr>
        <w:t xml:space="preserve"> 6 van de Grondwet</w:t>
      </w:r>
      <w:r w:rsidR="002F7033">
        <w:rPr>
          <w:rFonts w:ascii="Verdana" w:eastAsia="Arial Unicode MS" w:hAnsi="Verdana" w:cs="Arial Unicode MS"/>
          <w:sz w:val="18"/>
          <w:szCs w:val="18"/>
        </w:rPr>
        <w:t xml:space="preserve">. </w:t>
      </w:r>
      <w:r w:rsidR="0076017D">
        <w:rPr>
          <w:rFonts w:ascii="Verdana" w:eastAsia="Arial Unicode MS" w:hAnsi="Verdana" w:cs="Arial Unicode MS"/>
          <w:sz w:val="18"/>
          <w:szCs w:val="18"/>
        </w:rPr>
        <w:t xml:space="preserve">Wel moet de wetgever uiteraard zorg dragen voor </w:t>
      </w:r>
      <w:r w:rsidR="004C7897">
        <w:rPr>
          <w:rFonts w:ascii="Verdana" w:eastAsia="Arial Unicode MS" w:hAnsi="Verdana" w:cs="Arial Unicode MS"/>
          <w:sz w:val="18"/>
          <w:szCs w:val="18"/>
        </w:rPr>
        <w:t xml:space="preserve">het openstellen van </w:t>
      </w:r>
      <w:r w:rsidR="0076017D">
        <w:rPr>
          <w:rFonts w:ascii="Verdana" w:eastAsia="Arial Unicode MS" w:hAnsi="Verdana" w:cs="Arial Unicode MS"/>
          <w:sz w:val="18"/>
          <w:szCs w:val="18"/>
        </w:rPr>
        <w:t>een rec</w:t>
      </w:r>
      <w:r w:rsidR="00FB0CBA">
        <w:rPr>
          <w:rFonts w:ascii="Verdana" w:eastAsia="Arial Unicode MS" w:hAnsi="Verdana" w:cs="Arial Unicode MS"/>
          <w:sz w:val="18"/>
          <w:szCs w:val="18"/>
        </w:rPr>
        <w:t>htsgang in die gevallen waarvoor</w:t>
      </w:r>
      <w:r w:rsidR="0076017D">
        <w:rPr>
          <w:rFonts w:ascii="Verdana" w:eastAsia="Arial Unicode MS" w:hAnsi="Verdana" w:cs="Arial Unicode MS"/>
          <w:sz w:val="18"/>
          <w:szCs w:val="18"/>
        </w:rPr>
        <w:t xml:space="preserve"> het recht op toeg</w:t>
      </w:r>
      <w:r w:rsidR="00FB0CBA">
        <w:rPr>
          <w:rFonts w:ascii="Verdana" w:eastAsia="Arial Unicode MS" w:hAnsi="Verdana" w:cs="Arial Unicode MS"/>
          <w:sz w:val="18"/>
          <w:szCs w:val="18"/>
        </w:rPr>
        <w:t>ang tot de rechter geld</w:t>
      </w:r>
      <w:r w:rsidR="0076017D">
        <w:rPr>
          <w:rFonts w:ascii="Verdana" w:eastAsia="Arial Unicode MS" w:hAnsi="Verdana" w:cs="Arial Unicode MS"/>
          <w:sz w:val="18"/>
          <w:szCs w:val="18"/>
        </w:rPr>
        <w:t>t</w:t>
      </w:r>
      <w:r w:rsidR="00FB0CBA">
        <w:rPr>
          <w:rFonts w:ascii="Verdana" w:eastAsia="Arial Unicode MS" w:hAnsi="Verdana" w:cs="Arial Unicode MS"/>
          <w:sz w:val="18"/>
          <w:szCs w:val="18"/>
        </w:rPr>
        <w:t xml:space="preserve"> en </w:t>
      </w:r>
      <w:r w:rsidR="00B66786">
        <w:rPr>
          <w:rFonts w:ascii="Verdana" w:eastAsia="Arial Unicode MS" w:hAnsi="Verdana" w:cs="Arial Unicode MS"/>
          <w:sz w:val="18"/>
          <w:szCs w:val="18"/>
        </w:rPr>
        <w:t>blijven garanderen</w:t>
      </w:r>
      <w:r w:rsidR="00FB0CBA">
        <w:rPr>
          <w:rFonts w:ascii="Verdana" w:eastAsia="Arial Unicode MS" w:hAnsi="Verdana" w:cs="Arial Unicode MS"/>
          <w:sz w:val="18"/>
          <w:szCs w:val="18"/>
        </w:rPr>
        <w:t xml:space="preserve"> dat de rechterlijke procedure is omgeven met de waarborgen van een eerlijk proces</w:t>
      </w:r>
      <w:r w:rsidR="0076017D">
        <w:rPr>
          <w:rFonts w:ascii="Verdana" w:eastAsia="Arial Unicode MS" w:hAnsi="Verdana" w:cs="Arial Unicode MS"/>
          <w:sz w:val="18"/>
          <w:szCs w:val="18"/>
        </w:rPr>
        <w:t xml:space="preserve">. De wetgever blijft </w:t>
      </w:r>
      <w:r w:rsidR="000579D8">
        <w:rPr>
          <w:rFonts w:ascii="Verdana" w:eastAsia="Arial Unicode MS" w:hAnsi="Verdana" w:cs="Arial Unicode MS"/>
          <w:sz w:val="18"/>
          <w:szCs w:val="18"/>
        </w:rPr>
        <w:t xml:space="preserve">tot slot </w:t>
      </w:r>
      <w:r w:rsidR="00FC005E">
        <w:rPr>
          <w:rFonts w:ascii="Verdana" w:eastAsia="Arial Unicode MS" w:hAnsi="Verdana" w:cs="Arial Unicode MS"/>
          <w:sz w:val="18"/>
          <w:szCs w:val="18"/>
        </w:rPr>
        <w:t xml:space="preserve">ook </w:t>
      </w:r>
      <w:r w:rsidR="0076017D">
        <w:rPr>
          <w:rFonts w:ascii="Verdana" w:eastAsia="Arial Unicode MS" w:hAnsi="Verdana" w:cs="Arial Unicode MS"/>
          <w:sz w:val="18"/>
          <w:szCs w:val="18"/>
        </w:rPr>
        <w:t>gehouden de absolute en relatieve compet</w:t>
      </w:r>
      <w:r w:rsidR="00D443DD">
        <w:rPr>
          <w:rFonts w:ascii="Verdana" w:eastAsia="Arial Unicode MS" w:hAnsi="Verdana" w:cs="Arial Unicode MS"/>
          <w:sz w:val="18"/>
          <w:szCs w:val="18"/>
        </w:rPr>
        <w:t>entie van gerechten te bepalen.</w:t>
      </w:r>
    </w:p>
    <w:p w:rsidR="001F0059" w:rsidRDefault="001F0059" w:rsidP="001F0059">
      <w:pPr>
        <w:pStyle w:val="Geenafstand"/>
        <w:spacing w:line="280" w:lineRule="atLeast"/>
        <w:rPr>
          <w:rFonts w:ascii="Verdana" w:eastAsia="Arial Unicode MS" w:hAnsi="Verdana" w:cs="Arial Unicode MS"/>
          <w:sz w:val="18"/>
          <w:szCs w:val="18"/>
        </w:rPr>
      </w:pPr>
    </w:p>
    <w:p w:rsidR="002B53EC" w:rsidRDefault="002B53EC" w:rsidP="001F0059">
      <w:pPr>
        <w:pStyle w:val="Geenafstand"/>
        <w:spacing w:line="280" w:lineRule="atLeast"/>
        <w:rPr>
          <w:rFonts w:ascii="Verdana" w:eastAsia="Arial Unicode MS" w:hAnsi="Verdana" w:cs="Arial Unicode MS"/>
          <w:sz w:val="18"/>
          <w:szCs w:val="18"/>
        </w:rPr>
      </w:pPr>
      <w:r>
        <w:rPr>
          <w:rFonts w:ascii="Verdana" w:eastAsia="Arial Unicode MS" w:hAnsi="Verdana" w:cs="Arial Unicode MS"/>
          <w:sz w:val="18"/>
          <w:szCs w:val="18"/>
        </w:rPr>
        <w:t xml:space="preserve">4.3 </w:t>
      </w:r>
      <w:r>
        <w:rPr>
          <w:rFonts w:ascii="Verdana" w:eastAsia="Arial Unicode MS" w:hAnsi="Verdana" w:cs="Arial Unicode MS"/>
          <w:sz w:val="18"/>
          <w:szCs w:val="18"/>
        </w:rPr>
        <w:tab/>
        <w:t>Eerlijk proces tijdens een uitzonderingstoestand (artikel 103 Grondwet)</w:t>
      </w:r>
    </w:p>
    <w:p w:rsidR="002B53EC" w:rsidRDefault="002B53EC" w:rsidP="001F0059">
      <w:pPr>
        <w:pStyle w:val="Geenafstand"/>
        <w:spacing w:line="280" w:lineRule="atLeast"/>
        <w:rPr>
          <w:rFonts w:ascii="Verdana" w:eastAsia="Arial Unicode MS" w:hAnsi="Verdana" w:cs="Arial Unicode MS"/>
          <w:sz w:val="18"/>
          <w:szCs w:val="18"/>
        </w:rPr>
      </w:pPr>
    </w:p>
    <w:p w:rsidR="002B53EC" w:rsidRPr="002B53EC" w:rsidRDefault="0089770E" w:rsidP="002B53EC">
      <w:pPr>
        <w:pStyle w:val="Geenafstand"/>
        <w:spacing w:line="280" w:lineRule="atLeast"/>
        <w:rPr>
          <w:rFonts w:ascii="Verdana" w:eastAsia="Arial Unicode MS" w:hAnsi="Verdana" w:cs="Arial Unicode MS"/>
          <w:sz w:val="18"/>
          <w:szCs w:val="18"/>
        </w:rPr>
      </w:pPr>
      <w:r>
        <w:rPr>
          <w:rFonts w:ascii="Verdana" w:eastAsia="Arial Unicode MS" w:hAnsi="Verdana" w:cs="Arial Unicode MS"/>
          <w:sz w:val="18"/>
          <w:szCs w:val="18"/>
        </w:rPr>
        <w:t xml:space="preserve">In reactie op het advies van de Afdeling lichten wij in deze paragraaf toe hoe de voorgestelde bepaling zich </w:t>
      </w:r>
      <w:r w:rsidR="00BB2B5D">
        <w:rPr>
          <w:rFonts w:ascii="Verdana" w:eastAsia="Arial Unicode MS" w:hAnsi="Verdana" w:cs="Arial Unicode MS"/>
          <w:sz w:val="18"/>
          <w:szCs w:val="18"/>
        </w:rPr>
        <w:t xml:space="preserve">naar ons inzicht </w:t>
      </w:r>
      <w:r>
        <w:rPr>
          <w:rFonts w:ascii="Verdana" w:eastAsia="Arial Unicode MS" w:hAnsi="Verdana" w:cs="Arial Unicode MS"/>
          <w:sz w:val="18"/>
          <w:szCs w:val="18"/>
        </w:rPr>
        <w:t>verhoudt tot</w:t>
      </w:r>
      <w:r w:rsidR="002B53EC" w:rsidRPr="002B53EC">
        <w:rPr>
          <w:rFonts w:ascii="Verdana" w:eastAsia="Arial Unicode MS" w:hAnsi="Verdana" w:cs="Arial Unicode MS"/>
          <w:sz w:val="18"/>
          <w:szCs w:val="18"/>
        </w:rPr>
        <w:t xml:space="preserve"> artikel 103 Grondwet</w:t>
      </w:r>
      <w:r>
        <w:rPr>
          <w:rFonts w:ascii="Verdana" w:eastAsia="Arial Unicode MS" w:hAnsi="Verdana" w:cs="Arial Unicode MS"/>
          <w:sz w:val="18"/>
          <w:szCs w:val="18"/>
        </w:rPr>
        <w:t>.</w:t>
      </w:r>
      <w:r w:rsidR="002B53EC">
        <w:rPr>
          <w:rFonts w:ascii="Verdana" w:eastAsia="Arial Unicode MS" w:hAnsi="Verdana" w:cs="Arial Unicode MS"/>
          <w:sz w:val="18"/>
          <w:szCs w:val="18"/>
        </w:rPr>
        <w:t xml:space="preserve"> </w:t>
      </w:r>
      <w:r w:rsidR="004A2F3C">
        <w:rPr>
          <w:rFonts w:ascii="Verdana" w:eastAsia="Arial Unicode MS" w:hAnsi="Verdana" w:cs="Arial Unicode MS"/>
          <w:sz w:val="18"/>
          <w:szCs w:val="18"/>
        </w:rPr>
        <w:t>Artikel 103, tweede lid,</w:t>
      </w:r>
      <w:r w:rsidR="002B53EC" w:rsidRPr="002B53EC">
        <w:rPr>
          <w:rFonts w:ascii="Verdana" w:eastAsia="Arial Unicode MS" w:hAnsi="Verdana" w:cs="Arial Unicode MS"/>
          <w:sz w:val="18"/>
          <w:szCs w:val="18"/>
        </w:rPr>
        <w:t xml:space="preserve"> Grondwet</w:t>
      </w:r>
      <w:r w:rsidR="004A2F3C">
        <w:rPr>
          <w:rFonts w:ascii="Verdana" w:eastAsia="Arial Unicode MS" w:hAnsi="Verdana" w:cs="Arial Unicode MS"/>
          <w:sz w:val="18"/>
          <w:szCs w:val="18"/>
        </w:rPr>
        <w:t xml:space="preserve"> bepaalt dat </w:t>
      </w:r>
      <w:r w:rsidR="002B53EC" w:rsidRPr="002B53EC">
        <w:rPr>
          <w:rFonts w:ascii="Verdana" w:eastAsia="Arial Unicode MS" w:hAnsi="Verdana" w:cs="Arial Unicode MS"/>
          <w:sz w:val="18"/>
          <w:szCs w:val="18"/>
        </w:rPr>
        <w:t xml:space="preserve">in een </w:t>
      </w:r>
      <w:r w:rsidR="00251FC1">
        <w:rPr>
          <w:rFonts w:ascii="Verdana" w:eastAsia="Arial Unicode MS" w:hAnsi="Verdana" w:cs="Arial Unicode MS"/>
          <w:sz w:val="18"/>
          <w:szCs w:val="18"/>
        </w:rPr>
        <w:t xml:space="preserve">algemene </w:t>
      </w:r>
      <w:r w:rsidR="002B53EC" w:rsidRPr="002B53EC">
        <w:rPr>
          <w:rFonts w:ascii="Verdana" w:eastAsia="Arial Unicode MS" w:hAnsi="Verdana" w:cs="Arial Unicode MS"/>
          <w:sz w:val="18"/>
          <w:szCs w:val="18"/>
        </w:rPr>
        <w:t>uitzonderingstoestand</w:t>
      </w:r>
      <w:r w:rsidR="004A2F3C">
        <w:rPr>
          <w:rFonts w:ascii="Verdana" w:eastAsia="Arial Unicode MS" w:hAnsi="Verdana" w:cs="Arial Unicode MS"/>
          <w:sz w:val="18"/>
          <w:szCs w:val="18"/>
        </w:rPr>
        <w:t xml:space="preserve"> bij wet onder meer kan worden afgeweken van</w:t>
      </w:r>
      <w:r w:rsidR="002B53EC" w:rsidRPr="002B53EC">
        <w:rPr>
          <w:rFonts w:ascii="Verdana" w:eastAsia="Arial Unicode MS" w:hAnsi="Verdana" w:cs="Arial Unicode MS"/>
          <w:sz w:val="18"/>
          <w:szCs w:val="18"/>
        </w:rPr>
        <w:t xml:space="preserve"> artikel 113, eerste en derde lid van de Grondwet, dat de rechterlijke macht exclusief belast met de berechting van strafbare feiten. De achtergrond van die afwijkingsmogelijkheid is de mogelijkheid om de destijds bestaande mobiele krijgsraden bij land- en luchtmacht alsmede de niet-permanente krijgsraden van de zeemacht met rechtspraak te belasten, ook al behoren zij n</w:t>
      </w:r>
      <w:r>
        <w:rPr>
          <w:rFonts w:ascii="Verdana" w:eastAsia="Arial Unicode MS" w:hAnsi="Verdana" w:cs="Arial Unicode MS"/>
          <w:sz w:val="18"/>
          <w:szCs w:val="18"/>
        </w:rPr>
        <w:t>iet tot de rechterlijke macht.</w:t>
      </w:r>
      <w:r w:rsidR="00251FC1" w:rsidRPr="00251FC1">
        <w:rPr>
          <w:rStyle w:val="Voetnootmarkering"/>
          <w:rFonts w:ascii="Verdana" w:hAnsi="Verdana"/>
          <w:sz w:val="18"/>
          <w:szCs w:val="18"/>
        </w:rPr>
        <w:footnoteReference w:id="33"/>
      </w:r>
      <w:r w:rsidR="00251FC1" w:rsidRPr="00251FC1">
        <w:rPr>
          <w:rFonts w:ascii="Verdana" w:eastAsia="Arial Unicode MS" w:hAnsi="Verdana" w:cs="Arial Unicode MS"/>
          <w:sz w:val="18"/>
          <w:szCs w:val="18"/>
        </w:rPr>
        <w:t xml:space="preserve"> </w:t>
      </w:r>
      <w:r w:rsidR="002B53EC" w:rsidRPr="002B53EC">
        <w:rPr>
          <w:rFonts w:ascii="Verdana" w:eastAsia="Arial Unicode MS" w:hAnsi="Verdana" w:cs="Arial Unicode MS"/>
          <w:sz w:val="18"/>
          <w:szCs w:val="18"/>
        </w:rPr>
        <w:t>De huidige mobiele rechtbanken die kunnen worden ingesteld op grond van art. 10 Wet militaire strafrechtspraak behoren evenmin tot de rechterlijke macht. Artikel 17 Noodwet rechtspleging maakt het voorts mogelijk dat mobiele rechtbanken bevoegd worden om strafbare feiten door burgers begaan te berechten tijdens een algemene noodtoestand. Zoals de Afdeling opmerkt is het huidige artikel 17 zodanig geformuleerd (“de rechter die de wet hem toekent”) dat ook de militaire rechter die krachtens noodwetgevi</w:t>
      </w:r>
      <w:r w:rsidR="004A2F3C">
        <w:rPr>
          <w:rFonts w:ascii="Verdana" w:eastAsia="Arial Unicode MS" w:hAnsi="Verdana" w:cs="Arial Unicode MS"/>
          <w:sz w:val="18"/>
          <w:szCs w:val="18"/>
        </w:rPr>
        <w:t>ng bevoegd is, de aan de burger</w:t>
      </w:r>
      <w:r w:rsidR="00251FC1">
        <w:rPr>
          <w:rFonts w:ascii="Verdana" w:eastAsia="Arial Unicode MS" w:hAnsi="Verdana" w:cs="Arial Unicode MS"/>
          <w:sz w:val="18"/>
          <w:szCs w:val="18"/>
        </w:rPr>
        <w:t xml:space="preserve"> </w:t>
      </w:r>
      <w:r w:rsidR="002B53EC" w:rsidRPr="002B53EC">
        <w:rPr>
          <w:rFonts w:ascii="Verdana" w:eastAsia="Arial Unicode MS" w:hAnsi="Verdana" w:cs="Arial Unicode MS"/>
          <w:sz w:val="18"/>
          <w:szCs w:val="18"/>
        </w:rPr>
        <w:t>toegekende rechter kan zijn. Evenzo zijn deze mobiele militaire rechtbanken te beschouwen als een onafhankelijk en onpartijdige rechter die een eerlijk proces waarborgen in de zin van de voorgestelde nieuwe grondwetsbepaling. Ook daarin duidt het begrip rechter niet uitsluitend op gerechten die tot de rechterlijke macht</w:t>
      </w:r>
      <w:r w:rsidR="00462A1C">
        <w:rPr>
          <w:rFonts w:ascii="Verdana" w:eastAsia="Arial Unicode MS" w:hAnsi="Verdana" w:cs="Arial Unicode MS"/>
          <w:sz w:val="18"/>
          <w:szCs w:val="18"/>
        </w:rPr>
        <w:t xml:space="preserve"> behoren. D</w:t>
      </w:r>
      <w:r w:rsidR="002B53EC" w:rsidRPr="002B53EC">
        <w:rPr>
          <w:rFonts w:ascii="Verdana" w:eastAsia="Arial Unicode MS" w:hAnsi="Verdana" w:cs="Arial Unicode MS"/>
          <w:sz w:val="18"/>
          <w:szCs w:val="18"/>
        </w:rPr>
        <w:t xml:space="preserve">e term rechter </w:t>
      </w:r>
      <w:r w:rsidR="00462A1C">
        <w:rPr>
          <w:rFonts w:ascii="Verdana" w:eastAsia="Arial Unicode MS" w:hAnsi="Verdana" w:cs="Arial Unicode MS"/>
          <w:sz w:val="18"/>
          <w:szCs w:val="18"/>
        </w:rPr>
        <w:t xml:space="preserve">omvat </w:t>
      </w:r>
      <w:r w:rsidR="002B53EC" w:rsidRPr="002B53EC">
        <w:rPr>
          <w:rFonts w:ascii="Verdana" w:eastAsia="Arial Unicode MS" w:hAnsi="Verdana" w:cs="Arial Unicode MS"/>
          <w:sz w:val="18"/>
          <w:szCs w:val="18"/>
        </w:rPr>
        <w:t>alle rechterlijke colleges die van overheidswege zijn ingesteld</w:t>
      </w:r>
      <w:r w:rsidR="00251FC1">
        <w:rPr>
          <w:rFonts w:ascii="Verdana" w:eastAsia="Arial Unicode MS" w:hAnsi="Verdana" w:cs="Arial Unicode MS"/>
          <w:sz w:val="18"/>
          <w:szCs w:val="18"/>
        </w:rPr>
        <w:t xml:space="preserve"> (zie ook de toelichting op artikel II</w:t>
      </w:r>
      <w:r w:rsidR="00462A1C">
        <w:rPr>
          <w:rFonts w:ascii="Verdana" w:eastAsia="Arial Unicode MS" w:hAnsi="Verdana" w:cs="Arial Unicode MS"/>
          <w:sz w:val="18"/>
          <w:szCs w:val="18"/>
        </w:rPr>
        <w:t>)</w:t>
      </w:r>
      <w:r w:rsidR="002B53EC" w:rsidRPr="002B53EC">
        <w:rPr>
          <w:rFonts w:ascii="Verdana" w:eastAsia="Arial Unicode MS" w:hAnsi="Verdana" w:cs="Arial Unicode MS"/>
          <w:sz w:val="18"/>
          <w:szCs w:val="18"/>
        </w:rPr>
        <w:t>. Artikel 17 is derhalve ruimer geformuleerd dan artikel 113, door daaronder niet alleen de rechterlijke macht te scharen, maar ook andere rechters die in Nederland van overheidsweg</w:t>
      </w:r>
      <w:r w:rsidR="00251FC1">
        <w:rPr>
          <w:rFonts w:ascii="Verdana" w:eastAsia="Arial Unicode MS" w:hAnsi="Verdana" w:cs="Arial Unicode MS"/>
          <w:sz w:val="18"/>
          <w:szCs w:val="18"/>
        </w:rPr>
        <w:t>e fungeren. Gelet hierop achten wij</w:t>
      </w:r>
      <w:r w:rsidR="002B53EC" w:rsidRPr="002B53EC">
        <w:rPr>
          <w:rFonts w:ascii="Verdana" w:eastAsia="Arial Unicode MS" w:hAnsi="Verdana" w:cs="Arial Unicode MS"/>
          <w:sz w:val="18"/>
          <w:szCs w:val="18"/>
        </w:rPr>
        <w:t xml:space="preserve"> het niet noodzakelijk om het voorgestelde artikel 17, eerste lid, Grondwet toe te voegen aan de in artikel 103 Grondwet genoemde bepalingen waarvan kan worden afgeweken in een uitzonderingstoestand. Ook in een uitzonderingstoestand bestaat het recht op een eerlijk proces voor </w:t>
      </w:r>
      <w:r w:rsidR="002B53EC" w:rsidRPr="00462A1C">
        <w:rPr>
          <w:rFonts w:ascii="Verdana" w:eastAsia="Arial Unicode MS" w:hAnsi="Verdana" w:cs="Arial Unicode MS"/>
          <w:i/>
          <w:sz w:val="18"/>
          <w:szCs w:val="18"/>
        </w:rPr>
        <w:t>een</w:t>
      </w:r>
      <w:r w:rsidR="002B53EC" w:rsidRPr="002B53EC">
        <w:rPr>
          <w:rFonts w:ascii="Verdana" w:eastAsia="Arial Unicode MS" w:hAnsi="Verdana" w:cs="Arial Unicode MS"/>
          <w:sz w:val="18"/>
          <w:szCs w:val="18"/>
        </w:rPr>
        <w:t xml:space="preserve"> rechter.</w:t>
      </w:r>
    </w:p>
    <w:p w:rsidR="002B53EC" w:rsidRPr="002B53EC" w:rsidRDefault="002B53EC" w:rsidP="002B53EC">
      <w:pPr>
        <w:pStyle w:val="Geenafstand"/>
        <w:spacing w:line="280" w:lineRule="atLeast"/>
        <w:rPr>
          <w:rFonts w:ascii="Verdana" w:eastAsia="Arial Unicode MS" w:hAnsi="Verdana" w:cs="Arial Unicode MS"/>
          <w:sz w:val="18"/>
          <w:szCs w:val="18"/>
        </w:rPr>
      </w:pPr>
    </w:p>
    <w:p w:rsidR="002B53EC" w:rsidRDefault="002B53EC" w:rsidP="002B53EC">
      <w:pPr>
        <w:pStyle w:val="Geenafstand"/>
        <w:spacing w:line="280" w:lineRule="atLeast"/>
        <w:rPr>
          <w:rFonts w:ascii="Verdana" w:eastAsia="Arial Unicode MS" w:hAnsi="Verdana" w:cs="Arial Unicode MS"/>
          <w:sz w:val="18"/>
          <w:szCs w:val="18"/>
        </w:rPr>
      </w:pPr>
      <w:r w:rsidRPr="002B53EC">
        <w:rPr>
          <w:rFonts w:ascii="Verdana" w:eastAsia="Arial Unicode MS" w:hAnsi="Verdana" w:cs="Arial Unicode MS"/>
          <w:sz w:val="18"/>
          <w:szCs w:val="18"/>
        </w:rPr>
        <w:t>Zoals de Afdeling aangeeft kan onder voorwaarden wel van artikel 6 EVRM worden afgeweken in een door de verdragsstaat uitgeroepen noodtoestand op grond</w:t>
      </w:r>
      <w:r w:rsidR="004A2F3C">
        <w:rPr>
          <w:rFonts w:ascii="Verdana" w:eastAsia="Arial Unicode MS" w:hAnsi="Verdana" w:cs="Arial Unicode MS"/>
          <w:sz w:val="18"/>
          <w:szCs w:val="18"/>
        </w:rPr>
        <w:t xml:space="preserve"> van artikel 15 EVRM. </w:t>
      </w:r>
      <w:r w:rsidRPr="002B53EC">
        <w:rPr>
          <w:rFonts w:ascii="Verdana" w:eastAsia="Arial Unicode MS" w:hAnsi="Verdana" w:cs="Arial Unicode MS"/>
          <w:sz w:val="18"/>
          <w:szCs w:val="18"/>
        </w:rPr>
        <w:t>Niettemin gel</w:t>
      </w:r>
      <w:r w:rsidR="004A2F3C">
        <w:rPr>
          <w:rFonts w:ascii="Verdana" w:eastAsia="Arial Unicode MS" w:hAnsi="Verdana" w:cs="Arial Unicode MS"/>
          <w:sz w:val="18"/>
          <w:szCs w:val="18"/>
        </w:rPr>
        <w:t xml:space="preserve">dt ook dat voor </w:t>
      </w:r>
      <w:r w:rsidRPr="002B53EC">
        <w:rPr>
          <w:rFonts w:ascii="Verdana" w:eastAsia="Arial Unicode MS" w:hAnsi="Verdana" w:cs="Arial Unicode MS"/>
          <w:sz w:val="18"/>
          <w:szCs w:val="18"/>
        </w:rPr>
        <w:t xml:space="preserve">opschortbare rechten, zoals het recht op vrijheid en veiligheid (artikel 5 EVRM) en het recht op een eerlijk proces (artikel 6 EVRM), noodmaatregelen alleen zijn toegestaan indien deze strikt noodzakelijk zijn. Of dit het geval is beoordeelt het EHRM aan de hand van de ernst van de noodsituatie, de aard van de opgeschorte rechten en de inhoud en duur van de getroffen maatregelen, alsmede eventuele waarborgen tegen misbruik daarvan. Uit de </w:t>
      </w:r>
      <w:r w:rsidR="00251FC1">
        <w:rPr>
          <w:rFonts w:ascii="Verdana" w:eastAsia="Arial Unicode MS" w:hAnsi="Verdana" w:cs="Arial Unicode MS"/>
          <w:sz w:val="18"/>
          <w:szCs w:val="18"/>
        </w:rPr>
        <w:t>jurisprudentie over artikel 15 EVRM, die uitsluitend</w:t>
      </w:r>
      <w:r w:rsidRPr="002B53EC">
        <w:rPr>
          <w:rFonts w:ascii="Verdana" w:eastAsia="Arial Unicode MS" w:hAnsi="Verdana" w:cs="Arial Unicode MS"/>
          <w:sz w:val="18"/>
          <w:szCs w:val="18"/>
        </w:rPr>
        <w:t xml:space="preserve"> betrekking heeft op artikel 5 EVRM, blijkt dat ook als een verdragsstaat de verplichtingen onder artikel 5, derde lid, EVRM heeft opgeschort de periode van detentie niet te lang mag duren voordat iemand wordt voorgeleid aan een rechterlijke instantie.</w:t>
      </w:r>
      <w:r w:rsidR="00251FC1" w:rsidRPr="00251FC1">
        <w:rPr>
          <w:rStyle w:val="Voetnootmarkering"/>
          <w:rFonts w:ascii="Verdana" w:hAnsi="Verdana"/>
          <w:sz w:val="18"/>
          <w:szCs w:val="18"/>
        </w:rPr>
        <w:footnoteReference w:id="34"/>
      </w:r>
      <w:r w:rsidRPr="00251FC1">
        <w:rPr>
          <w:rFonts w:ascii="Verdana" w:eastAsia="Arial Unicode MS" w:hAnsi="Verdana" w:cs="Arial Unicode MS"/>
          <w:sz w:val="18"/>
          <w:szCs w:val="18"/>
        </w:rPr>
        <w:t xml:space="preserve"> </w:t>
      </w:r>
      <w:r w:rsidRPr="002B53EC">
        <w:rPr>
          <w:rFonts w:ascii="Verdana" w:eastAsia="Arial Unicode MS" w:hAnsi="Verdana" w:cs="Arial Unicode MS"/>
          <w:sz w:val="18"/>
          <w:szCs w:val="18"/>
        </w:rPr>
        <w:t xml:space="preserve">Het recht op een eerlijk proces, dat fungeert als schakelbepaling in het waarborgen van andere </w:t>
      </w:r>
      <w:r w:rsidRPr="002B53EC">
        <w:rPr>
          <w:rFonts w:ascii="Verdana" w:eastAsia="Arial Unicode MS" w:hAnsi="Verdana" w:cs="Arial Unicode MS"/>
          <w:sz w:val="18"/>
          <w:szCs w:val="18"/>
        </w:rPr>
        <w:lastRenderedPageBreak/>
        <w:t>fundamentele rechten, kan ook in een noodtoestand een belangrijke functie vervullen om ervoor te zorgen dat deze rechten niet verder worden ingeperkt dan strikt noodzakelijk is.</w:t>
      </w:r>
    </w:p>
    <w:p w:rsidR="002B53EC" w:rsidRDefault="002B53EC" w:rsidP="001F0059">
      <w:pPr>
        <w:pStyle w:val="Geenafstand"/>
        <w:spacing w:line="280" w:lineRule="atLeast"/>
        <w:rPr>
          <w:rFonts w:ascii="Verdana" w:eastAsia="Arial Unicode MS" w:hAnsi="Verdana" w:cs="Arial Unicode MS"/>
          <w:sz w:val="18"/>
          <w:szCs w:val="18"/>
        </w:rPr>
      </w:pPr>
    </w:p>
    <w:p w:rsidR="00B73314" w:rsidRDefault="00B73314" w:rsidP="001F0059">
      <w:pPr>
        <w:pStyle w:val="Geenafstand"/>
        <w:spacing w:line="280" w:lineRule="atLeast"/>
        <w:rPr>
          <w:rFonts w:ascii="Verdana" w:eastAsia="Arial Unicode MS" w:hAnsi="Verdana" w:cs="Arial Unicode MS"/>
          <w:sz w:val="18"/>
          <w:szCs w:val="18"/>
        </w:rPr>
      </w:pPr>
      <w:r>
        <w:rPr>
          <w:rFonts w:ascii="Verdana" w:eastAsia="Arial Unicode MS" w:hAnsi="Verdana" w:cs="Arial Unicode MS"/>
          <w:sz w:val="18"/>
          <w:szCs w:val="18"/>
        </w:rPr>
        <w:t>4.</w:t>
      </w:r>
      <w:r w:rsidR="002B53EC">
        <w:rPr>
          <w:rFonts w:ascii="Verdana" w:eastAsia="Arial Unicode MS" w:hAnsi="Verdana" w:cs="Arial Unicode MS"/>
          <w:sz w:val="18"/>
          <w:szCs w:val="18"/>
        </w:rPr>
        <w:t>4</w:t>
      </w:r>
      <w:r>
        <w:rPr>
          <w:rFonts w:ascii="Verdana" w:eastAsia="Arial Unicode MS" w:hAnsi="Verdana" w:cs="Arial Unicode MS"/>
          <w:sz w:val="18"/>
          <w:szCs w:val="18"/>
        </w:rPr>
        <w:tab/>
        <w:t>Subjecten van het</w:t>
      </w:r>
      <w:r w:rsidR="00AA52BA">
        <w:rPr>
          <w:rFonts w:ascii="Verdana" w:eastAsia="Arial Unicode MS" w:hAnsi="Verdana" w:cs="Arial Unicode MS"/>
          <w:sz w:val="18"/>
          <w:szCs w:val="18"/>
        </w:rPr>
        <w:t xml:space="preserve"> </w:t>
      </w:r>
      <w:r>
        <w:rPr>
          <w:rFonts w:ascii="Verdana" w:eastAsia="Arial Unicode MS" w:hAnsi="Verdana" w:cs="Arial Unicode MS"/>
          <w:sz w:val="18"/>
          <w:szCs w:val="18"/>
        </w:rPr>
        <w:t>recht op een eerlijk proces</w:t>
      </w:r>
    </w:p>
    <w:p w:rsidR="00B73314" w:rsidRDefault="00B73314" w:rsidP="001F0059">
      <w:pPr>
        <w:pStyle w:val="Geenafstand"/>
        <w:spacing w:line="280" w:lineRule="atLeast"/>
        <w:rPr>
          <w:rFonts w:ascii="Verdana" w:eastAsia="Arial Unicode MS" w:hAnsi="Verdana" w:cs="Arial Unicode MS"/>
          <w:sz w:val="18"/>
          <w:szCs w:val="18"/>
        </w:rPr>
      </w:pPr>
    </w:p>
    <w:p w:rsidR="009F7CBA" w:rsidRDefault="00B73314" w:rsidP="001F0059">
      <w:pPr>
        <w:pStyle w:val="Geenafstand"/>
        <w:spacing w:line="280" w:lineRule="atLeast"/>
        <w:rPr>
          <w:rFonts w:ascii="Verdana" w:eastAsia="Arial Unicode MS" w:hAnsi="Verdana" w:cs="Arial Unicode MS"/>
          <w:sz w:val="18"/>
          <w:szCs w:val="18"/>
        </w:rPr>
      </w:pPr>
      <w:r>
        <w:rPr>
          <w:rFonts w:ascii="Verdana" w:eastAsia="Arial Unicode MS" w:hAnsi="Verdana" w:cs="Arial Unicode MS"/>
          <w:sz w:val="18"/>
          <w:szCs w:val="18"/>
        </w:rPr>
        <w:t xml:space="preserve">Het voorgestelde artikel 17, eerste lid, Grondwet geeft aan ‘ieder’ het recht op een eerlijk proces. De </w:t>
      </w:r>
      <w:proofErr w:type="spellStart"/>
      <w:r w:rsidR="00AA7BCD">
        <w:rPr>
          <w:rFonts w:ascii="Verdana" w:eastAsia="Arial Unicode MS" w:hAnsi="Verdana" w:cs="Arial Unicode MS"/>
          <w:sz w:val="18"/>
          <w:szCs w:val="18"/>
        </w:rPr>
        <w:t>ABRvS</w:t>
      </w:r>
      <w:proofErr w:type="spellEnd"/>
      <w:r>
        <w:rPr>
          <w:rFonts w:ascii="Verdana" w:eastAsia="Arial Unicode MS" w:hAnsi="Verdana" w:cs="Arial Unicode MS"/>
          <w:sz w:val="18"/>
          <w:szCs w:val="18"/>
        </w:rPr>
        <w:t xml:space="preserve"> heeft geadviseerd om nader in te gaan op de vraag aan wie het recht op toegang tot de rechter toekomt. In het bijzonder werpt zij de vraag op of ook bestuursorganen en/of openbare lichamen hieraan een recht kunnen ontlenen. </w:t>
      </w:r>
      <w:r w:rsidR="006E00AC">
        <w:rPr>
          <w:rFonts w:ascii="Verdana" w:eastAsia="Arial Unicode MS" w:hAnsi="Verdana" w:cs="Arial Unicode MS"/>
          <w:sz w:val="18"/>
          <w:szCs w:val="18"/>
        </w:rPr>
        <w:t>Volgens d</w:t>
      </w:r>
      <w:r w:rsidR="008F06B4">
        <w:rPr>
          <w:rFonts w:ascii="Verdana" w:eastAsia="Arial Unicode MS" w:hAnsi="Verdana" w:cs="Arial Unicode MS"/>
          <w:sz w:val="18"/>
          <w:szCs w:val="18"/>
        </w:rPr>
        <w:t xml:space="preserve">e grondwetgever van 1983 </w:t>
      </w:r>
      <w:r w:rsidR="006E00AC">
        <w:rPr>
          <w:rFonts w:ascii="Verdana" w:eastAsia="Arial Unicode MS" w:hAnsi="Verdana" w:cs="Arial Unicode MS"/>
          <w:sz w:val="18"/>
          <w:szCs w:val="18"/>
        </w:rPr>
        <w:t>moet</w:t>
      </w:r>
      <w:r w:rsidR="00AA52BA">
        <w:rPr>
          <w:rFonts w:ascii="Verdana" w:eastAsia="Arial Unicode MS" w:hAnsi="Verdana" w:cs="Arial Unicode MS"/>
          <w:sz w:val="18"/>
          <w:szCs w:val="18"/>
        </w:rPr>
        <w:t xml:space="preserve"> primair </w:t>
      </w:r>
      <w:r w:rsidR="008F06B4">
        <w:rPr>
          <w:rFonts w:ascii="Verdana" w:eastAsia="Arial Unicode MS" w:hAnsi="Verdana" w:cs="Arial Unicode MS"/>
          <w:sz w:val="18"/>
          <w:szCs w:val="18"/>
        </w:rPr>
        <w:t>worden gedacht aan natuurlijke personen</w:t>
      </w:r>
      <w:r w:rsidR="006E00AC">
        <w:rPr>
          <w:rFonts w:ascii="Verdana" w:eastAsia="Arial Unicode MS" w:hAnsi="Verdana" w:cs="Arial Unicode MS"/>
          <w:sz w:val="18"/>
          <w:szCs w:val="18"/>
        </w:rPr>
        <w:t xml:space="preserve"> als drager van grondrechten</w:t>
      </w:r>
      <w:r w:rsidR="008F06B4">
        <w:rPr>
          <w:rFonts w:ascii="Verdana" w:eastAsia="Arial Unicode MS" w:hAnsi="Verdana" w:cs="Arial Unicode MS"/>
          <w:sz w:val="18"/>
          <w:szCs w:val="18"/>
        </w:rPr>
        <w:t xml:space="preserve">, maar </w:t>
      </w:r>
      <w:r w:rsidR="00AA52BA">
        <w:rPr>
          <w:rFonts w:ascii="Verdana" w:eastAsia="Arial Unicode MS" w:hAnsi="Verdana" w:cs="Arial Unicode MS"/>
          <w:sz w:val="18"/>
          <w:szCs w:val="18"/>
        </w:rPr>
        <w:t xml:space="preserve">kunnen </w:t>
      </w:r>
      <w:r w:rsidR="008F06B4">
        <w:rPr>
          <w:rFonts w:ascii="Verdana" w:eastAsia="Arial Unicode MS" w:hAnsi="Verdana" w:cs="Arial Unicode MS"/>
          <w:sz w:val="18"/>
          <w:szCs w:val="18"/>
        </w:rPr>
        <w:t>ook rechtspersonen en andere groepen en organisati</w:t>
      </w:r>
      <w:r w:rsidR="00AA52BA">
        <w:rPr>
          <w:rFonts w:ascii="Verdana" w:eastAsia="Arial Unicode MS" w:hAnsi="Verdana" w:cs="Arial Unicode MS"/>
          <w:sz w:val="18"/>
          <w:szCs w:val="18"/>
        </w:rPr>
        <w:t>es zonder rechtspersoonlijkheid</w:t>
      </w:r>
      <w:r w:rsidR="006E00AC">
        <w:rPr>
          <w:rFonts w:ascii="Verdana" w:eastAsia="Arial Unicode MS" w:hAnsi="Verdana" w:cs="Arial Unicode MS"/>
          <w:sz w:val="18"/>
          <w:szCs w:val="18"/>
        </w:rPr>
        <w:t xml:space="preserve"> </w:t>
      </w:r>
      <w:r w:rsidR="008F06B4">
        <w:rPr>
          <w:rFonts w:ascii="Verdana" w:eastAsia="Arial Unicode MS" w:hAnsi="Verdana" w:cs="Arial Unicode MS"/>
          <w:sz w:val="18"/>
          <w:szCs w:val="18"/>
        </w:rPr>
        <w:t xml:space="preserve">rechten en aanspraken </w:t>
      </w:r>
      <w:r w:rsidR="006E00AC">
        <w:rPr>
          <w:rFonts w:ascii="Verdana" w:eastAsia="Arial Unicode MS" w:hAnsi="Verdana" w:cs="Arial Unicode MS"/>
          <w:sz w:val="18"/>
          <w:szCs w:val="18"/>
        </w:rPr>
        <w:t>o</w:t>
      </w:r>
      <w:r w:rsidR="008F06B4">
        <w:rPr>
          <w:rFonts w:ascii="Verdana" w:eastAsia="Arial Unicode MS" w:hAnsi="Verdana" w:cs="Arial Unicode MS"/>
          <w:sz w:val="18"/>
          <w:szCs w:val="18"/>
        </w:rPr>
        <w:t>ntlenen aan grondrechten</w:t>
      </w:r>
      <w:r w:rsidR="006E00AC">
        <w:rPr>
          <w:rFonts w:ascii="Verdana" w:eastAsia="Arial Unicode MS" w:hAnsi="Verdana" w:cs="Arial Unicode MS"/>
          <w:sz w:val="18"/>
          <w:szCs w:val="18"/>
        </w:rPr>
        <w:t>,</w:t>
      </w:r>
      <w:r w:rsidR="008F06B4">
        <w:rPr>
          <w:rFonts w:ascii="Verdana" w:eastAsia="Arial Unicode MS" w:hAnsi="Verdana" w:cs="Arial Unicode MS"/>
          <w:sz w:val="18"/>
          <w:szCs w:val="18"/>
        </w:rPr>
        <w:t xml:space="preserve"> voor zover dat naar de aard van het betreffende grondrecht zin kan hebben.</w:t>
      </w:r>
      <w:r w:rsidR="008F06B4">
        <w:rPr>
          <w:rStyle w:val="Voetnootmarkering"/>
          <w:rFonts w:ascii="Verdana" w:eastAsia="Arial Unicode MS" w:hAnsi="Verdana" w:cs="Arial Unicode MS"/>
          <w:sz w:val="18"/>
          <w:szCs w:val="18"/>
        </w:rPr>
        <w:footnoteReference w:id="35"/>
      </w:r>
      <w:r w:rsidR="008F06B4">
        <w:rPr>
          <w:rFonts w:ascii="Verdana" w:eastAsia="Arial Unicode MS" w:hAnsi="Verdana" w:cs="Arial Unicode MS"/>
          <w:sz w:val="18"/>
          <w:szCs w:val="18"/>
        </w:rPr>
        <w:t xml:space="preserve"> </w:t>
      </w:r>
      <w:r w:rsidR="006E00AC">
        <w:rPr>
          <w:rFonts w:ascii="Verdana" w:eastAsia="Arial Unicode MS" w:hAnsi="Verdana" w:cs="Arial Unicode MS"/>
          <w:sz w:val="18"/>
          <w:szCs w:val="18"/>
        </w:rPr>
        <w:t xml:space="preserve">Dat </w:t>
      </w:r>
      <w:r w:rsidR="00AA52BA">
        <w:rPr>
          <w:rFonts w:ascii="Verdana" w:eastAsia="Arial Unicode MS" w:hAnsi="Verdana" w:cs="Arial Unicode MS"/>
          <w:sz w:val="18"/>
          <w:szCs w:val="18"/>
        </w:rPr>
        <w:t xml:space="preserve">laatste </w:t>
      </w:r>
      <w:r w:rsidR="006E00AC">
        <w:rPr>
          <w:rFonts w:ascii="Verdana" w:eastAsia="Arial Unicode MS" w:hAnsi="Verdana" w:cs="Arial Unicode MS"/>
          <w:sz w:val="18"/>
          <w:szCs w:val="18"/>
        </w:rPr>
        <w:t xml:space="preserve">is </w:t>
      </w:r>
      <w:r w:rsidR="00AA52BA">
        <w:rPr>
          <w:rFonts w:ascii="Verdana" w:eastAsia="Arial Unicode MS" w:hAnsi="Verdana" w:cs="Arial Unicode MS"/>
          <w:sz w:val="18"/>
          <w:szCs w:val="18"/>
        </w:rPr>
        <w:t xml:space="preserve">zonder meer </w:t>
      </w:r>
      <w:r w:rsidR="006E00AC">
        <w:rPr>
          <w:rFonts w:ascii="Verdana" w:eastAsia="Arial Unicode MS" w:hAnsi="Verdana" w:cs="Arial Unicode MS"/>
          <w:sz w:val="18"/>
          <w:szCs w:val="18"/>
        </w:rPr>
        <w:t xml:space="preserve">het geval bij het </w:t>
      </w:r>
      <w:r w:rsidR="00AA52BA">
        <w:rPr>
          <w:rFonts w:ascii="Verdana" w:eastAsia="Arial Unicode MS" w:hAnsi="Verdana" w:cs="Arial Unicode MS"/>
          <w:sz w:val="18"/>
          <w:szCs w:val="18"/>
        </w:rPr>
        <w:t xml:space="preserve">nieuwe voorgestelde </w:t>
      </w:r>
      <w:r w:rsidR="006E00AC">
        <w:rPr>
          <w:rFonts w:ascii="Verdana" w:eastAsia="Arial Unicode MS" w:hAnsi="Verdana" w:cs="Arial Unicode MS"/>
          <w:sz w:val="18"/>
          <w:szCs w:val="18"/>
        </w:rPr>
        <w:t xml:space="preserve">recht op een eerlijk proces. </w:t>
      </w:r>
      <w:r w:rsidR="0022620C">
        <w:rPr>
          <w:rFonts w:ascii="Verdana" w:eastAsia="Arial Unicode MS" w:hAnsi="Verdana" w:cs="Arial Unicode MS"/>
          <w:sz w:val="18"/>
          <w:szCs w:val="18"/>
        </w:rPr>
        <w:t xml:space="preserve">Grondrechten </w:t>
      </w:r>
      <w:r w:rsidR="00C534FC">
        <w:rPr>
          <w:rFonts w:ascii="Verdana" w:eastAsia="Arial Unicode MS" w:hAnsi="Verdana" w:cs="Arial Unicode MS"/>
          <w:sz w:val="18"/>
          <w:szCs w:val="18"/>
        </w:rPr>
        <w:t>gelden</w:t>
      </w:r>
      <w:r w:rsidR="0022620C">
        <w:rPr>
          <w:rFonts w:ascii="Verdana" w:eastAsia="Arial Unicode MS" w:hAnsi="Verdana" w:cs="Arial Unicode MS"/>
          <w:sz w:val="18"/>
          <w:szCs w:val="18"/>
        </w:rPr>
        <w:t xml:space="preserve"> voorts </w:t>
      </w:r>
      <w:r w:rsidR="00C534FC">
        <w:rPr>
          <w:rFonts w:ascii="Verdana" w:eastAsia="Arial Unicode MS" w:hAnsi="Verdana" w:cs="Arial Unicode MS"/>
          <w:sz w:val="18"/>
          <w:szCs w:val="18"/>
        </w:rPr>
        <w:t>voor een ieder, ongeacht de leeftijd</w:t>
      </w:r>
      <w:r w:rsidR="0022620C">
        <w:rPr>
          <w:rFonts w:ascii="Verdana" w:eastAsia="Arial Unicode MS" w:hAnsi="Verdana" w:cs="Arial Unicode MS"/>
          <w:sz w:val="18"/>
          <w:szCs w:val="18"/>
        </w:rPr>
        <w:t>.</w:t>
      </w:r>
      <w:r w:rsidR="0022620C">
        <w:rPr>
          <w:rStyle w:val="Voetnootmarkering"/>
          <w:rFonts w:ascii="Verdana" w:eastAsia="Arial Unicode MS" w:hAnsi="Verdana" w:cs="Arial Unicode MS"/>
          <w:sz w:val="18"/>
          <w:szCs w:val="18"/>
        </w:rPr>
        <w:footnoteReference w:id="36"/>
      </w:r>
      <w:r w:rsidR="0022620C">
        <w:rPr>
          <w:rFonts w:ascii="Verdana" w:eastAsia="Arial Unicode MS" w:hAnsi="Verdana" w:cs="Arial Unicode MS"/>
          <w:sz w:val="18"/>
          <w:szCs w:val="18"/>
        </w:rPr>
        <w:t xml:space="preserve"> </w:t>
      </w:r>
      <w:r w:rsidR="00C534FC">
        <w:rPr>
          <w:rFonts w:ascii="Verdana" w:eastAsia="Arial Unicode MS" w:hAnsi="Verdana" w:cs="Arial Unicode MS"/>
          <w:sz w:val="18"/>
          <w:szCs w:val="18"/>
        </w:rPr>
        <w:t xml:space="preserve">Ook </w:t>
      </w:r>
      <w:r w:rsidR="0022620C">
        <w:rPr>
          <w:rFonts w:ascii="Verdana" w:eastAsia="Arial Unicode MS" w:hAnsi="Verdana" w:cs="Arial Unicode MS"/>
          <w:sz w:val="18"/>
          <w:szCs w:val="18"/>
        </w:rPr>
        <w:t xml:space="preserve">minderjarigen </w:t>
      </w:r>
      <w:r w:rsidR="00771435">
        <w:rPr>
          <w:rFonts w:ascii="Verdana" w:eastAsia="Arial Unicode MS" w:hAnsi="Verdana" w:cs="Arial Unicode MS"/>
          <w:sz w:val="18"/>
          <w:szCs w:val="18"/>
        </w:rPr>
        <w:t xml:space="preserve">(vgl. artikel 40 Internationaal kinderrechtenverdrag) </w:t>
      </w:r>
      <w:r w:rsidR="0022620C">
        <w:rPr>
          <w:rFonts w:ascii="Verdana" w:eastAsia="Arial Unicode MS" w:hAnsi="Verdana" w:cs="Arial Unicode MS"/>
          <w:sz w:val="18"/>
          <w:szCs w:val="18"/>
        </w:rPr>
        <w:t xml:space="preserve">en onder curatele </w:t>
      </w:r>
      <w:proofErr w:type="spellStart"/>
      <w:r w:rsidR="0022620C">
        <w:rPr>
          <w:rFonts w:ascii="Verdana" w:eastAsia="Arial Unicode MS" w:hAnsi="Verdana" w:cs="Arial Unicode MS"/>
          <w:sz w:val="18"/>
          <w:szCs w:val="18"/>
        </w:rPr>
        <w:t>gestelden</w:t>
      </w:r>
      <w:proofErr w:type="spellEnd"/>
      <w:r w:rsidR="0022620C">
        <w:rPr>
          <w:rFonts w:ascii="Verdana" w:eastAsia="Arial Unicode MS" w:hAnsi="Verdana" w:cs="Arial Unicode MS"/>
          <w:sz w:val="18"/>
          <w:szCs w:val="18"/>
        </w:rPr>
        <w:t xml:space="preserve"> </w:t>
      </w:r>
      <w:r w:rsidR="00C534FC">
        <w:rPr>
          <w:rFonts w:ascii="Verdana" w:eastAsia="Arial Unicode MS" w:hAnsi="Verdana" w:cs="Arial Unicode MS"/>
          <w:sz w:val="18"/>
          <w:szCs w:val="18"/>
        </w:rPr>
        <w:t xml:space="preserve">komt </w:t>
      </w:r>
      <w:r w:rsidR="0022620C">
        <w:rPr>
          <w:rFonts w:ascii="Verdana" w:eastAsia="Arial Unicode MS" w:hAnsi="Verdana" w:cs="Arial Unicode MS"/>
          <w:sz w:val="18"/>
          <w:szCs w:val="18"/>
        </w:rPr>
        <w:t xml:space="preserve">het recht op een eerlijk proces toe, maar </w:t>
      </w:r>
      <w:r w:rsidR="00C534FC">
        <w:rPr>
          <w:rFonts w:ascii="Verdana" w:eastAsia="Arial Unicode MS" w:hAnsi="Verdana" w:cs="Arial Unicode MS"/>
          <w:sz w:val="18"/>
          <w:szCs w:val="18"/>
        </w:rPr>
        <w:t>zij kunnen</w:t>
      </w:r>
      <w:r w:rsidR="0022620C">
        <w:rPr>
          <w:rFonts w:ascii="Verdana" w:eastAsia="Arial Unicode MS" w:hAnsi="Verdana" w:cs="Arial Unicode MS"/>
          <w:sz w:val="18"/>
          <w:szCs w:val="18"/>
        </w:rPr>
        <w:t xml:space="preserve"> voor de concrete uitoefening van het recht afhankelijk </w:t>
      </w:r>
      <w:r w:rsidR="00C534FC">
        <w:rPr>
          <w:rFonts w:ascii="Verdana" w:eastAsia="Arial Unicode MS" w:hAnsi="Verdana" w:cs="Arial Unicode MS"/>
          <w:sz w:val="18"/>
          <w:szCs w:val="18"/>
        </w:rPr>
        <w:t xml:space="preserve">zijn </w:t>
      </w:r>
      <w:r w:rsidR="0022620C">
        <w:rPr>
          <w:rFonts w:ascii="Verdana" w:eastAsia="Arial Unicode MS" w:hAnsi="Verdana" w:cs="Arial Unicode MS"/>
          <w:sz w:val="18"/>
          <w:szCs w:val="18"/>
        </w:rPr>
        <w:t xml:space="preserve">van degenen onder wier gezag zij vallen. </w:t>
      </w:r>
      <w:r w:rsidR="006E00AC">
        <w:rPr>
          <w:rFonts w:ascii="Verdana" w:eastAsia="Arial Unicode MS" w:hAnsi="Verdana" w:cs="Arial Unicode MS"/>
          <w:sz w:val="18"/>
          <w:szCs w:val="18"/>
        </w:rPr>
        <w:t>Tevens</w:t>
      </w:r>
      <w:r w:rsidR="008F06B4">
        <w:rPr>
          <w:rFonts w:ascii="Verdana" w:eastAsia="Arial Unicode MS" w:hAnsi="Verdana" w:cs="Arial Unicode MS"/>
          <w:sz w:val="18"/>
          <w:szCs w:val="18"/>
        </w:rPr>
        <w:t xml:space="preserve"> </w:t>
      </w:r>
      <w:r w:rsidR="006E00AC">
        <w:rPr>
          <w:rFonts w:ascii="Verdana" w:eastAsia="Arial Unicode MS" w:hAnsi="Verdana" w:cs="Arial Unicode MS"/>
          <w:sz w:val="18"/>
          <w:szCs w:val="18"/>
        </w:rPr>
        <w:t>gelden</w:t>
      </w:r>
      <w:r w:rsidR="008F06B4">
        <w:rPr>
          <w:rFonts w:ascii="Verdana" w:eastAsia="Arial Unicode MS" w:hAnsi="Verdana" w:cs="Arial Unicode MS"/>
          <w:sz w:val="18"/>
          <w:szCs w:val="18"/>
        </w:rPr>
        <w:t xml:space="preserve"> grondrechten </w:t>
      </w:r>
      <w:r w:rsidR="006E00AC">
        <w:rPr>
          <w:rFonts w:ascii="Verdana" w:eastAsia="Arial Unicode MS" w:hAnsi="Verdana" w:cs="Arial Unicode MS"/>
          <w:sz w:val="18"/>
          <w:szCs w:val="18"/>
        </w:rPr>
        <w:t>sinds 1983</w:t>
      </w:r>
      <w:r w:rsidR="008F06B4">
        <w:rPr>
          <w:rFonts w:ascii="Verdana" w:eastAsia="Arial Unicode MS" w:hAnsi="Verdana" w:cs="Arial Unicode MS"/>
          <w:sz w:val="18"/>
          <w:szCs w:val="18"/>
        </w:rPr>
        <w:t xml:space="preserve"> voor personen die in een bijzondere rechtsverhouding staan tot de overheid, zoals ambtenaren, militairen en gedetineerden. </w:t>
      </w:r>
    </w:p>
    <w:p w:rsidR="009F7CBA" w:rsidRDefault="009F7CBA" w:rsidP="001F0059">
      <w:pPr>
        <w:pStyle w:val="Geenafstand"/>
        <w:spacing w:line="280" w:lineRule="atLeast"/>
        <w:rPr>
          <w:rFonts w:ascii="Verdana" w:eastAsia="Arial Unicode MS" w:hAnsi="Verdana" w:cs="Arial Unicode MS"/>
          <w:sz w:val="18"/>
          <w:szCs w:val="18"/>
        </w:rPr>
      </w:pPr>
    </w:p>
    <w:p w:rsidR="00216CDC" w:rsidRDefault="009F7CBA" w:rsidP="001F0059">
      <w:pPr>
        <w:pStyle w:val="Geenafstand"/>
        <w:spacing w:line="280" w:lineRule="atLeast"/>
        <w:rPr>
          <w:rFonts w:ascii="Verdana" w:eastAsia="Arial Unicode MS" w:hAnsi="Verdana" w:cs="Arial Unicode MS"/>
          <w:sz w:val="18"/>
          <w:szCs w:val="18"/>
        </w:rPr>
      </w:pPr>
      <w:r>
        <w:rPr>
          <w:rFonts w:ascii="Verdana" w:eastAsia="Arial Unicode MS" w:hAnsi="Verdana" w:cs="Arial Unicode MS"/>
          <w:sz w:val="18"/>
          <w:szCs w:val="18"/>
        </w:rPr>
        <w:t xml:space="preserve">De grondwetsgeschiedenis van 1983 geeft geen aanwijzingen voor het antwoord op de vraag of overheidsambten een beroep kunnen doen op grondrechten. In de literatuur en jurisprudentie is de overheersende leer dat de </w:t>
      </w:r>
      <w:r w:rsidR="00AA52BA">
        <w:rPr>
          <w:rFonts w:ascii="Verdana" w:eastAsia="Arial Unicode MS" w:hAnsi="Verdana" w:cs="Arial Unicode MS"/>
          <w:sz w:val="18"/>
          <w:szCs w:val="18"/>
        </w:rPr>
        <w:t>overheid als zodanig g</w:t>
      </w:r>
      <w:r w:rsidR="00BC31EE">
        <w:rPr>
          <w:rFonts w:ascii="Verdana" w:eastAsia="Arial Unicode MS" w:hAnsi="Verdana" w:cs="Arial Unicode MS"/>
          <w:sz w:val="18"/>
          <w:szCs w:val="18"/>
        </w:rPr>
        <w:t>een drager</w:t>
      </w:r>
      <w:r w:rsidR="00D52203">
        <w:rPr>
          <w:rFonts w:ascii="Verdana" w:eastAsia="Arial Unicode MS" w:hAnsi="Verdana" w:cs="Arial Unicode MS"/>
          <w:sz w:val="18"/>
          <w:szCs w:val="18"/>
        </w:rPr>
        <w:t xml:space="preserve"> is</w:t>
      </w:r>
      <w:r w:rsidR="00BC31EE">
        <w:rPr>
          <w:rFonts w:ascii="Verdana" w:eastAsia="Arial Unicode MS" w:hAnsi="Verdana" w:cs="Arial Unicode MS"/>
          <w:sz w:val="18"/>
          <w:szCs w:val="18"/>
        </w:rPr>
        <w:t xml:space="preserve"> van</w:t>
      </w:r>
      <w:r w:rsidR="008F06B4">
        <w:rPr>
          <w:rFonts w:ascii="Verdana" w:eastAsia="Arial Unicode MS" w:hAnsi="Verdana" w:cs="Arial Unicode MS"/>
          <w:sz w:val="18"/>
          <w:szCs w:val="18"/>
        </w:rPr>
        <w:t xml:space="preserve"> grondrech</w:t>
      </w:r>
      <w:r w:rsidR="00BC31EE">
        <w:rPr>
          <w:rFonts w:ascii="Verdana" w:eastAsia="Arial Unicode MS" w:hAnsi="Verdana" w:cs="Arial Unicode MS"/>
          <w:sz w:val="18"/>
          <w:szCs w:val="18"/>
        </w:rPr>
        <w:t>ten</w:t>
      </w:r>
      <w:r w:rsidR="008F06B4">
        <w:rPr>
          <w:rFonts w:ascii="Verdana" w:eastAsia="Arial Unicode MS" w:hAnsi="Verdana" w:cs="Arial Unicode MS"/>
          <w:sz w:val="18"/>
          <w:szCs w:val="18"/>
        </w:rPr>
        <w:t>.</w:t>
      </w:r>
      <w:r w:rsidRPr="009F7CBA">
        <w:rPr>
          <w:rStyle w:val="Voetnootmarkering"/>
          <w:rFonts w:ascii="Verdana" w:eastAsia="Arial Unicode MS" w:hAnsi="Verdana" w:cs="Arial Unicode MS"/>
          <w:sz w:val="18"/>
          <w:szCs w:val="18"/>
        </w:rPr>
        <w:t xml:space="preserve"> </w:t>
      </w:r>
      <w:r>
        <w:rPr>
          <w:rStyle w:val="Voetnootmarkering"/>
          <w:rFonts w:ascii="Verdana" w:eastAsia="Arial Unicode MS" w:hAnsi="Verdana" w:cs="Arial Unicode MS"/>
          <w:sz w:val="18"/>
          <w:szCs w:val="18"/>
        </w:rPr>
        <w:footnoteReference w:id="37"/>
      </w:r>
      <w:r w:rsidR="008F06B4">
        <w:rPr>
          <w:rFonts w:ascii="Verdana" w:eastAsia="Arial Unicode MS" w:hAnsi="Verdana" w:cs="Arial Unicode MS"/>
          <w:sz w:val="18"/>
          <w:szCs w:val="18"/>
        </w:rPr>
        <w:t xml:space="preserve"> Grondrechten beschermen immers juist tegen </w:t>
      </w:r>
      <w:r w:rsidR="006E00AC">
        <w:rPr>
          <w:rFonts w:ascii="Verdana" w:eastAsia="Arial Unicode MS" w:hAnsi="Verdana" w:cs="Arial Unicode MS"/>
          <w:sz w:val="18"/>
          <w:szCs w:val="18"/>
        </w:rPr>
        <w:t xml:space="preserve">inmenging door </w:t>
      </w:r>
      <w:r w:rsidR="008F06B4">
        <w:rPr>
          <w:rFonts w:ascii="Verdana" w:eastAsia="Arial Unicode MS" w:hAnsi="Verdana" w:cs="Arial Unicode MS"/>
          <w:sz w:val="18"/>
          <w:szCs w:val="18"/>
        </w:rPr>
        <w:t>de overheid. Dat betekent dat bestuursorganen en/of openbare lichamen geen beroep kunnen doen op</w:t>
      </w:r>
      <w:r w:rsidR="006E00AC">
        <w:rPr>
          <w:rFonts w:ascii="Verdana" w:eastAsia="Arial Unicode MS" w:hAnsi="Verdana" w:cs="Arial Unicode MS"/>
          <w:sz w:val="18"/>
          <w:szCs w:val="18"/>
        </w:rPr>
        <w:t xml:space="preserve"> grondrechten.</w:t>
      </w:r>
      <w:r w:rsidR="008F06B4">
        <w:rPr>
          <w:rFonts w:ascii="Verdana" w:eastAsia="Arial Unicode MS" w:hAnsi="Verdana" w:cs="Arial Unicode MS"/>
          <w:sz w:val="18"/>
          <w:szCs w:val="18"/>
        </w:rPr>
        <w:t xml:space="preserve"> </w:t>
      </w:r>
      <w:r w:rsidR="00BC31EE">
        <w:rPr>
          <w:rFonts w:ascii="Verdana" w:eastAsia="Arial Unicode MS" w:hAnsi="Verdana" w:cs="Arial Unicode MS"/>
          <w:sz w:val="18"/>
          <w:szCs w:val="18"/>
        </w:rPr>
        <w:t>Dit uitgangspunt geldt ook voor het voorgestelde recht op een eerlijk proces.</w:t>
      </w:r>
      <w:r w:rsidR="00536C3E">
        <w:rPr>
          <w:rStyle w:val="Voetnootmarkering"/>
          <w:rFonts w:ascii="Verdana" w:eastAsia="Arial Unicode MS" w:hAnsi="Verdana" w:cs="Arial Unicode MS"/>
          <w:sz w:val="18"/>
          <w:szCs w:val="18"/>
        </w:rPr>
        <w:footnoteReference w:id="38"/>
      </w:r>
      <w:r w:rsidR="00587C4D">
        <w:rPr>
          <w:rFonts w:ascii="Verdana" w:eastAsia="Arial Unicode MS" w:hAnsi="Verdana" w:cs="Arial Unicode MS"/>
          <w:sz w:val="18"/>
          <w:szCs w:val="18"/>
        </w:rPr>
        <w:t xml:space="preserve"> </w:t>
      </w:r>
      <w:r>
        <w:rPr>
          <w:rFonts w:ascii="Verdana" w:eastAsia="Arial Unicode MS" w:hAnsi="Verdana" w:cs="Arial Unicode MS"/>
          <w:sz w:val="18"/>
          <w:szCs w:val="18"/>
        </w:rPr>
        <w:t>Waar de overheid partij is in geschillen met burgers, bijvoorbeeld in bestuursrechtelijke procedures, is het denkbaar dat rechten die betrekking hebben op de rechtspleging ook door overheidsorganen worden ingeroepen, bijvoorbeeld wraking van een rechter. De grondslag daarvan ligt dan evenwel niet in artikel 6 EVRM of het voorgestelde artikel 17 Grondwet, maar in concrete procesrechtelijke wetsbepalingen, die uiteraard mede dienen ter waarborging van een goede en eerlijke rechtspleging in een rechtsstaat.</w:t>
      </w:r>
      <w:r>
        <w:rPr>
          <w:rStyle w:val="Voetnootmarkering"/>
          <w:rFonts w:ascii="Verdana" w:eastAsia="Arial Unicode MS" w:hAnsi="Verdana" w:cs="Arial Unicode MS"/>
          <w:sz w:val="18"/>
          <w:szCs w:val="18"/>
        </w:rPr>
        <w:footnoteReference w:id="39"/>
      </w:r>
    </w:p>
    <w:p w:rsidR="001F0059" w:rsidRDefault="001F0059" w:rsidP="001F0059">
      <w:pPr>
        <w:pStyle w:val="Geenafstand"/>
        <w:spacing w:line="280" w:lineRule="atLeast"/>
        <w:rPr>
          <w:rFonts w:ascii="Verdana" w:eastAsia="Arial Unicode MS" w:hAnsi="Verdana" w:cs="Arial Unicode MS"/>
          <w:sz w:val="18"/>
          <w:szCs w:val="18"/>
        </w:rPr>
      </w:pPr>
    </w:p>
    <w:p w:rsidR="006B3EC4" w:rsidRPr="001F0059" w:rsidRDefault="006B3EC4" w:rsidP="001F0059">
      <w:pPr>
        <w:pStyle w:val="Geenafstand"/>
        <w:spacing w:line="280" w:lineRule="atLeast"/>
        <w:rPr>
          <w:rFonts w:ascii="Verdana" w:eastAsia="Arial Unicode MS" w:hAnsi="Verdana" w:cs="Arial Unicode MS"/>
          <w:sz w:val="18"/>
          <w:szCs w:val="18"/>
        </w:rPr>
      </w:pPr>
    </w:p>
    <w:p w:rsidR="00290B7B" w:rsidRDefault="00284432" w:rsidP="00296568">
      <w:pPr>
        <w:pStyle w:val="Lijstalinea"/>
        <w:numPr>
          <w:ilvl w:val="0"/>
          <w:numId w:val="5"/>
        </w:numPr>
        <w:spacing w:line="280" w:lineRule="atLeast"/>
        <w:rPr>
          <w:rFonts w:ascii="Verdana" w:hAnsi="Verdana"/>
          <w:b/>
          <w:sz w:val="18"/>
          <w:szCs w:val="18"/>
        </w:rPr>
      </w:pPr>
      <w:r w:rsidRPr="00284432">
        <w:rPr>
          <w:rFonts w:ascii="Verdana" w:hAnsi="Verdana"/>
          <w:b/>
          <w:sz w:val="18"/>
          <w:szCs w:val="18"/>
        </w:rPr>
        <w:t>Toegang tot de rechter</w:t>
      </w:r>
    </w:p>
    <w:p w:rsidR="00284432" w:rsidRDefault="00284432" w:rsidP="00284432">
      <w:pPr>
        <w:spacing w:after="0" w:line="280" w:lineRule="atLeast"/>
        <w:rPr>
          <w:rFonts w:ascii="Verdana" w:hAnsi="Verdana" w:cs="Arial"/>
          <w:sz w:val="18"/>
          <w:szCs w:val="18"/>
        </w:rPr>
      </w:pPr>
      <w:r>
        <w:rPr>
          <w:rFonts w:ascii="Verdana" w:hAnsi="Verdana" w:cs="Arial"/>
          <w:sz w:val="18"/>
          <w:szCs w:val="18"/>
        </w:rPr>
        <w:t>5.1</w:t>
      </w:r>
      <w:r>
        <w:rPr>
          <w:rFonts w:ascii="Verdana" w:hAnsi="Verdana" w:cs="Arial"/>
          <w:sz w:val="18"/>
          <w:szCs w:val="18"/>
        </w:rPr>
        <w:tab/>
        <w:t>Samenhang tussen het recht op een eerlijk proces en het recht op toegang tot de rechter</w:t>
      </w:r>
    </w:p>
    <w:p w:rsidR="00284432" w:rsidRDefault="00284432" w:rsidP="00284432">
      <w:pPr>
        <w:spacing w:after="0" w:line="280" w:lineRule="atLeast"/>
        <w:rPr>
          <w:rFonts w:ascii="Verdana" w:hAnsi="Verdana" w:cs="Arial"/>
          <w:sz w:val="18"/>
          <w:szCs w:val="18"/>
        </w:rPr>
      </w:pPr>
    </w:p>
    <w:p w:rsidR="004C2909" w:rsidRDefault="00284432" w:rsidP="00284432">
      <w:pPr>
        <w:spacing w:after="0" w:line="280" w:lineRule="atLeast"/>
        <w:rPr>
          <w:rFonts w:ascii="Verdana" w:hAnsi="Verdana" w:cs="Arial"/>
          <w:sz w:val="18"/>
          <w:szCs w:val="18"/>
        </w:rPr>
      </w:pPr>
      <w:r w:rsidRPr="00284432">
        <w:rPr>
          <w:rFonts w:ascii="Verdana" w:hAnsi="Verdana" w:cs="Arial"/>
          <w:sz w:val="18"/>
          <w:szCs w:val="18"/>
        </w:rPr>
        <w:t xml:space="preserve">Zoals hiervoor uiteengezet, heeft de rechter een onmisbare waarborgfunctie in het staatsbestel. De effectuering van deze functie is pas dan gewaarborgd, indien de toegang </w:t>
      </w:r>
      <w:r w:rsidR="004024FE">
        <w:rPr>
          <w:rFonts w:ascii="Verdana" w:hAnsi="Verdana" w:cs="Arial"/>
          <w:sz w:val="18"/>
          <w:szCs w:val="18"/>
        </w:rPr>
        <w:t>tot de rechter</w:t>
      </w:r>
      <w:r w:rsidRPr="00284432">
        <w:rPr>
          <w:rFonts w:ascii="Verdana" w:hAnsi="Verdana" w:cs="Arial"/>
          <w:sz w:val="18"/>
          <w:szCs w:val="18"/>
        </w:rPr>
        <w:t xml:space="preserve"> is verzekerd en zo nodig in rechte kan worden afgedwongen. Dat laatste is niet mogelijk op grond van de Grondwet, </w:t>
      </w:r>
      <w:r w:rsidR="00882CD4">
        <w:rPr>
          <w:rFonts w:ascii="Verdana" w:hAnsi="Verdana" w:cs="Arial"/>
          <w:sz w:val="18"/>
          <w:szCs w:val="18"/>
        </w:rPr>
        <w:t>en slechts ten dele</w:t>
      </w:r>
      <w:r w:rsidRPr="00284432">
        <w:rPr>
          <w:rFonts w:ascii="Verdana" w:hAnsi="Verdana" w:cs="Arial"/>
          <w:sz w:val="18"/>
          <w:szCs w:val="18"/>
        </w:rPr>
        <w:t xml:space="preserve"> op grond van artikel 6 EVRM</w:t>
      </w:r>
      <w:r w:rsidR="002D09B5">
        <w:rPr>
          <w:rFonts w:ascii="Verdana" w:hAnsi="Verdana" w:cs="Arial"/>
          <w:sz w:val="18"/>
          <w:szCs w:val="18"/>
        </w:rPr>
        <w:t>, artikel 14 IVBPR</w:t>
      </w:r>
      <w:r w:rsidR="00882CD4">
        <w:rPr>
          <w:rFonts w:ascii="Verdana" w:hAnsi="Verdana" w:cs="Arial"/>
          <w:sz w:val="18"/>
          <w:szCs w:val="18"/>
        </w:rPr>
        <w:t xml:space="preserve"> of artikel 47 EU-Handvest</w:t>
      </w:r>
      <w:r w:rsidRPr="00284432">
        <w:rPr>
          <w:rFonts w:ascii="Verdana" w:hAnsi="Verdana" w:cs="Arial"/>
          <w:sz w:val="18"/>
          <w:szCs w:val="18"/>
        </w:rPr>
        <w:t xml:space="preserve">. </w:t>
      </w:r>
      <w:r w:rsidR="003527F4">
        <w:rPr>
          <w:rFonts w:ascii="Verdana" w:hAnsi="Verdana" w:cs="Arial"/>
          <w:sz w:val="18"/>
          <w:szCs w:val="18"/>
        </w:rPr>
        <w:t xml:space="preserve">Hoewel de bevoegdheid van de rechter in de Grondwet is vastgelegd, geeft dit, </w:t>
      </w:r>
      <w:r w:rsidR="003527F4">
        <w:rPr>
          <w:rFonts w:ascii="Verdana" w:hAnsi="Verdana" w:cs="Arial"/>
          <w:sz w:val="18"/>
          <w:szCs w:val="18"/>
        </w:rPr>
        <w:lastRenderedPageBreak/>
        <w:t>behoudens wellicht in zaken waarin sprake is van vrijheidsontneming als bedoeld in artikel 113, derde lid, Grondwet</w:t>
      </w:r>
      <w:r w:rsidR="00E7086F">
        <w:rPr>
          <w:rFonts w:ascii="Verdana" w:hAnsi="Verdana" w:cs="Arial"/>
          <w:sz w:val="18"/>
          <w:szCs w:val="18"/>
        </w:rPr>
        <w:t xml:space="preserve"> (‘een straf van vrijheidsontneming kan uitsluitend door de rechterlijke macht worden opgelegd’)</w:t>
      </w:r>
      <w:r w:rsidR="003527F4">
        <w:rPr>
          <w:rFonts w:ascii="Verdana" w:hAnsi="Verdana" w:cs="Arial"/>
          <w:sz w:val="18"/>
          <w:szCs w:val="18"/>
        </w:rPr>
        <w:t>, nog geen subjectief recht op toegang tot de rechter. Het o</w:t>
      </w:r>
      <w:r w:rsidRPr="00284432">
        <w:rPr>
          <w:rFonts w:ascii="Verdana" w:hAnsi="Verdana" w:cs="Arial"/>
          <w:sz w:val="18"/>
          <w:szCs w:val="18"/>
        </w:rPr>
        <w:t>nderhavig</w:t>
      </w:r>
      <w:r w:rsidR="003527F4">
        <w:rPr>
          <w:rFonts w:ascii="Verdana" w:hAnsi="Verdana" w:cs="Arial"/>
          <w:sz w:val="18"/>
          <w:szCs w:val="18"/>
        </w:rPr>
        <w:t>e</w:t>
      </w:r>
      <w:r w:rsidRPr="00284432">
        <w:rPr>
          <w:rFonts w:ascii="Verdana" w:hAnsi="Verdana" w:cs="Arial"/>
          <w:sz w:val="18"/>
          <w:szCs w:val="18"/>
        </w:rPr>
        <w:t xml:space="preserve"> voorstel beoogt dit </w:t>
      </w:r>
      <w:r w:rsidR="00B34187">
        <w:rPr>
          <w:rFonts w:ascii="Verdana" w:hAnsi="Verdana" w:cs="Arial"/>
          <w:sz w:val="18"/>
          <w:szCs w:val="18"/>
        </w:rPr>
        <w:t xml:space="preserve">algemene </w:t>
      </w:r>
      <w:r w:rsidRPr="00284432">
        <w:rPr>
          <w:rFonts w:ascii="Verdana" w:hAnsi="Verdana" w:cs="Arial"/>
          <w:sz w:val="18"/>
          <w:szCs w:val="18"/>
        </w:rPr>
        <w:t xml:space="preserve">recht op toegang </w:t>
      </w:r>
      <w:r w:rsidR="00B66786">
        <w:rPr>
          <w:rFonts w:ascii="Verdana" w:hAnsi="Verdana" w:cs="Arial"/>
          <w:sz w:val="18"/>
          <w:szCs w:val="18"/>
        </w:rPr>
        <w:t xml:space="preserve">tot de rechter </w:t>
      </w:r>
      <w:r w:rsidRPr="00284432">
        <w:rPr>
          <w:rFonts w:ascii="Verdana" w:hAnsi="Verdana" w:cs="Arial"/>
          <w:sz w:val="18"/>
          <w:szCs w:val="18"/>
        </w:rPr>
        <w:t xml:space="preserve">nu ook grondwettelijk te </w:t>
      </w:r>
      <w:r w:rsidR="004C2A14">
        <w:rPr>
          <w:rFonts w:ascii="Verdana" w:hAnsi="Verdana" w:cs="Arial"/>
          <w:sz w:val="18"/>
          <w:szCs w:val="18"/>
        </w:rPr>
        <w:t>garanderen</w:t>
      </w:r>
      <w:r w:rsidRPr="00284432">
        <w:rPr>
          <w:rFonts w:ascii="Verdana" w:hAnsi="Verdana" w:cs="Arial"/>
          <w:sz w:val="18"/>
          <w:szCs w:val="18"/>
        </w:rPr>
        <w:t xml:space="preserve">. </w:t>
      </w:r>
    </w:p>
    <w:p w:rsidR="003D7E50" w:rsidRDefault="003D7E50" w:rsidP="00284432">
      <w:pPr>
        <w:spacing w:after="0" w:line="280" w:lineRule="atLeast"/>
        <w:rPr>
          <w:rFonts w:ascii="Verdana" w:hAnsi="Verdana"/>
          <w:sz w:val="18"/>
          <w:szCs w:val="18"/>
        </w:rPr>
      </w:pPr>
    </w:p>
    <w:p w:rsidR="00682E8D" w:rsidRDefault="00E25D8A" w:rsidP="00284432">
      <w:pPr>
        <w:spacing w:after="0" w:line="280" w:lineRule="atLeast"/>
        <w:rPr>
          <w:rFonts w:ascii="Verdana" w:hAnsi="Verdana" w:cs="Arial"/>
          <w:sz w:val="18"/>
          <w:szCs w:val="18"/>
        </w:rPr>
      </w:pPr>
      <w:r>
        <w:rPr>
          <w:rFonts w:ascii="Verdana" w:hAnsi="Verdana"/>
          <w:sz w:val="18"/>
          <w:szCs w:val="18"/>
        </w:rPr>
        <w:t>De nauwe samenhang tussen het recht op een eerlijk proces en het recht op toegang tot de rechter komt ook tot uitdrukking in de jur</w:t>
      </w:r>
      <w:r w:rsidR="004C2909">
        <w:rPr>
          <w:rFonts w:ascii="Verdana" w:hAnsi="Verdana"/>
          <w:sz w:val="18"/>
          <w:szCs w:val="18"/>
        </w:rPr>
        <w:t>isprudentie van het E</w:t>
      </w:r>
      <w:r w:rsidR="00682E8D">
        <w:rPr>
          <w:rFonts w:ascii="Verdana" w:hAnsi="Verdana"/>
          <w:sz w:val="18"/>
          <w:szCs w:val="18"/>
        </w:rPr>
        <w:t>uropees Hof voor de Rechten van de Mens (E</w:t>
      </w:r>
      <w:r w:rsidR="004C2909">
        <w:rPr>
          <w:rFonts w:ascii="Verdana" w:hAnsi="Verdana"/>
          <w:sz w:val="18"/>
          <w:szCs w:val="18"/>
        </w:rPr>
        <w:t>HRM</w:t>
      </w:r>
      <w:r w:rsidR="00682E8D">
        <w:rPr>
          <w:rFonts w:ascii="Verdana" w:hAnsi="Verdana"/>
          <w:sz w:val="18"/>
          <w:szCs w:val="18"/>
        </w:rPr>
        <w:t>)</w:t>
      </w:r>
      <w:r>
        <w:rPr>
          <w:rFonts w:ascii="Verdana" w:hAnsi="Verdana"/>
          <w:sz w:val="18"/>
          <w:szCs w:val="18"/>
        </w:rPr>
        <w:t xml:space="preserve">. </w:t>
      </w:r>
      <w:r w:rsidR="00B66786">
        <w:rPr>
          <w:rFonts w:ascii="Verdana" w:hAnsi="Verdana" w:cs="Arial"/>
          <w:sz w:val="18"/>
          <w:szCs w:val="18"/>
        </w:rPr>
        <w:t>I</w:t>
      </w:r>
      <w:r w:rsidRPr="00284432">
        <w:rPr>
          <w:rFonts w:ascii="Verdana" w:hAnsi="Verdana" w:cs="Arial"/>
          <w:sz w:val="18"/>
          <w:szCs w:val="18"/>
        </w:rPr>
        <w:t xml:space="preserve">n zijn uitspraak </w:t>
      </w:r>
      <w:proofErr w:type="spellStart"/>
      <w:r w:rsidRPr="00284432">
        <w:rPr>
          <w:rFonts w:ascii="Verdana" w:hAnsi="Verdana" w:cs="Arial"/>
          <w:i/>
          <w:sz w:val="18"/>
          <w:szCs w:val="18"/>
        </w:rPr>
        <w:t>Golder</w:t>
      </w:r>
      <w:proofErr w:type="spellEnd"/>
      <w:r w:rsidRPr="00284432">
        <w:rPr>
          <w:rFonts w:ascii="Verdana" w:hAnsi="Verdana" w:cs="Arial"/>
          <w:sz w:val="18"/>
          <w:szCs w:val="18"/>
        </w:rPr>
        <w:t xml:space="preserve"> </w:t>
      </w:r>
      <w:r w:rsidR="00A231AE">
        <w:rPr>
          <w:rFonts w:ascii="Verdana" w:hAnsi="Verdana" w:cs="Arial"/>
          <w:sz w:val="18"/>
          <w:szCs w:val="18"/>
        </w:rPr>
        <w:t xml:space="preserve">t. </w:t>
      </w:r>
      <w:r w:rsidR="00A231AE" w:rsidRPr="00A231AE">
        <w:rPr>
          <w:rFonts w:ascii="Verdana" w:hAnsi="Verdana" w:cs="Arial"/>
          <w:i/>
          <w:sz w:val="18"/>
          <w:szCs w:val="18"/>
        </w:rPr>
        <w:t>het Verenigd Koninkrijk</w:t>
      </w:r>
      <w:r w:rsidR="00A231AE">
        <w:rPr>
          <w:rFonts w:ascii="Verdana" w:hAnsi="Verdana" w:cs="Arial"/>
          <w:sz w:val="18"/>
          <w:szCs w:val="18"/>
        </w:rPr>
        <w:t xml:space="preserve"> </w:t>
      </w:r>
      <w:r w:rsidR="00B66786">
        <w:rPr>
          <w:rFonts w:ascii="Verdana" w:hAnsi="Verdana" w:cs="Arial"/>
          <w:sz w:val="18"/>
          <w:szCs w:val="18"/>
        </w:rPr>
        <w:t xml:space="preserve">heeft het EHRM </w:t>
      </w:r>
      <w:r w:rsidRPr="00284432">
        <w:rPr>
          <w:rFonts w:ascii="Verdana" w:hAnsi="Verdana" w:cs="Arial"/>
          <w:sz w:val="18"/>
          <w:szCs w:val="18"/>
        </w:rPr>
        <w:t xml:space="preserve">vastgesteld dat artikel 6 EVRM ook </w:t>
      </w:r>
      <w:r>
        <w:rPr>
          <w:rFonts w:ascii="Verdana" w:hAnsi="Verdana" w:cs="Arial"/>
          <w:sz w:val="18"/>
          <w:szCs w:val="18"/>
        </w:rPr>
        <w:t xml:space="preserve">het recht op toegang tot de rechter </w:t>
      </w:r>
      <w:r w:rsidRPr="00284432">
        <w:rPr>
          <w:rFonts w:ascii="Verdana" w:hAnsi="Verdana" w:cs="Arial"/>
          <w:sz w:val="18"/>
          <w:szCs w:val="18"/>
        </w:rPr>
        <w:t>garandeert en niet alleen regels stelt omtrent de procedure als men eenmaal voor een rechter is verschenen.</w:t>
      </w:r>
      <w:r>
        <w:rPr>
          <w:rStyle w:val="Voetnootmarkering"/>
          <w:rFonts w:ascii="Verdana" w:hAnsi="Verdana" w:cs="Arial"/>
          <w:sz w:val="18"/>
          <w:szCs w:val="18"/>
        </w:rPr>
        <w:footnoteReference w:id="40"/>
      </w:r>
      <w:r w:rsidR="004C2909" w:rsidRPr="004C2909">
        <w:rPr>
          <w:rFonts w:ascii="Verdana" w:hAnsi="Verdana"/>
          <w:sz w:val="18"/>
          <w:szCs w:val="18"/>
        </w:rPr>
        <w:t xml:space="preserve"> </w:t>
      </w:r>
      <w:r w:rsidR="00183C7E">
        <w:rPr>
          <w:rFonts w:ascii="Verdana" w:hAnsi="Verdana"/>
          <w:sz w:val="18"/>
          <w:szCs w:val="18"/>
        </w:rPr>
        <w:t xml:space="preserve">Het </w:t>
      </w:r>
      <w:r w:rsidR="00B66786">
        <w:rPr>
          <w:rFonts w:ascii="Verdana" w:hAnsi="Verdana"/>
          <w:sz w:val="18"/>
          <w:szCs w:val="18"/>
        </w:rPr>
        <w:t>EHRM</w:t>
      </w:r>
      <w:r w:rsidR="00183C7E">
        <w:rPr>
          <w:rFonts w:ascii="Verdana" w:hAnsi="Verdana"/>
          <w:sz w:val="18"/>
          <w:szCs w:val="18"/>
        </w:rPr>
        <w:t xml:space="preserve"> beschouw</w:t>
      </w:r>
      <w:r w:rsidR="004C2909">
        <w:rPr>
          <w:rFonts w:ascii="Verdana" w:hAnsi="Verdana"/>
          <w:sz w:val="18"/>
          <w:szCs w:val="18"/>
        </w:rPr>
        <w:t>t de toeg</w:t>
      </w:r>
      <w:r w:rsidR="00183C7E">
        <w:rPr>
          <w:rFonts w:ascii="Verdana" w:hAnsi="Verdana"/>
          <w:sz w:val="18"/>
          <w:szCs w:val="18"/>
        </w:rPr>
        <w:t xml:space="preserve">ang tot de rechter </w:t>
      </w:r>
      <w:r w:rsidR="000B63A9">
        <w:rPr>
          <w:rFonts w:ascii="Verdana" w:hAnsi="Verdana"/>
          <w:sz w:val="18"/>
          <w:szCs w:val="18"/>
        </w:rPr>
        <w:t>als een inherent onderdeel van het recht op een eerlijk proces</w:t>
      </w:r>
      <w:r w:rsidR="00183C7E">
        <w:rPr>
          <w:rFonts w:ascii="Verdana" w:hAnsi="Verdana"/>
          <w:sz w:val="18"/>
          <w:szCs w:val="18"/>
        </w:rPr>
        <w:t xml:space="preserve"> en leest het derhalve in het eerste lid van artikel 6 EVRM</w:t>
      </w:r>
      <w:r w:rsidR="00E97B23">
        <w:rPr>
          <w:rFonts w:ascii="Verdana" w:hAnsi="Verdana"/>
          <w:sz w:val="18"/>
          <w:szCs w:val="18"/>
        </w:rPr>
        <w:t xml:space="preserve"> in</w:t>
      </w:r>
      <w:r w:rsidR="004C2909">
        <w:rPr>
          <w:rFonts w:ascii="Verdana" w:hAnsi="Verdana"/>
          <w:sz w:val="18"/>
          <w:szCs w:val="18"/>
        </w:rPr>
        <w:t xml:space="preserve">. </w:t>
      </w:r>
      <w:r w:rsidR="00D3726B">
        <w:rPr>
          <w:rFonts w:ascii="Verdana" w:hAnsi="Verdana"/>
          <w:sz w:val="18"/>
          <w:szCs w:val="18"/>
        </w:rPr>
        <w:t>De</w:t>
      </w:r>
      <w:r w:rsidR="004C2909">
        <w:rPr>
          <w:rFonts w:ascii="Verdana" w:hAnsi="Verdana"/>
          <w:sz w:val="18"/>
          <w:szCs w:val="18"/>
        </w:rPr>
        <w:t xml:space="preserve"> waarborgen van een eerlijk proces </w:t>
      </w:r>
      <w:r w:rsidR="00D3726B">
        <w:rPr>
          <w:rFonts w:ascii="Verdana" w:hAnsi="Verdana"/>
          <w:sz w:val="18"/>
          <w:szCs w:val="18"/>
        </w:rPr>
        <w:t xml:space="preserve">hangen immers in het luchtledige </w:t>
      </w:r>
      <w:r w:rsidR="004C2909">
        <w:rPr>
          <w:rFonts w:ascii="Verdana" w:hAnsi="Verdana"/>
          <w:sz w:val="18"/>
          <w:szCs w:val="18"/>
        </w:rPr>
        <w:t>als er in het geheel geen toegang tot een rechter is.</w:t>
      </w:r>
      <w:r w:rsidRPr="00284432">
        <w:rPr>
          <w:rFonts w:ascii="Verdana" w:hAnsi="Verdana" w:cs="Arial"/>
          <w:sz w:val="18"/>
          <w:szCs w:val="18"/>
        </w:rPr>
        <w:t xml:space="preserve"> </w:t>
      </w:r>
      <w:r>
        <w:rPr>
          <w:rFonts w:ascii="Verdana" w:hAnsi="Verdana" w:cs="Arial"/>
          <w:sz w:val="18"/>
          <w:szCs w:val="18"/>
        </w:rPr>
        <w:t>H</w:t>
      </w:r>
      <w:r w:rsidRPr="00284432">
        <w:rPr>
          <w:rFonts w:ascii="Verdana" w:hAnsi="Verdana" w:cs="Arial"/>
          <w:sz w:val="18"/>
          <w:szCs w:val="18"/>
        </w:rPr>
        <w:t xml:space="preserve">et recht op toegang tot de rechter </w:t>
      </w:r>
      <w:r>
        <w:rPr>
          <w:rFonts w:ascii="Verdana" w:hAnsi="Verdana" w:cs="Arial"/>
          <w:sz w:val="18"/>
          <w:szCs w:val="18"/>
        </w:rPr>
        <w:t>is een voorwaarde voor de realisering van het recht op een eerlijk proces</w:t>
      </w:r>
      <w:r w:rsidR="004C2909">
        <w:rPr>
          <w:rFonts w:ascii="Verdana" w:hAnsi="Verdana" w:cs="Arial"/>
          <w:sz w:val="18"/>
          <w:szCs w:val="18"/>
        </w:rPr>
        <w:t xml:space="preserve"> (en de rechten van burgers)</w:t>
      </w:r>
      <w:r>
        <w:rPr>
          <w:rFonts w:ascii="Verdana" w:hAnsi="Verdana" w:cs="Arial"/>
          <w:sz w:val="18"/>
          <w:szCs w:val="18"/>
        </w:rPr>
        <w:t xml:space="preserve">, maar </w:t>
      </w:r>
      <w:r w:rsidRPr="00284432">
        <w:rPr>
          <w:rFonts w:ascii="Verdana" w:hAnsi="Verdana" w:cs="Arial"/>
          <w:sz w:val="18"/>
          <w:szCs w:val="18"/>
        </w:rPr>
        <w:t xml:space="preserve">behoort </w:t>
      </w:r>
      <w:r>
        <w:rPr>
          <w:rFonts w:ascii="Verdana" w:hAnsi="Verdana" w:cs="Arial"/>
          <w:sz w:val="18"/>
          <w:szCs w:val="18"/>
        </w:rPr>
        <w:t xml:space="preserve">ook zelf </w:t>
      </w:r>
      <w:r w:rsidRPr="00284432">
        <w:rPr>
          <w:rFonts w:ascii="Verdana" w:hAnsi="Verdana" w:cs="Arial"/>
          <w:sz w:val="18"/>
          <w:szCs w:val="18"/>
        </w:rPr>
        <w:t>effectief te zijn.</w:t>
      </w:r>
      <w:r>
        <w:rPr>
          <w:rFonts w:ascii="Verdana" w:hAnsi="Verdana" w:cs="Arial"/>
          <w:sz w:val="18"/>
          <w:szCs w:val="18"/>
        </w:rPr>
        <w:t xml:space="preserve"> </w:t>
      </w:r>
      <w:r w:rsidR="003527F4">
        <w:rPr>
          <w:rFonts w:ascii="Verdana" w:hAnsi="Verdana" w:cs="Arial"/>
          <w:sz w:val="18"/>
          <w:szCs w:val="18"/>
        </w:rPr>
        <w:t>T</w:t>
      </w:r>
      <w:r w:rsidR="00750218">
        <w:rPr>
          <w:rFonts w:ascii="Verdana" w:hAnsi="Verdana" w:cs="Arial"/>
          <w:sz w:val="18"/>
          <w:szCs w:val="18"/>
        </w:rPr>
        <w:t xml:space="preserve">egen deze achtergrond is het </w:t>
      </w:r>
      <w:r w:rsidR="00675ADD">
        <w:rPr>
          <w:rFonts w:ascii="Verdana" w:hAnsi="Verdana" w:cs="Arial"/>
          <w:sz w:val="18"/>
          <w:szCs w:val="18"/>
        </w:rPr>
        <w:t xml:space="preserve">kabinet </w:t>
      </w:r>
      <w:r w:rsidR="00341F40">
        <w:rPr>
          <w:rFonts w:ascii="Verdana" w:hAnsi="Verdana" w:cs="Arial"/>
          <w:sz w:val="18"/>
          <w:szCs w:val="18"/>
        </w:rPr>
        <w:t xml:space="preserve">er </w:t>
      </w:r>
      <w:r w:rsidR="00675ADD">
        <w:rPr>
          <w:rFonts w:ascii="Verdana" w:hAnsi="Verdana" w:cs="Arial"/>
          <w:sz w:val="18"/>
          <w:szCs w:val="18"/>
        </w:rPr>
        <w:t xml:space="preserve">in navolging van de staatscommissie van overtuigd dat </w:t>
      </w:r>
      <w:r w:rsidR="004C2A14">
        <w:rPr>
          <w:rFonts w:ascii="Verdana" w:hAnsi="Verdana" w:cs="Arial"/>
          <w:sz w:val="18"/>
          <w:szCs w:val="18"/>
        </w:rPr>
        <w:t xml:space="preserve">het recht op toegang tot de rechter, als inherent aan </w:t>
      </w:r>
      <w:r w:rsidR="00675ADD">
        <w:rPr>
          <w:rFonts w:ascii="Verdana" w:hAnsi="Verdana" w:cs="Arial"/>
          <w:sz w:val="18"/>
          <w:szCs w:val="18"/>
        </w:rPr>
        <w:t xml:space="preserve">het recht op een eerlijk proces </w:t>
      </w:r>
      <w:r w:rsidR="002A2A9D">
        <w:rPr>
          <w:rFonts w:ascii="Verdana" w:hAnsi="Verdana" w:cs="Arial"/>
          <w:sz w:val="18"/>
          <w:szCs w:val="18"/>
        </w:rPr>
        <w:t xml:space="preserve">grondwettelijk </w:t>
      </w:r>
      <w:r w:rsidR="00675ADD">
        <w:rPr>
          <w:rFonts w:ascii="Verdana" w:hAnsi="Verdana" w:cs="Arial"/>
          <w:sz w:val="18"/>
          <w:szCs w:val="18"/>
        </w:rPr>
        <w:t xml:space="preserve">moet worden </w:t>
      </w:r>
      <w:r w:rsidR="002A2A9D">
        <w:rPr>
          <w:rFonts w:ascii="Verdana" w:hAnsi="Verdana" w:cs="Arial"/>
          <w:sz w:val="18"/>
          <w:szCs w:val="18"/>
        </w:rPr>
        <w:t>beschermd</w:t>
      </w:r>
      <w:r w:rsidR="00675ADD">
        <w:rPr>
          <w:rFonts w:ascii="Verdana" w:hAnsi="Verdana" w:cs="Arial"/>
          <w:sz w:val="18"/>
          <w:szCs w:val="18"/>
        </w:rPr>
        <w:t xml:space="preserve">. </w:t>
      </w:r>
    </w:p>
    <w:p w:rsidR="00A2444F" w:rsidRDefault="00A2444F" w:rsidP="00284432">
      <w:pPr>
        <w:spacing w:after="0" w:line="280" w:lineRule="atLeast"/>
        <w:rPr>
          <w:rFonts w:ascii="Verdana" w:hAnsi="Verdana" w:cs="Arial"/>
          <w:sz w:val="18"/>
          <w:szCs w:val="18"/>
        </w:rPr>
      </w:pPr>
    </w:p>
    <w:p w:rsidR="00284432" w:rsidRDefault="00242D19" w:rsidP="00284432">
      <w:pPr>
        <w:spacing w:after="0" w:line="280" w:lineRule="atLeast"/>
        <w:rPr>
          <w:rFonts w:ascii="Verdana" w:hAnsi="Verdana" w:cs="Arial"/>
          <w:sz w:val="18"/>
          <w:szCs w:val="18"/>
        </w:rPr>
      </w:pPr>
      <w:r>
        <w:rPr>
          <w:rFonts w:ascii="Verdana" w:hAnsi="Verdana" w:cs="Arial"/>
          <w:sz w:val="18"/>
          <w:szCs w:val="18"/>
        </w:rPr>
        <w:t>Na een uiteenzetting van h</w:t>
      </w:r>
      <w:r w:rsidR="00284432" w:rsidRPr="00284432">
        <w:rPr>
          <w:rFonts w:ascii="Verdana" w:hAnsi="Verdana" w:cs="Arial"/>
          <w:sz w:val="18"/>
          <w:szCs w:val="18"/>
        </w:rPr>
        <w:t xml:space="preserve">et </w:t>
      </w:r>
      <w:r w:rsidR="00183C7E">
        <w:rPr>
          <w:rFonts w:ascii="Verdana" w:hAnsi="Verdana" w:cs="Arial"/>
          <w:sz w:val="18"/>
          <w:szCs w:val="18"/>
        </w:rPr>
        <w:t xml:space="preserve">huidige </w:t>
      </w:r>
      <w:r w:rsidR="00284432" w:rsidRPr="00284432">
        <w:rPr>
          <w:rFonts w:ascii="Verdana" w:hAnsi="Verdana" w:cs="Arial"/>
          <w:sz w:val="18"/>
          <w:szCs w:val="18"/>
        </w:rPr>
        <w:t>stels</w:t>
      </w:r>
      <w:r w:rsidR="00882CD4">
        <w:rPr>
          <w:rFonts w:ascii="Verdana" w:hAnsi="Verdana" w:cs="Arial"/>
          <w:sz w:val="18"/>
          <w:szCs w:val="18"/>
        </w:rPr>
        <w:t xml:space="preserve">el </w:t>
      </w:r>
      <w:r w:rsidR="00183C7E">
        <w:rPr>
          <w:rFonts w:ascii="Verdana" w:hAnsi="Verdana" w:cs="Arial"/>
          <w:sz w:val="18"/>
          <w:szCs w:val="18"/>
        </w:rPr>
        <w:t>van aanspraken op g</w:t>
      </w:r>
      <w:r w:rsidR="001D49D6">
        <w:rPr>
          <w:rFonts w:ascii="Verdana" w:hAnsi="Verdana" w:cs="Arial"/>
          <w:sz w:val="18"/>
          <w:szCs w:val="18"/>
        </w:rPr>
        <w:t>rond van de Grondwet</w:t>
      </w:r>
      <w:r>
        <w:rPr>
          <w:rFonts w:ascii="Verdana" w:hAnsi="Verdana" w:cs="Arial"/>
          <w:sz w:val="18"/>
          <w:szCs w:val="18"/>
        </w:rPr>
        <w:t xml:space="preserve">, volgt een toelichting </w:t>
      </w:r>
      <w:r w:rsidR="0018369F">
        <w:rPr>
          <w:rFonts w:ascii="Verdana" w:hAnsi="Verdana" w:cs="Arial"/>
          <w:sz w:val="18"/>
          <w:szCs w:val="18"/>
        </w:rPr>
        <w:t xml:space="preserve">op </w:t>
      </w:r>
      <w:r w:rsidR="00E42260">
        <w:rPr>
          <w:rFonts w:ascii="Verdana" w:hAnsi="Verdana" w:cs="Arial"/>
          <w:sz w:val="18"/>
          <w:szCs w:val="18"/>
        </w:rPr>
        <w:t>de voorwaarden waaronder dit recht kan worden beperkt</w:t>
      </w:r>
      <w:r w:rsidR="001D49D6">
        <w:rPr>
          <w:rFonts w:ascii="Verdana" w:hAnsi="Verdana" w:cs="Arial"/>
          <w:sz w:val="18"/>
          <w:szCs w:val="18"/>
        </w:rPr>
        <w:t xml:space="preserve"> in overeenstemming met de jurisprudentie over artikel 6 EVRM</w:t>
      </w:r>
      <w:r w:rsidR="00882CD4">
        <w:rPr>
          <w:rFonts w:ascii="Verdana" w:hAnsi="Verdana" w:cs="Arial"/>
          <w:sz w:val="18"/>
          <w:szCs w:val="18"/>
        </w:rPr>
        <w:t>.</w:t>
      </w:r>
    </w:p>
    <w:p w:rsidR="00847D28" w:rsidRDefault="00847D28" w:rsidP="00284432">
      <w:pPr>
        <w:spacing w:after="0" w:line="280" w:lineRule="atLeast"/>
        <w:rPr>
          <w:rFonts w:ascii="Verdana" w:hAnsi="Verdana" w:cs="Arial"/>
          <w:sz w:val="18"/>
          <w:szCs w:val="18"/>
        </w:rPr>
      </w:pPr>
    </w:p>
    <w:p w:rsidR="00284432" w:rsidRPr="00841E29" w:rsidRDefault="00841E29" w:rsidP="00841E29">
      <w:pPr>
        <w:spacing w:after="0" w:line="280" w:lineRule="atLeast"/>
        <w:rPr>
          <w:rFonts w:ascii="Verdana" w:hAnsi="Verdana" w:cs="Arial"/>
          <w:sz w:val="18"/>
          <w:szCs w:val="18"/>
        </w:rPr>
      </w:pPr>
      <w:r>
        <w:rPr>
          <w:rFonts w:ascii="Verdana" w:hAnsi="Verdana" w:cs="Arial"/>
          <w:sz w:val="18"/>
          <w:szCs w:val="18"/>
        </w:rPr>
        <w:t>5.2</w:t>
      </w:r>
      <w:r>
        <w:rPr>
          <w:rFonts w:ascii="Verdana" w:hAnsi="Verdana" w:cs="Arial"/>
          <w:sz w:val="18"/>
          <w:szCs w:val="18"/>
        </w:rPr>
        <w:tab/>
      </w:r>
      <w:r w:rsidR="00284432" w:rsidRPr="00841E29">
        <w:rPr>
          <w:rFonts w:ascii="Verdana" w:hAnsi="Verdana" w:cs="Arial"/>
          <w:sz w:val="18"/>
          <w:szCs w:val="18"/>
        </w:rPr>
        <w:t>Grondwet</w:t>
      </w:r>
    </w:p>
    <w:p w:rsidR="00284432" w:rsidRDefault="00284432" w:rsidP="00284432">
      <w:pPr>
        <w:spacing w:after="0" w:line="280" w:lineRule="atLeast"/>
        <w:rPr>
          <w:rFonts w:ascii="Verdana" w:hAnsi="Verdana" w:cs="Arial"/>
          <w:sz w:val="18"/>
          <w:szCs w:val="18"/>
        </w:rPr>
      </w:pPr>
    </w:p>
    <w:p w:rsidR="00284432" w:rsidRPr="00284432" w:rsidRDefault="00284432" w:rsidP="00284432">
      <w:pPr>
        <w:spacing w:after="0" w:line="280" w:lineRule="atLeast"/>
        <w:rPr>
          <w:rFonts w:ascii="Verdana" w:hAnsi="Verdana" w:cs="Arial"/>
          <w:sz w:val="18"/>
          <w:szCs w:val="18"/>
        </w:rPr>
      </w:pPr>
      <w:r w:rsidRPr="00284432">
        <w:rPr>
          <w:rFonts w:ascii="Verdana" w:hAnsi="Verdana" w:cs="Arial"/>
          <w:sz w:val="18"/>
          <w:szCs w:val="18"/>
        </w:rPr>
        <w:t>Ondersche</w:t>
      </w:r>
      <w:r w:rsidR="00AB0310">
        <w:rPr>
          <w:rFonts w:ascii="Verdana" w:hAnsi="Verdana" w:cs="Arial"/>
          <w:sz w:val="18"/>
          <w:szCs w:val="18"/>
        </w:rPr>
        <w:t>iden kan worden tussen de regel</w:t>
      </w:r>
      <w:r w:rsidRPr="00284432">
        <w:rPr>
          <w:rFonts w:ascii="Verdana" w:hAnsi="Verdana" w:cs="Arial"/>
          <w:sz w:val="18"/>
          <w:szCs w:val="18"/>
        </w:rPr>
        <w:t xml:space="preserve">ing van de toegang tot de rechter </w:t>
      </w:r>
      <w:r w:rsidR="00AE71C6">
        <w:rPr>
          <w:rFonts w:ascii="Verdana" w:hAnsi="Verdana" w:cs="Arial"/>
          <w:sz w:val="18"/>
          <w:szCs w:val="18"/>
        </w:rPr>
        <w:t>door middel van competentiebepalingen</w:t>
      </w:r>
      <w:r w:rsidR="001B7B3B">
        <w:rPr>
          <w:rFonts w:ascii="Verdana" w:hAnsi="Verdana" w:cs="Arial"/>
          <w:sz w:val="18"/>
          <w:szCs w:val="18"/>
        </w:rPr>
        <w:t xml:space="preserve"> </w:t>
      </w:r>
      <w:r w:rsidRPr="00284432">
        <w:rPr>
          <w:rFonts w:ascii="Verdana" w:hAnsi="Verdana" w:cs="Arial"/>
          <w:sz w:val="18"/>
          <w:szCs w:val="18"/>
        </w:rPr>
        <w:t>en</w:t>
      </w:r>
      <w:r w:rsidR="000B2CAA">
        <w:rPr>
          <w:rFonts w:ascii="Verdana" w:hAnsi="Verdana" w:cs="Arial"/>
          <w:sz w:val="18"/>
          <w:szCs w:val="18"/>
        </w:rPr>
        <w:t xml:space="preserve"> de expliciete verankering van</w:t>
      </w:r>
      <w:r w:rsidRPr="00284432">
        <w:rPr>
          <w:rFonts w:ascii="Verdana" w:hAnsi="Verdana" w:cs="Arial"/>
          <w:sz w:val="18"/>
          <w:szCs w:val="18"/>
        </w:rPr>
        <w:t xml:space="preserve"> het recht op die to</w:t>
      </w:r>
      <w:r w:rsidR="00F54454">
        <w:rPr>
          <w:rFonts w:ascii="Verdana" w:hAnsi="Verdana" w:cs="Arial"/>
          <w:sz w:val="18"/>
          <w:szCs w:val="18"/>
        </w:rPr>
        <w:t xml:space="preserve">egang. Dat laatste </w:t>
      </w:r>
      <w:r w:rsidR="00AB0310">
        <w:rPr>
          <w:rFonts w:ascii="Verdana" w:hAnsi="Verdana" w:cs="Arial"/>
          <w:sz w:val="18"/>
          <w:szCs w:val="18"/>
        </w:rPr>
        <w:t xml:space="preserve">recht </w:t>
      </w:r>
      <w:r w:rsidR="00F54454">
        <w:rPr>
          <w:rFonts w:ascii="Verdana" w:hAnsi="Verdana" w:cs="Arial"/>
          <w:sz w:val="18"/>
          <w:szCs w:val="18"/>
        </w:rPr>
        <w:t xml:space="preserve">is in </w:t>
      </w:r>
      <w:r w:rsidRPr="00284432">
        <w:rPr>
          <w:rFonts w:ascii="Verdana" w:hAnsi="Verdana" w:cs="Arial"/>
          <w:sz w:val="18"/>
          <w:szCs w:val="18"/>
        </w:rPr>
        <w:t xml:space="preserve">de parlementaire geschiedenis </w:t>
      </w:r>
      <w:r w:rsidR="00F54454">
        <w:rPr>
          <w:rFonts w:ascii="Verdana" w:hAnsi="Verdana" w:cs="Arial"/>
          <w:sz w:val="18"/>
          <w:szCs w:val="18"/>
        </w:rPr>
        <w:t xml:space="preserve">van de grondwetsherziening van </w:t>
      </w:r>
      <w:r w:rsidRPr="00284432">
        <w:rPr>
          <w:rFonts w:ascii="Verdana" w:hAnsi="Verdana" w:cs="Arial"/>
          <w:sz w:val="18"/>
          <w:szCs w:val="18"/>
        </w:rPr>
        <w:t xml:space="preserve">1983 </w:t>
      </w:r>
      <w:r w:rsidR="00AE71C6">
        <w:rPr>
          <w:rFonts w:ascii="Verdana" w:hAnsi="Verdana" w:cs="Arial"/>
          <w:sz w:val="18"/>
          <w:szCs w:val="18"/>
        </w:rPr>
        <w:t xml:space="preserve">zoals gezegd </w:t>
      </w:r>
      <w:r w:rsidRPr="00284432">
        <w:rPr>
          <w:rFonts w:ascii="Verdana" w:hAnsi="Verdana" w:cs="Arial"/>
          <w:sz w:val="18"/>
          <w:szCs w:val="18"/>
        </w:rPr>
        <w:t>niet, en in de literatuur van die periode nauwelijks, aan de orde geweest.</w:t>
      </w:r>
      <w:r>
        <w:rPr>
          <w:rStyle w:val="Voetnootmarkering"/>
          <w:rFonts w:ascii="Verdana" w:hAnsi="Verdana" w:cs="Arial"/>
          <w:sz w:val="18"/>
          <w:szCs w:val="18"/>
        </w:rPr>
        <w:footnoteReference w:id="41"/>
      </w:r>
      <w:r w:rsidRPr="00284432">
        <w:rPr>
          <w:rFonts w:ascii="Verdana" w:hAnsi="Verdana" w:cs="Arial"/>
          <w:sz w:val="18"/>
          <w:szCs w:val="18"/>
        </w:rPr>
        <w:t xml:space="preserve"> De toegang tot de rechter als zodanig is wel verankerd in de Grondwet, zij het deels en niet als afdwingbaar subjectief recht. Wat betreft deze gedeeltelijke verankering zijn de artikelen 17, </w:t>
      </w:r>
      <w:r w:rsidR="00903728">
        <w:rPr>
          <w:rFonts w:ascii="Verdana" w:hAnsi="Verdana" w:cs="Arial"/>
          <w:sz w:val="18"/>
          <w:szCs w:val="18"/>
        </w:rPr>
        <w:t xml:space="preserve">18, </w:t>
      </w:r>
      <w:r w:rsidRPr="00284432">
        <w:rPr>
          <w:rFonts w:ascii="Verdana" w:hAnsi="Verdana" w:cs="Arial"/>
          <w:sz w:val="18"/>
          <w:szCs w:val="18"/>
        </w:rPr>
        <w:t xml:space="preserve">112 en 113 </w:t>
      </w:r>
      <w:r w:rsidR="00903728">
        <w:rPr>
          <w:rFonts w:ascii="Verdana" w:hAnsi="Verdana" w:cs="Arial"/>
          <w:sz w:val="18"/>
          <w:szCs w:val="18"/>
        </w:rPr>
        <w:t xml:space="preserve">Grondwet </w:t>
      </w:r>
      <w:r w:rsidRPr="00284432">
        <w:rPr>
          <w:rFonts w:ascii="Verdana" w:hAnsi="Verdana" w:cs="Arial"/>
          <w:sz w:val="18"/>
          <w:szCs w:val="18"/>
        </w:rPr>
        <w:t>van bela</w:t>
      </w:r>
      <w:r w:rsidR="00903728">
        <w:rPr>
          <w:rFonts w:ascii="Verdana" w:hAnsi="Verdana" w:cs="Arial"/>
          <w:sz w:val="18"/>
          <w:szCs w:val="18"/>
        </w:rPr>
        <w:t>ng</w:t>
      </w:r>
      <w:r w:rsidRPr="00284432">
        <w:rPr>
          <w:rFonts w:ascii="Verdana" w:hAnsi="Verdana" w:cs="Arial"/>
          <w:sz w:val="18"/>
          <w:szCs w:val="18"/>
        </w:rPr>
        <w:t xml:space="preserve">. </w:t>
      </w:r>
    </w:p>
    <w:p w:rsidR="00284432" w:rsidRPr="00284432" w:rsidRDefault="00284432" w:rsidP="00284432">
      <w:pPr>
        <w:spacing w:after="0" w:line="280" w:lineRule="atLeast"/>
        <w:rPr>
          <w:rFonts w:ascii="Verdana" w:hAnsi="Verdana" w:cs="Arial"/>
          <w:sz w:val="18"/>
          <w:szCs w:val="18"/>
        </w:rPr>
      </w:pPr>
    </w:p>
    <w:p w:rsidR="00183C7E" w:rsidRPr="00476241" w:rsidRDefault="00B34187" w:rsidP="00183C7E">
      <w:pPr>
        <w:spacing w:after="0" w:line="280" w:lineRule="atLeast"/>
        <w:rPr>
          <w:rFonts w:ascii="Verdana" w:hAnsi="Verdana" w:cs="Arial"/>
          <w:sz w:val="18"/>
          <w:szCs w:val="18"/>
        </w:rPr>
      </w:pPr>
      <w:r>
        <w:rPr>
          <w:rFonts w:ascii="Verdana" w:hAnsi="Verdana" w:cs="Arial"/>
          <w:sz w:val="18"/>
          <w:szCs w:val="18"/>
        </w:rPr>
        <w:t>Het huidige a</w:t>
      </w:r>
      <w:r w:rsidR="00284432" w:rsidRPr="00284432">
        <w:rPr>
          <w:rFonts w:ascii="Verdana" w:hAnsi="Verdana" w:cs="Arial"/>
          <w:sz w:val="18"/>
          <w:szCs w:val="18"/>
        </w:rPr>
        <w:t xml:space="preserve">rtikel 17 </w:t>
      </w:r>
      <w:r>
        <w:rPr>
          <w:rFonts w:ascii="Verdana" w:hAnsi="Verdana" w:cs="Arial"/>
          <w:sz w:val="18"/>
          <w:szCs w:val="18"/>
        </w:rPr>
        <w:t xml:space="preserve">Grondwet </w:t>
      </w:r>
      <w:r w:rsidR="00284432" w:rsidRPr="00284432">
        <w:rPr>
          <w:rFonts w:ascii="Verdana" w:hAnsi="Verdana" w:cs="Arial"/>
          <w:sz w:val="18"/>
          <w:szCs w:val="18"/>
        </w:rPr>
        <w:t xml:space="preserve">regelt het </w:t>
      </w:r>
      <w:r w:rsidR="00284432" w:rsidRPr="00284432">
        <w:rPr>
          <w:rFonts w:ascii="Verdana" w:hAnsi="Verdana" w:cs="Arial"/>
          <w:i/>
          <w:sz w:val="18"/>
          <w:szCs w:val="18"/>
        </w:rPr>
        <w:t xml:space="preserve">ius de non </w:t>
      </w:r>
      <w:proofErr w:type="spellStart"/>
      <w:r w:rsidR="00284432" w:rsidRPr="00284432">
        <w:rPr>
          <w:rFonts w:ascii="Verdana" w:hAnsi="Verdana" w:cs="Arial"/>
          <w:i/>
          <w:sz w:val="18"/>
          <w:szCs w:val="18"/>
        </w:rPr>
        <w:t>evocando</w:t>
      </w:r>
      <w:proofErr w:type="spellEnd"/>
      <w:r w:rsidR="00284432" w:rsidRPr="00284432">
        <w:rPr>
          <w:rFonts w:ascii="Verdana" w:hAnsi="Verdana" w:cs="Arial"/>
          <w:sz w:val="18"/>
          <w:szCs w:val="18"/>
        </w:rPr>
        <w:t xml:space="preserve">: niemand kan tegen zijn wil worden afgehouden van de rechter </w:t>
      </w:r>
      <w:r w:rsidR="004024FE">
        <w:rPr>
          <w:rFonts w:ascii="Verdana" w:hAnsi="Verdana" w:cs="Arial"/>
          <w:sz w:val="18"/>
          <w:szCs w:val="18"/>
        </w:rPr>
        <w:t>–</w:t>
      </w:r>
      <w:r w:rsidR="00284432" w:rsidRPr="00284432">
        <w:rPr>
          <w:rFonts w:ascii="Verdana" w:hAnsi="Verdana" w:cs="Arial"/>
          <w:sz w:val="18"/>
          <w:szCs w:val="18"/>
        </w:rPr>
        <w:t xml:space="preserve"> al dan niet behorend tot de rechterlijke macht </w:t>
      </w:r>
      <w:r w:rsidR="004024FE">
        <w:rPr>
          <w:rFonts w:ascii="Verdana" w:hAnsi="Verdana" w:cs="Arial"/>
          <w:sz w:val="18"/>
          <w:szCs w:val="18"/>
        </w:rPr>
        <w:t>–</w:t>
      </w:r>
      <w:r w:rsidR="00284432" w:rsidRPr="00284432">
        <w:rPr>
          <w:rFonts w:ascii="Verdana" w:hAnsi="Verdana" w:cs="Arial"/>
          <w:sz w:val="18"/>
          <w:szCs w:val="18"/>
        </w:rPr>
        <w:t xml:space="preserve"> die de wet hem toekent. </w:t>
      </w:r>
      <w:r w:rsidR="00786525">
        <w:rPr>
          <w:rFonts w:ascii="Verdana" w:hAnsi="Verdana" w:cs="Arial"/>
          <w:sz w:val="18"/>
          <w:szCs w:val="18"/>
        </w:rPr>
        <w:t xml:space="preserve">Deze bepaling wordt ook wel aangeduid als een negatief geformuleerde garantie van het recht op toegang tot de rechter. </w:t>
      </w:r>
      <w:r w:rsidR="00786525">
        <w:rPr>
          <w:rFonts w:ascii="Verdana" w:hAnsi="Verdana"/>
          <w:sz w:val="18"/>
          <w:szCs w:val="18"/>
        </w:rPr>
        <w:t>Zij</w:t>
      </w:r>
      <w:r w:rsidR="00E25D8A">
        <w:rPr>
          <w:rFonts w:ascii="Verdana" w:hAnsi="Verdana"/>
          <w:sz w:val="18"/>
          <w:szCs w:val="18"/>
        </w:rPr>
        <w:t xml:space="preserve"> garandeert dat niemand door overheidsingrijpen mag worden beroofd van een bij de wet opengestelde rechtsgang. Wel mag iemand vrijwillig afstand doen van beroep bij de rechter, bijvoor</w:t>
      </w:r>
      <w:r w:rsidR="00BB4D8C">
        <w:rPr>
          <w:rFonts w:ascii="Verdana" w:hAnsi="Verdana"/>
          <w:sz w:val="18"/>
          <w:szCs w:val="18"/>
        </w:rPr>
        <w:t>beeld bij contract (arbitrage</w:t>
      </w:r>
      <w:r w:rsidR="002A2A9D">
        <w:rPr>
          <w:rFonts w:ascii="Verdana" w:hAnsi="Verdana"/>
          <w:sz w:val="18"/>
          <w:szCs w:val="18"/>
        </w:rPr>
        <w:t xml:space="preserve"> of bindend advies</w:t>
      </w:r>
      <w:r w:rsidR="00BB4D8C">
        <w:rPr>
          <w:rFonts w:ascii="Verdana" w:hAnsi="Verdana"/>
          <w:sz w:val="18"/>
          <w:szCs w:val="18"/>
        </w:rPr>
        <w:t>). Het hoeft niet per se een Nederlandse rechter te zijn, maar kan ook gaan om een internationale rechter.</w:t>
      </w:r>
      <w:r w:rsidR="00BB4D8C">
        <w:rPr>
          <w:rStyle w:val="Voetnootmarkering"/>
          <w:rFonts w:ascii="Verdana" w:hAnsi="Verdana"/>
          <w:sz w:val="18"/>
          <w:szCs w:val="18"/>
        </w:rPr>
        <w:footnoteReference w:id="42"/>
      </w:r>
      <w:r w:rsidR="00BB4D8C">
        <w:rPr>
          <w:rFonts w:ascii="Verdana" w:hAnsi="Verdana"/>
          <w:sz w:val="18"/>
          <w:szCs w:val="18"/>
        </w:rPr>
        <w:t xml:space="preserve"> </w:t>
      </w:r>
      <w:r w:rsidR="00183C7E" w:rsidRPr="00284432">
        <w:rPr>
          <w:rFonts w:ascii="Verdana" w:hAnsi="Verdana" w:cs="Arial"/>
          <w:sz w:val="18"/>
          <w:szCs w:val="18"/>
        </w:rPr>
        <w:t xml:space="preserve">Het </w:t>
      </w:r>
      <w:r w:rsidR="00BB4D8C">
        <w:rPr>
          <w:rFonts w:ascii="Verdana" w:hAnsi="Verdana" w:cs="Arial"/>
          <w:sz w:val="18"/>
          <w:szCs w:val="18"/>
        </w:rPr>
        <w:t xml:space="preserve">huidige </w:t>
      </w:r>
      <w:r w:rsidR="00183C7E" w:rsidRPr="00284432">
        <w:rPr>
          <w:rFonts w:ascii="Verdana" w:hAnsi="Verdana" w:cs="Arial"/>
          <w:sz w:val="18"/>
          <w:szCs w:val="18"/>
        </w:rPr>
        <w:t xml:space="preserve">artikel </w:t>
      </w:r>
      <w:r w:rsidR="00BB4D8C">
        <w:rPr>
          <w:rFonts w:ascii="Verdana" w:hAnsi="Verdana" w:cs="Arial"/>
          <w:sz w:val="18"/>
          <w:szCs w:val="18"/>
        </w:rPr>
        <w:t xml:space="preserve">17 </w:t>
      </w:r>
      <w:r w:rsidR="00476241">
        <w:rPr>
          <w:rFonts w:ascii="Verdana" w:hAnsi="Verdana" w:cs="Arial"/>
          <w:sz w:val="18"/>
          <w:szCs w:val="18"/>
        </w:rPr>
        <w:t>verplicht</w:t>
      </w:r>
      <w:r w:rsidR="00183C7E" w:rsidRPr="00284432">
        <w:rPr>
          <w:rFonts w:ascii="Verdana" w:hAnsi="Verdana" w:cs="Arial"/>
          <w:sz w:val="18"/>
          <w:szCs w:val="18"/>
        </w:rPr>
        <w:t xml:space="preserve"> de wetgever</w:t>
      </w:r>
      <w:r w:rsidR="00476241">
        <w:rPr>
          <w:rFonts w:ascii="Verdana" w:hAnsi="Verdana" w:cs="Arial"/>
          <w:sz w:val="18"/>
          <w:szCs w:val="18"/>
        </w:rPr>
        <w:t xml:space="preserve"> </w:t>
      </w:r>
      <w:r w:rsidR="00183C7E">
        <w:rPr>
          <w:rFonts w:ascii="Verdana" w:hAnsi="Verdana" w:cs="Arial"/>
          <w:sz w:val="18"/>
          <w:szCs w:val="18"/>
        </w:rPr>
        <w:t xml:space="preserve">niet </w:t>
      </w:r>
      <w:r w:rsidR="00476241">
        <w:rPr>
          <w:rFonts w:ascii="Verdana" w:hAnsi="Verdana" w:cs="Arial"/>
          <w:sz w:val="18"/>
          <w:szCs w:val="18"/>
        </w:rPr>
        <w:t xml:space="preserve">om </w:t>
      </w:r>
      <w:r w:rsidR="00183C7E">
        <w:rPr>
          <w:rFonts w:ascii="Verdana" w:hAnsi="Verdana" w:cs="Arial"/>
          <w:sz w:val="18"/>
          <w:szCs w:val="18"/>
        </w:rPr>
        <w:t>te voorzien in een rechtsgang</w:t>
      </w:r>
      <w:r w:rsidR="00786525">
        <w:rPr>
          <w:rFonts w:ascii="Verdana" w:hAnsi="Verdana" w:cs="Arial"/>
          <w:sz w:val="18"/>
          <w:szCs w:val="18"/>
        </w:rPr>
        <w:t>.</w:t>
      </w:r>
      <w:r w:rsidR="00183C7E">
        <w:rPr>
          <w:rFonts w:ascii="Verdana" w:hAnsi="Verdana" w:cs="Arial"/>
          <w:sz w:val="18"/>
          <w:szCs w:val="18"/>
        </w:rPr>
        <w:t xml:space="preserve"> </w:t>
      </w:r>
      <w:r w:rsidR="00682E8D">
        <w:rPr>
          <w:rFonts w:ascii="Verdana" w:hAnsi="Verdana" w:cs="Arial"/>
          <w:sz w:val="18"/>
          <w:szCs w:val="18"/>
        </w:rPr>
        <w:t>Indien d</w:t>
      </w:r>
      <w:r w:rsidR="00183C7E">
        <w:rPr>
          <w:rFonts w:ascii="Verdana" w:hAnsi="Verdana" w:cs="Arial"/>
          <w:sz w:val="18"/>
          <w:szCs w:val="18"/>
        </w:rPr>
        <w:t>e wetgever</w:t>
      </w:r>
      <w:r w:rsidR="00183C7E" w:rsidRPr="00284432">
        <w:rPr>
          <w:rFonts w:ascii="Verdana" w:hAnsi="Verdana" w:cs="Arial"/>
          <w:sz w:val="18"/>
          <w:szCs w:val="18"/>
        </w:rPr>
        <w:t xml:space="preserve"> </w:t>
      </w:r>
      <w:r w:rsidR="00682E8D">
        <w:rPr>
          <w:rFonts w:ascii="Verdana" w:hAnsi="Verdana" w:cs="Arial"/>
          <w:sz w:val="18"/>
          <w:szCs w:val="18"/>
        </w:rPr>
        <w:t xml:space="preserve">evenwel </w:t>
      </w:r>
      <w:r w:rsidR="00183C7E" w:rsidRPr="00284432">
        <w:rPr>
          <w:rFonts w:ascii="Verdana" w:hAnsi="Verdana" w:cs="Arial"/>
          <w:sz w:val="18"/>
          <w:szCs w:val="18"/>
        </w:rPr>
        <w:t>e</w:t>
      </w:r>
      <w:r w:rsidR="00682E8D">
        <w:rPr>
          <w:rFonts w:ascii="Verdana" w:hAnsi="Verdana" w:cs="Arial"/>
          <w:sz w:val="18"/>
          <w:szCs w:val="18"/>
        </w:rPr>
        <w:t>en</w:t>
      </w:r>
      <w:r w:rsidR="00183C7E" w:rsidRPr="00284432">
        <w:rPr>
          <w:rFonts w:ascii="Verdana" w:hAnsi="Verdana" w:cs="Arial"/>
          <w:sz w:val="18"/>
          <w:szCs w:val="18"/>
        </w:rPr>
        <w:t xml:space="preserve"> r</w:t>
      </w:r>
      <w:r w:rsidR="00786525">
        <w:rPr>
          <w:rFonts w:ascii="Verdana" w:hAnsi="Verdana" w:cs="Arial"/>
          <w:sz w:val="18"/>
          <w:szCs w:val="18"/>
        </w:rPr>
        <w:t>echter aan</w:t>
      </w:r>
      <w:r w:rsidR="00682E8D">
        <w:rPr>
          <w:rFonts w:ascii="Verdana" w:hAnsi="Verdana" w:cs="Arial"/>
          <w:sz w:val="18"/>
          <w:szCs w:val="18"/>
        </w:rPr>
        <w:t>wijst</w:t>
      </w:r>
      <w:r w:rsidR="00786525">
        <w:rPr>
          <w:rFonts w:ascii="Verdana" w:hAnsi="Verdana" w:cs="Arial"/>
          <w:sz w:val="18"/>
          <w:szCs w:val="18"/>
        </w:rPr>
        <w:t xml:space="preserve">, </w:t>
      </w:r>
      <w:r w:rsidR="00682E8D">
        <w:rPr>
          <w:rFonts w:ascii="Verdana" w:hAnsi="Verdana" w:cs="Arial"/>
          <w:sz w:val="18"/>
          <w:szCs w:val="18"/>
        </w:rPr>
        <w:t xml:space="preserve">zoals </w:t>
      </w:r>
      <w:r w:rsidR="008E70B9">
        <w:rPr>
          <w:rFonts w:ascii="Verdana" w:hAnsi="Verdana" w:cs="Arial"/>
          <w:sz w:val="18"/>
          <w:szCs w:val="18"/>
        </w:rPr>
        <w:t xml:space="preserve">is gebeurd in het Nederlandse staatsbestel, </w:t>
      </w:r>
      <w:r w:rsidR="00786525">
        <w:rPr>
          <w:rFonts w:ascii="Verdana" w:hAnsi="Verdana" w:cs="Arial"/>
          <w:sz w:val="18"/>
          <w:szCs w:val="18"/>
        </w:rPr>
        <w:t xml:space="preserve">is </w:t>
      </w:r>
      <w:r w:rsidR="008E70B9">
        <w:rPr>
          <w:rFonts w:ascii="Verdana" w:hAnsi="Verdana" w:cs="Arial"/>
          <w:sz w:val="18"/>
          <w:szCs w:val="18"/>
        </w:rPr>
        <w:t xml:space="preserve">hij </w:t>
      </w:r>
      <w:r w:rsidR="00786525">
        <w:rPr>
          <w:rFonts w:ascii="Verdana" w:hAnsi="Verdana" w:cs="Arial"/>
          <w:sz w:val="18"/>
          <w:szCs w:val="18"/>
        </w:rPr>
        <w:t xml:space="preserve">daarbij </w:t>
      </w:r>
      <w:r w:rsidR="00183C7E" w:rsidRPr="00284432">
        <w:rPr>
          <w:rFonts w:ascii="Verdana" w:hAnsi="Verdana" w:cs="Arial"/>
          <w:sz w:val="18"/>
          <w:szCs w:val="18"/>
        </w:rPr>
        <w:t xml:space="preserve">gebonden aan artikel 112, eerste lid, Grondwet (exclusieve bevoegdheid van de rechterlijke macht inzake burgerlijke rechten en schuldvorderingen) en artikel 113 (exclusieve bevoegdheid van de rechterlijke macht inzake de berechting van strafbare feiten). De wetgever </w:t>
      </w:r>
      <w:r w:rsidR="00720797">
        <w:rPr>
          <w:rFonts w:ascii="Verdana" w:hAnsi="Verdana" w:cs="Arial"/>
          <w:sz w:val="18"/>
          <w:szCs w:val="18"/>
        </w:rPr>
        <w:t xml:space="preserve">bepaalt </w:t>
      </w:r>
      <w:r w:rsidR="00183C7E" w:rsidRPr="00284432">
        <w:rPr>
          <w:rFonts w:ascii="Verdana" w:hAnsi="Verdana" w:cs="Arial"/>
          <w:sz w:val="18"/>
          <w:szCs w:val="18"/>
        </w:rPr>
        <w:t xml:space="preserve">volgens artikel 116, eerste lid, Grondwet, </w:t>
      </w:r>
      <w:r w:rsidR="008C3957">
        <w:rPr>
          <w:rFonts w:ascii="Verdana" w:hAnsi="Verdana" w:cs="Arial"/>
          <w:sz w:val="18"/>
          <w:szCs w:val="18"/>
        </w:rPr>
        <w:t xml:space="preserve">ook </w:t>
      </w:r>
      <w:r w:rsidR="00183C7E" w:rsidRPr="00284432">
        <w:rPr>
          <w:rFonts w:ascii="Verdana" w:hAnsi="Verdana" w:cs="Arial"/>
          <w:sz w:val="18"/>
          <w:szCs w:val="18"/>
        </w:rPr>
        <w:t xml:space="preserve">welke gerechten tot de rechterlijke macht behoren. </w:t>
      </w:r>
      <w:r w:rsidR="00720797">
        <w:rPr>
          <w:rFonts w:ascii="Verdana" w:hAnsi="Verdana" w:cs="Arial"/>
          <w:sz w:val="18"/>
          <w:szCs w:val="18"/>
        </w:rPr>
        <w:t>Hij</w:t>
      </w:r>
      <w:r w:rsidR="00183C7E" w:rsidRPr="00284432">
        <w:rPr>
          <w:rFonts w:ascii="Verdana" w:hAnsi="Verdana" w:cs="Arial"/>
          <w:sz w:val="18"/>
          <w:szCs w:val="18"/>
        </w:rPr>
        <w:t xml:space="preserve"> is </w:t>
      </w:r>
      <w:r w:rsidR="00183C7E" w:rsidRPr="00284432">
        <w:rPr>
          <w:rFonts w:ascii="Verdana" w:hAnsi="Verdana" w:cs="Arial"/>
          <w:sz w:val="18"/>
          <w:szCs w:val="18"/>
        </w:rPr>
        <w:lastRenderedPageBreak/>
        <w:t xml:space="preserve">daarin vrij, mits de eisen vervat in artikel 117 Grondwet inzake de rechterlijke onafhankelijkheid in acht worden genomen. </w:t>
      </w:r>
    </w:p>
    <w:p w:rsidR="00183C7E" w:rsidRDefault="00183C7E" w:rsidP="00E25D8A">
      <w:pPr>
        <w:pStyle w:val="Geenafstand"/>
        <w:suppressAutoHyphens/>
        <w:spacing w:line="280" w:lineRule="atLeast"/>
        <w:rPr>
          <w:rFonts w:ascii="Verdana" w:hAnsi="Verdana"/>
          <w:sz w:val="18"/>
          <w:szCs w:val="18"/>
        </w:rPr>
      </w:pPr>
    </w:p>
    <w:p w:rsidR="00E25D8A" w:rsidRPr="001F79A4" w:rsidRDefault="00720797" w:rsidP="00E25D8A">
      <w:pPr>
        <w:pStyle w:val="Geenafstand"/>
        <w:suppressAutoHyphens/>
        <w:spacing w:line="280" w:lineRule="atLeast"/>
        <w:rPr>
          <w:rFonts w:ascii="Verdana" w:hAnsi="Verdana"/>
          <w:sz w:val="18"/>
          <w:szCs w:val="18"/>
        </w:rPr>
      </w:pPr>
      <w:r>
        <w:rPr>
          <w:rFonts w:ascii="Verdana" w:hAnsi="Verdana"/>
          <w:sz w:val="18"/>
          <w:szCs w:val="18"/>
        </w:rPr>
        <w:t>D</w:t>
      </w:r>
      <w:r w:rsidR="00E25D8A">
        <w:rPr>
          <w:rFonts w:ascii="Verdana" w:hAnsi="Verdana"/>
          <w:sz w:val="18"/>
          <w:szCs w:val="18"/>
        </w:rPr>
        <w:t xml:space="preserve">e specifieke betekenis van </w:t>
      </w:r>
      <w:r w:rsidR="00BB4D8C">
        <w:rPr>
          <w:rFonts w:ascii="Verdana" w:hAnsi="Verdana"/>
          <w:sz w:val="18"/>
          <w:szCs w:val="18"/>
        </w:rPr>
        <w:t xml:space="preserve">het </w:t>
      </w:r>
      <w:r w:rsidR="00E25D8A" w:rsidRPr="00720797">
        <w:rPr>
          <w:rFonts w:ascii="Verdana" w:hAnsi="Verdana"/>
          <w:i/>
          <w:sz w:val="18"/>
          <w:szCs w:val="18"/>
        </w:rPr>
        <w:t xml:space="preserve">ius de non </w:t>
      </w:r>
      <w:proofErr w:type="spellStart"/>
      <w:r w:rsidR="00E25D8A" w:rsidRPr="00720797">
        <w:rPr>
          <w:rFonts w:ascii="Verdana" w:hAnsi="Verdana"/>
          <w:i/>
          <w:sz w:val="18"/>
          <w:szCs w:val="18"/>
        </w:rPr>
        <w:t>evocando</w:t>
      </w:r>
      <w:proofErr w:type="spellEnd"/>
      <w:r w:rsidR="00E25D8A">
        <w:rPr>
          <w:rFonts w:ascii="Verdana" w:hAnsi="Verdana"/>
          <w:sz w:val="18"/>
          <w:szCs w:val="18"/>
        </w:rPr>
        <w:t xml:space="preserve"> </w:t>
      </w:r>
      <w:r>
        <w:rPr>
          <w:rFonts w:ascii="Verdana" w:hAnsi="Verdana"/>
          <w:sz w:val="18"/>
          <w:szCs w:val="18"/>
        </w:rPr>
        <w:t xml:space="preserve">wordt in dit voorstel conform het unanieme advies van de staatscommissie </w:t>
      </w:r>
      <w:r w:rsidR="00E25D8A">
        <w:rPr>
          <w:rFonts w:ascii="Verdana" w:hAnsi="Verdana"/>
          <w:sz w:val="18"/>
          <w:szCs w:val="18"/>
        </w:rPr>
        <w:t>behouden in het tweede lid van de voorgestelde bepaling</w:t>
      </w:r>
      <w:r w:rsidR="00BB4D8C">
        <w:rPr>
          <w:rFonts w:ascii="Verdana" w:hAnsi="Verdana"/>
          <w:sz w:val="18"/>
          <w:szCs w:val="18"/>
        </w:rPr>
        <w:t xml:space="preserve"> inzake het recht op een eerlijk proces</w:t>
      </w:r>
      <w:r w:rsidR="001E5506">
        <w:rPr>
          <w:rFonts w:ascii="Verdana" w:hAnsi="Verdana"/>
          <w:sz w:val="18"/>
          <w:szCs w:val="18"/>
        </w:rPr>
        <w:t xml:space="preserve">. </w:t>
      </w:r>
      <w:r w:rsidR="00392D45" w:rsidRPr="00446DA9">
        <w:rPr>
          <w:rFonts w:ascii="Verdana" w:hAnsi="Verdana"/>
          <w:sz w:val="18"/>
          <w:szCs w:val="18"/>
        </w:rPr>
        <w:t>Het huidige artikel 17 Grondwet biedt echter geen soelaas als de wet niet heeft voorzie</w:t>
      </w:r>
      <w:r w:rsidR="00C5610B">
        <w:rPr>
          <w:rFonts w:ascii="Verdana" w:hAnsi="Verdana"/>
          <w:sz w:val="18"/>
          <w:szCs w:val="18"/>
        </w:rPr>
        <w:t xml:space="preserve">n in een rechtsmiddel. In navolging van het EHRM beschouwt het kabinet het recht op een (positief) recht op toegang tot de rechter als inherent aan het recht op een eerlijk proces, zoals dat wordt verankerd in het eerste lid van het voorgestelde artikel 17. Dat wil zeggen dat als de wetgever (nog) niet heeft voorzien in een rechtsgang, maar de rechtszaak wel binnen de reikwijdte van </w:t>
      </w:r>
      <w:r w:rsidR="005A6622">
        <w:rPr>
          <w:rFonts w:ascii="Verdana" w:hAnsi="Verdana"/>
          <w:sz w:val="18"/>
          <w:szCs w:val="18"/>
        </w:rPr>
        <w:t>het voorgestelde artikel 17, eerste lid,</w:t>
      </w:r>
      <w:r w:rsidR="00C5610B">
        <w:rPr>
          <w:rFonts w:ascii="Verdana" w:hAnsi="Verdana"/>
          <w:sz w:val="18"/>
          <w:szCs w:val="18"/>
        </w:rPr>
        <w:t xml:space="preserve"> val</w:t>
      </w:r>
      <w:r w:rsidR="00392D45" w:rsidRPr="00446DA9">
        <w:rPr>
          <w:rFonts w:ascii="Verdana" w:hAnsi="Verdana"/>
          <w:sz w:val="18"/>
          <w:szCs w:val="18"/>
        </w:rPr>
        <w:t>t, de burger op grond van die grondwetsbepaling toch bij een rechter terecht moet kunnen.</w:t>
      </w:r>
      <w:r w:rsidR="00E25D8A">
        <w:rPr>
          <w:rFonts w:ascii="Verdana" w:hAnsi="Verdana"/>
          <w:sz w:val="18"/>
          <w:szCs w:val="18"/>
        </w:rPr>
        <w:t xml:space="preserve"> </w:t>
      </w:r>
      <w:r w:rsidR="001D49D6">
        <w:rPr>
          <w:rFonts w:ascii="Verdana" w:hAnsi="Verdana"/>
          <w:sz w:val="18"/>
          <w:szCs w:val="18"/>
        </w:rPr>
        <w:t>Het ligt voor de hand dat de burgerlijke rechter, die op dit moment reeds als restrechter functioneert op grond van artikel 112, eerste lid, Grondwet, zich dan bevoegd verklaar</w:t>
      </w:r>
      <w:r>
        <w:rPr>
          <w:rFonts w:ascii="Verdana" w:hAnsi="Verdana"/>
          <w:sz w:val="18"/>
          <w:szCs w:val="18"/>
        </w:rPr>
        <w:t>t</w:t>
      </w:r>
      <w:r w:rsidR="001D49D6">
        <w:rPr>
          <w:rFonts w:ascii="Verdana" w:hAnsi="Verdana"/>
          <w:sz w:val="18"/>
          <w:szCs w:val="18"/>
        </w:rPr>
        <w:t>.</w:t>
      </w:r>
      <w:r w:rsidR="00216CDC">
        <w:rPr>
          <w:rFonts w:ascii="Verdana" w:eastAsia="Arial Unicode MS" w:hAnsi="Verdana" w:cs="Arial Unicode MS"/>
          <w:sz w:val="18"/>
          <w:szCs w:val="18"/>
        </w:rPr>
        <w:t xml:space="preserve"> </w:t>
      </w:r>
    </w:p>
    <w:p w:rsidR="00F97C79" w:rsidRDefault="00F97C79" w:rsidP="00F97C79">
      <w:pPr>
        <w:spacing w:after="0" w:line="280" w:lineRule="atLeast"/>
        <w:rPr>
          <w:rFonts w:ascii="Verdana" w:hAnsi="Verdana"/>
          <w:sz w:val="18"/>
          <w:szCs w:val="18"/>
        </w:rPr>
      </w:pPr>
    </w:p>
    <w:p w:rsidR="00F97C79" w:rsidRPr="006D1B78" w:rsidRDefault="00F97C79" w:rsidP="00F97C79">
      <w:pPr>
        <w:spacing w:after="0" w:line="280" w:lineRule="atLeast"/>
        <w:rPr>
          <w:rFonts w:ascii="Verdana" w:hAnsi="Verdana"/>
          <w:sz w:val="18"/>
          <w:szCs w:val="18"/>
        </w:rPr>
      </w:pPr>
      <w:r>
        <w:rPr>
          <w:rFonts w:ascii="Verdana" w:hAnsi="Verdana"/>
          <w:sz w:val="18"/>
          <w:szCs w:val="18"/>
        </w:rPr>
        <w:t xml:space="preserve">Juridische geschillen worden niet altijd door middel van een gang naar de rechter opgelost. Er zijn veel andere mogelijkheden om geschillen te beslechten die goedkoper en sneller zijn dan een gang naar de rechter en tot een even goede of zelfs meer bevredigende uitkomst voor partijen kunnen leiden. Het gaat daarbij om buitengerechtelijke vormen van geschilbeslechting, zoals zelfhulp, arbitrage, </w:t>
      </w:r>
      <w:proofErr w:type="spellStart"/>
      <w:r>
        <w:rPr>
          <w:rFonts w:ascii="Verdana" w:hAnsi="Verdana"/>
          <w:sz w:val="18"/>
          <w:szCs w:val="18"/>
        </w:rPr>
        <w:t>mediation</w:t>
      </w:r>
      <w:proofErr w:type="spellEnd"/>
      <w:r>
        <w:rPr>
          <w:rFonts w:ascii="Verdana" w:hAnsi="Verdana"/>
          <w:sz w:val="18"/>
          <w:szCs w:val="18"/>
        </w:rPr>
        <w:t xml:space="preserve"> en andere vormen van (rechts)hulpverlening.</w:t>
      </w:r>
      <w:r>
        <w:rPr>
          <w:rStyle w:val="Voetnootmarkering"/>
          <w:rFonts w:ascii="Verdana" w:hAnsi="Verdana"/>
          <w:sz w:val="18"/>
          <w:szCs w:val="18"/>
        </w:rPr>
        <w:footnoteReference w:id="43"/>
      </w:r>
      <w:r>
        <w:rPr>
          <w:rFonts w:ascii="Verdana" w:hAnsi="Verdana"/>
          <w:sz w:val="18"/>
          <w:szCs w:val="18"/>
        </w:rPr>
        <w:t xml:space="preserve"> Deze alternatieve vormen van geschilbeslechting berusten op een vrije keuze van de rechtzoekende, zoals volgt uit het huidige artikel 17 Grondwet. Niemand mag door overheidsingrijpen worden afgehouden van toegang tot de rechter die bij de wet is ingesteld. Wel mag men vrijwillig afzien van een beroep op de rechter. Het voorgestelde nieuwe artikel 17</w:t>
      </w:r>
      <w:r w:rsidR="00B42787">
        <w:rPr>
          <w:rFonts w:ascii="Verdana" w:hAnsi="Verdana"/>
          <w:sz w:val="18"/>
          <w:szCs w:val="18"/>
        </w:rPr>
        <w:t>, eerste lid,</w:t>
      </w:r>
      <w:r>
        <w:rPr>
          <w:rFonts w:ascii="Verdana" w:hAnsi="Verdana"/>
          <w:sz w:val="18"/>
          <w:szCs w:val="18"/>
        </w:rPr>
        <w:t xml:space="preserve"> Grondwet gaat – net als de huidige bepaling – over</w:t>
      </w:r>
      <w:r w:rsidRPr="00072EB4">
        <w:rPr>
          <w:rFonts w:ascii="Verdana" w:hAnsi="Verdana"/>
          <w:sz w:val="18"/>
          <w:szCs w:val="18"/>
        </w:rPr>
        <w:t xml:space="preserve"> de </w:t>
      </w:r>
      <w:r>
        <w:rPr>
          <w:rFonts w:ascii="Verdana" w:hAnsi="Verdana"/>
          <w:sz w:val="18"/>
          <w:szCs w:val="18"/>
        </w:rPr>
        <w:t xml:space="preserve">toegang tot de </w:t>
      </w:r>
      <w:r w:rsidRPr="00072EB4">
        <w:rPr>
          <w:rFonts w:ascii="Verdana" w:hAnsi="Verdana"/>
          <w:sz w:val="18"/>
          <w:szCs w:val="18"/>
        </w:rPr>
        <w:t>overheidsrechter</w:t>
      </w:r>
      <w:r>
        <w:rPr>
          <w:rFonts w:ascii="Verdana" w:hAnsi="Verdana"/>
          <w:sz w:val="18"/>
          <w:szCs w:val="18"/>
        </w:rPr>
        <w:t xml:space="preserve">, dat wil zeggen over de toegang tot de </w:t>
      </w:r>
      <w:r w:rsidRPr="00072EB4">
        <w:rPr>
          <w:rFonts w:ascii="Verdana" w:hAnsi="Verdana"/>
          <w:sz w:val="18"/>
          <w:szCs w:val="18"/>
        </w:rPr>
        <w:t>gerechten bedoeld in ho</w:t>
      </w:r>
      <w:r>
        <w:rPr>
          <w:rFonts w:ascii="Verdana" w:hAnsi="Verdana"/>
          <w:sz w:val="18"/>
          <w:szCs w:val="18"/>
        </w:rPr>
        <w:t>ofdstuk 6 van de Grondwet</w:t>
      </w:r>
      <w:r w:rsidR="005A6622">
        <w:rPr>
          <w:rFonts w:ascii="Verdana" w:hAnsi="Verdana"/>
          <w:sz w:val="18"/>
          <w:szCs w:val="18"/>
        </w:rPr>
        <w:t>: gerechten</w:t>
      </w:r>
      <w:r>
        <w:rPr>
          <w:rFonts w:ascii="Verdana" w:hAnsi="Verdana"/>
          <w:sz w:val="18"/>
          <w:szCs w:val="18"/>
        </w:rPr>
        <w:t xml:space="preserve"> die behoren tot de rechterlijke macht, de door de wetgever ingestelde </w:t>
      </w:r>
      <w:r w:rsidRPr="00072EB4">
        <w:rPr>
          <w:rFonts w:ascii="Verdana" w:hAnsi="Verdana"/>
          <w:sz w:val="18"/>
          <w:szCs w:val="18"/>
        </w:rPr>
        <w:t>gerec</w:t>
      </w:r>
      <w:r>
        <w:rPr>
          <w:rFonts w:ascii="Verdana" w:hAnsi="Verdana"/>
          <w:sz w:val="18"/>
          <w:szCs w:val="18"/>
        </w:rPr>
        <w:t xml:space="preserve">hten die niet behoren tot de rechterlijke macht, alsmede de </w:t>
      </w:r>
      <w:r w:rsidRPr="00072EB4">
        <w:rPr>
          <w:rFonts w:ascii="Verdana" w:hAnsi="Verdana"/>
          <w:sz w:val="18"/>
          <w:szCs w:val="18"/>
        </w:rPr>
        <w:t>van overheidswege ingestelde tuch</w:t>
      </w:r>
      <w:r>
        <w:rPr>
          <w:rFonts w:ascii="Verdana" w:hAnsi="Verdana"/>
          <w:sz w:val="18"/>
          <w:szCs w:val="18"/>
        </w:rPr>
        <w:t>trechtspraak. Private geschilbeslechting, particuliere tuchtrechtspraak en de genoemde andere a</w:t>
      </w:r>
      <w:r w:rsidRPr="00072EB4">
        <w:rPr>
          <w:rFonts w:ascii="Verdana" w:hAnsi="Verdana"/>
          <w:sz w:val="18"/>
          <w:szCs w:val="18"/>
        </w:rPr>
        <w:t>lternatieve vormen va</w:t>
      </w:r>
      <w:r>
        <w:rPr>
          <w:rFonts w:ascii="Verdana" w:hAnsi="Verdana"/>
          <w:sz w:val="18"/>
          <w:szCs w:val="18"/>
        </w:rPr>
        <w:t>n geschilbeslechting vallen derhalve buiten de reikwijdte van het recht op een eerlijk proces in dit wetsvoorstel.</w:t>
      </w:r>
    </w:p>
    <w:p w:rsidR="00841E29" w:rsidRDefault="00841E29" w:rsidP="00841E29">
      <w:pPr>
        <w:spacing w:after="0" w:line="280" w:lineRule="atLeast"/>
        <w:rPr>
          <w:rFonts w:ascii="Verdana" w:hAnsi="Verdana" w:cs="Arial"/>
          <w:sz w:val="18"/>
          <w:szCs w:val="18"/>
        </w:rPr>
      </w:pPr>
    </w:p>
    <w:p w:rsidR="00786A97" w:rsidRPr="006570F9" w:rsidRDefault="006D1B78" w:rsidP="00786A97">
      <w:pPr>
        <w:pStyle w:val="Geenafstand"/>
        <w:spacing w:line="280" w:lineRule="atLeast"/>
        <w:rPr>
          <w:rFonts w:ascii="Verdana" w:hAnsi="Verdana"/>
          <w:sz w:val="18"/>
          <w:szCs w:val="18"/>
        </w:rPr>
      </w:pPr>
      <w:r>
        <w:rPr>
          <w:rFonts w:ascii="Verdana" w:hAnsi="Verdana"/>
          <w:sz w:val="18"/>
          <w:szCs w:val="18"/>
        </w:rPr>
        <w:t>Om de toegang tot de rechter daadwerk</w:t>
      </w:r>
      <w:r w:rsidR="00C54752">
        <w:rPr>
          <w:rFonts w:ascii="Verdana" w:hAnsi="Verdana"/>
          <w:sz w:val="18"/>
          <w:szCs w:val="18"/>
        </w:rPr>
        <w:t>elijk te kunnen effectueren kunn</w:t>
      </w:r>
      <w:r>
        <w:rPr>
          <w:rFonts w:ascii="Verdana" w:hAnsi="Verdana"/>
          <w:sz w:val="18"/>
          <w:szCs w:val="18"/>
        </w:rPr>
        <w:t>en rechtzo</w:t>
      </w:r>
      <w:r w:rsidR="00C54752">
        <w:rPr>
          <w:rFonts w:ascii="Verdana" w:hAnsi="Verdana"/>
          <w:sz w:val="18"/>
          <w:szCs w:val="18"/>
        </w:rPr>
        <w:t>ekenden</w:t>
      </w:r>
      <w:r>
        <w:rPr>
          <w:rFonts w:ascii="Verdana" w:hAnsi="Verdana"/>
          <w:sz w:val="18"/>
          <w:szCs w:val="18"/>
        </w:rPr>
        <w:t xml:space="preserve"> de ondersteuning van een raadsman nodig</w:t>
      </w:r>
      <w:r w:rsidR="00C54752">
        <w:rPr>
          <w:rFonts w:ascii="Verdana" w:hAnsi="Verdana"/>
          <w:sz w:val="18"/>
          <w:szCs w:val="18"/>
        </w:rPr>
        <w:t xml:space="preserve"> hebben</w:t>
      </w:r>
      <w:r>
        <w:rPr>
          <w:rFonts w:ascii="Verdana" w:hAnsi="Verdana"/>
          <w:sz w:val="18"/>
          <w:szCs w:val="18"/>
        </w:rPr>
        <w:t xml:space="preserve">. </w:t>
      </w:r>
      <w:r w:rsidRPr="00786A97">
        <w:rPr>
          <w:rFonts w:ascii="Verdana" w:hAnsi="Verdana"/>
          <w:sz w:val="18"/>
          <w:szCs w:val="18"/>
        </w:rPr>
        <w:t>Artikel</w:t>
      </w:r>
      <w:r>
        <w:rPr>
          <w:rFonts w:ascii="Verdana" w:hAnsi="Verdana"/>
          <w:sz w:val="18"/>
          <w:szCs w:val="18"/>
        </w:rPr>
        <w:t xml:space="preserve"> 18 Grondwet geeft </w:t>
      </w:r>
      <w:r w:rsidRPr="00786A97">
        <w:rPr>
          <w:rFonts w:ascii="Verdana" w:hAnsi="Verdana"/>
          <w:sz w:val="18"/>
          <w:szCs w:val="18"/>
        </w:rPr>
        <w:t>een algemeen recht op rechtsbijstand in rechterlijke</w:t>
      </w:r>
      <w:r w:rsidR="000B3546">
        <w:rPr>
          <w:rFonts w:ascii="Verdana" w:hAnsi="Verdana"/>
          <w:sz w:val="18"/>
          <w:szCs w:val="18"/>
        </w:rPr>
        <w:t xml:space="preserve"> procedures en verplicht</w:t>
      </w:r>
      <w:r w:rsidRPr="00786A97">
        <w:rPr>
          <w:rFonts w:ascii="Verdana" w:hAnsi="Verdana"/>
          <w:sz w:val="18"/>
          <w:szCs w:val="18"/>
        </w:rPr>
        <w:t xml:space="preserve"> de wetgever om vast te stellen in welke gevallen een recht op gefinancierde rechtsbijstand bestaat.</w:t>
      </w:r>
      <w:r>
        <w:rPr>
          <w:rFonts w:ascii="Verdana" w:hAnsi="Verdana"/>
          <w:sz w:val="18"/>
          <w:szCs w:val="18"/>
        </w:rPr>
        <w:t xml:space="preserve"> </w:t>
      </w:r>
      <w:r w:rsidR="00786A97" w:rsidRPr="00786A97">
        <w:rPr>
          <w:rFonts w:ascii="Verdana" w:hAnsi="Verdana"/>
          <w:sz w:val="18"/>
          <w:szCs w:val="18"/>
        </w:rPr>
        <w:t>Onderdeel van het recht op toegang tot de rechter is dat rechtzoekende</w:t>
      </w:r>
      <w:r w:rsidR="00786A97">
        <w:rPr>
          <w:rFonts w:ascii="Verdana" w:hAnsi="Verdana"/>
          <w:sz w:val="18"/>
          <w:szCs w:val="18"/>
        </w:rPr>
        <w:t>n</w:t>
      </w:r>
      <w:r w:rsidR="00786A97" w:rsidRPr="00786A97">
        <w:rPr>
          <w:rFonts w:ascii="Verdana" w:hAnsi="Verdana"/>
          <w:sz w:val="18"/>
          <w:szCs w:val="18"/>
        </w:rPr>
        <w:t xml:space="preserve"> die zelf in redelijkheid niet de kosten van een juridische procedure kunnen dragen, een beroep kunnen doen op gesubsidieerde rechtsbijstand.</w:t>
      </w:r>
      <w:r w:rsidR="00786A97" w:rsidRPr="00786A97">
        <w:rPr>
          <w:rStyle w:val="Voetnootmarkering"/>
          <w:rFonts w:ascii="Verdana" w:hAnsi="Verdana" w:cs="Arial"/>
          <w:sz w:val="18"/>
          <w:szCs w:val="18"/>
        </w:rPr>
        <w:footnoteReference w:id="44"/>
      </w:r>
      <w:r>
        <w:rPr>
          <w:rFonts w:ascii="Verdana" w:hAnsi="Verdana"/>
          <w:sz w:val="18"/>
          <w:szCs w:val="18"/>
        </w:rPr>
        <w:t xml:space="preserve"> Artikel 18, tweede lid, Grondwet bevat geen rechtstreeks in rechte inroepbaar grondrecht</w:t>
      </w:r>
      <w:r w:rsidR="00E51064">
        <w:rPr>
          <w:rFonts w:ascii="Verdana" w:hAnsi="Verdana"/>
          <w:sz w:val="18"/>
          <w:szCs w:val="18"/>
        </w:rPr>
        <w:t xml:space="preserve">, maar verplicht de wetgever om regels te stellen omtrent rechtsbijstand aan minvermogenden, zodat deze niet wegens hun geringe </w:t>
      </w:r>
      <w:r w:rsidR="000B63A9">
        <w:rPr>
          <w:rFonts w:ascii="Verdana" w:hAnsi="Verdana"/>
          <w:sz w:val="18"/>
          <w:szCs w:val="18"/>
        </w:rPr>
        <w:t>financiële</w:t>
      </w:r>
      <w:r w:rsidR="00E51064">
        <w:rPr>
          <w:rFonts w:ascii="Verdana" w:hAnsi="Verdana"/>
          <w:sz w:val="18"/>
          <w:szCs w:val="18"/>
        </w:rPr>
        <w:t xml:space="preserve"> draagkracht van het fundamentele recht op bijstand in rechte verstoken blijven.</w:t>
      </w:r>
      <w:r w:rsidR="00E51064">
        <w:rPr>
          <w:rStyle w:val="Voetnootmarkering"/>
          <w:rFonts w:ascii="Verdana" w:hAnsi="Verdana"/>
          <w:sz w:val="18"/>
          <w:szCs w:val="18"/>
        </w:rPr>
        <w:footnoteReference w:id="45"/>
      </w:r>
      <w:r w:rsidR="00786A97" w:rsidRPr="00786A97">
        <w:rPr>
          <w:rFonts w:ascii="Verdana" w:hAnsi="Verdana"/>
          <w:sz w:val="18"/>
          <w:szCs w:val="18"/>
        </w:rPr>
        <w:t xml:space="preserve"> </w:t>
      </w:r>
      <w:r w:rsidR="00C54752">
        <w:rPr>
          <w:rFonts w:ascii="Verdana" w:hAnsi="Verdana"/>
          <w:sz w:val="18"/>
          <w:szCs w:val="18"/>
        </w:rPr>
        <w:t>In welke gevallen iemand aanspraak kan maken op gefinancierde rechtsbijstand</w:t>
      </w:r>
      <w:r w:rsidR="00470D23">
        <w:rPr>
          <w:rFonts w:ascii="Verdana" w:hAnsi="Verdana"/>
          <w:sz w:val="18"/>
          <w:szCs w:val="18"/>
        </w:rPr>
        <w:t xml:space="preserve"> is geregeld in de Wet</w:t>
      </w:r>
      <w:r w:rsidR="001F6636">
        <w:rPr>
          <w:rFonts w:ascii="Verdana" w:hAnsi="Verdana"/>
          <w:sz w:val="18"/>
          <w:szCs w:val="18"/>
        </w:rPr>
        <w:t xml:space="preserve"> op de</w:t>
      </w:r>
      <w:r w:rsidR="00470D23">
        <w:rPr>
          <w:rFonts w:ascii="Verdana" w:hAnsi="Verdana"/>
          <w:sz w:val="18"/>
          <w:szCs w:val="18"/>
        </w:rPr>
        <w:t xml:space="preserve"> rechtsbijstand en de daarop gebaseerde besluiten. </w:t>
      </w:r>
      <w:r w:rsidR="006570F9" w:rsidRPr="006570F9">
        <w:rPr>
          <w:rFonts w:ascii="Verdana" w:hAnsi="Verdana"/>
          <w:sz w:val="18"/>
          <w:szCs w:val="18"/>
        </w:rPr>
        <w:t>De wetgever is daarbij gehouden binnen de grenzen van artikel 6 EVRM te blijven</w:t>
      </w:r>
      <w:r w:rsidR="008E70B9">
        <w:rPr>
          <w:rFonts w:ascii="Verdana" w:hAnsi="Verdana"/>
          <w:sz w:val="18"/>
          <w:szCs w:val="18"/>
        </w:rPr>
        <w:t>. D</w:t>
      </w:r>
      <w:r w:rsidR="006570F9" w:rsidRPr="006570F9">
        <w:rPr>
          <w:rFonts w:ascii="Verdana" w:hAnsi="Verdana"/>
          <w:sz w:val="18"/>
          <w:szCs w:val="18"/>
        </w:rPr>
        <w:t>aaro</w:t>
      </w:r>
      <w:r w:rsidR="008E70B9">
        <w:rPr>
          <w:rFonts w:ascii="Verdana" w:hAnsi="Verdana"/>
          <w:sz w:val="18"/>
          <w:szCs w:val="18"/>
        </w:rPr>
        <w:t>p</w:t>
      </w:r>
      <w:r w:rsidR="006570F9" w:rsidRPr="006570F9">
        <w:rPr>
          <w:rFonts w:ascii="Verdana" w:hAnsi="Verdana"/>
          <w:sz w:val="18"/>
          <w:szCs w:val="18"/>
        </w:rPr>
        <w:t xml:space="preserve"> </w:t>
      </w:r>
      <w:r w:rsidR="00C70E00">
        <w:rPr>
          <w:rFonts w:ascii="Verdana" w:hAnsi="Verdana"/>
          <w:sz w:val="18"/>
          <w:szCs w:val="18"/>
        </w:rPr>
        <w:t>wordt nader ingegaan</w:t>
      </w:r>
      <w:r w:rsidR="006570F9" w:rsidRPr="006570F9">
        <w:rPr>
          <w:rFonts w:ascii="Verdana" w:hAnsi="Verdana"/>
          <w:sz w:val="18"/>
          <w:szCs w:val="18"/>
        </w:rPr>
        <w:t xml:space="preserve"> in de hierna volgende paragrafen.</w:t>
      </w:r>
    </w:p>
    <w:p w:rsidR="00786A97" w:rsidRPr="00786A97" w:rsidRDefault="00786A97" w:rsidP="00786A97">
      <w:pPr>
        <w:pStyle w:val="Geenafstand"/>
        <w:spacing w:line="280" w:lineRule="atLeast"/>
        <w:rPr>
          <w:rFonts w:ascii="Verdana" w:hAnsi="Verdana"/>
          <w:sz w:val="18"/>
          <w:szCs w:val="18"/>
        </w:rPr>
      </w:pPr>
    </w:p>
    <w:p w:rsidR="00284432" w:rsidRPr="00841E29" w:rsidRDefault="00841E29" w:rsidP="00841E29">
      <w:pPr>
        <w:spacing w:after="0" w:line="280" w:lineRule="atLeast"/>
        <w:rPr>
          <w:rFonts w:ascii="Verdana" w:hAnsi="Verdana" w:cs="Arial"/>
          <w:sz w:val="18"/>
          <w:szCs w:val="18"/>
        </w:rPr>
      </w:pPr>
      <w:r>
        <w:rPr>
          <w:rFonts w:ascii="Verdana" w:hAnsi="Verdana" w:cs="Arial"/>
          <w:sz w:val="18"/>
          <w:szCs w:val="18"/>
        </w:rPr>
        <w:lastRenderedPageBreak/>
        <w:t>5.3</w:t>
      </w:r>
      <w:r>
        <w:rPr>
          <w:rFonts w:ascii="Verdana" w:hAnsi="Verdana" w:cs="Arial"/>
          <w:sz w:val="18"/>
          <w:szCs w:val="18"/>
        </w:rPr>
        <w:tab/>
      </w:r>
      <w:r w:rsidR="00284432" w:rsidRPr="00841E29">
        <w:rPr>
          <w:rFonts w:ascii="Verdana" w:hAnsi="Verdana" w:cs="Arial"/>
          <w:sz w:val="18"/>
          <w:szCs w:val="18"/>
        </w:rPr>
        <w:t>Artikel</w:t>
      </w:r>
      <w:r w:rsidR="009562B8" w:rsidRPr="00841E29">
        <w:rPr>
          <w:rFonts w:ascii="Verdana" w:hAnsi="Verdana" w:cs="Arial"/>
          <w:sz w:val="18"/>
          <w:szCs w:val="18"/>
        </w:rPr>
        <w:t>en</w:t>
      </w:r>
      <w:r w:rsidR="00284432" w:rsidRPr="00841E29">
        <w:rPr>
          <w:rFonts w:ascii="Verdana" w:hAnsi="Verdana" w:cs="Arial"/>
          <w:sz w:val="18"/>
          <w:szCs w:val="18"/>
        </w:rPr>
        <w:t xml:space="preserve"> 6 </w:t>
      </w:r>
      <w:r w:rsidR="00C31CA4" w:rsidRPr="00841E29">
        <w:rPr>
          <w:rFonts w:ascii="Verdana" w:hAnsi="Verdana" w:cs="Arial"/>
          <w:sz w:val="18"/>
          <w:szCs w:val="18"/>
        </w:rPr>
        <w:t xml:space="preserve">en 13 </w:t>
      </w:r>
      <w:r w:rsidR="001A7A98">
        <w:rPr>
          <w:rFonts w:ascii="Verdana" w:hAnsi="Verdana" w:cs="Arial"/>
          <w:sz w:val="18"/>
          <w:szCs w:val="18"/>
        </w:rPr>
        <w:t>EVRM</w:t>
      </w:r>
      <w:r w:rsidR="006D1693">
        <w:rPr>
          <w:rFonts w:ascii="Verdana" w:hAnsi="Verdana" w:cs="Arial"/>
          <w:sz w:val="18"/>
          <w:szCs w:val="18"/>
        </w:rPr>
        <w:t xml:space="preserve">, </w:t>
      </w:r>
      <w:r w:rsidR="001A7A98">
        <w:rPr>
          <w:rFonts w:ascii="Verdana" w:hAnsi="Verdana" w:cs="Arial"/>
          <w:sz w:val="18"/>
          <w:szCs w:val="18"/>
        </w:rPr>
        <w:t>artikel 47 EU-Handvest</w:t>
      </w:r>
    </w:p>
    <w:p w:rsidR="00284432" w:rsidRPr="00284432" w:rsidRDefault="00284432" w:rsidP="00284432">
      <w:pPr>
        <w:pStyle w:val="Lijstalinea"/>
        <w:spacing w:after="0" w:line="280" w:lineRule="atLeast"/>
        <w:ind w:left="360"/>
        <w:rPr>
          <w:rFonts w:ascii="Verdana" w:hAnsi="Verdana" w:cs="Arial"/>
          <w:i/>
          <w:sz w:val="18"/>
          <w:szCs w:val="18"/>
        </w:rPr>
      </w:pPr>
      <w:r w:rsidRPr="00284432">
        <w:rPr>
          <w:rFonts w:ascii="Verdana" w:hAnsi="Verdana" w:cs="Arial"/>
          <w:i/>
          <w:sz w:val="18"/>
          <w:szCs w:val="18"/>
        </w:rPr>
        <w:t xml:space="preserve"> </w:t>
      </w:r>
      <w:r w:rsidR="00037389">
        <w:rPr>
          <w:rFonts w:ascii="Verdana" w:hAnsi="Verdana" w:cs="Arial"/>
          <w:i/>
          <w:sz w:val="18"/>
          <w:szCs w:val="18"/>
        </w:rPr>
        <w:t xml:space="preserve"> </w:t>
      </w:r>
    </w:p>
    <w:p w:rsidR="00720797" w:rsidRPr="001E3278" w:rsidRDefault="004736C7" w:rsidP="00302CD1">
      <w:pPr>
        <w:pStyle w:val="Geenafstand"/>
        <w:spacing w:line="280" w:lineRule="atLeast"/>
        <w:rPr>
          <w:rFonts w:ascii="Verdana" w:hAnsi="Verdana" w:cs="Arial"/>
          <w:sz w:val="18"/>
          <w:szCs w:val="18"/>
        </w:rPr>
      </w:pPr>
      <w:r>
        <w:rPr>
          <w:rFonts w:ascii="Verdana" w:hAnsi="Verdana" w:cs="Arial"/>
          <w:sz w:val="18"/>
          <w:szCs w:val="18"/>
        </w:rPr>
        <w:t xml:space="preserve">Het recht op toegang tot de rechter </w:t>
      </w:r>
      <w:r w:rsidR="006725FA">
        <w:rPr>
          <w:rFonts w:ascii="Verdana" w:hAnsi="Verdana" w:cs="Arial"/>
          <w:sz w:val="18"/>
          <w:szCs w:val="18"/>
        </w:rPr>
        <w:t>omva</w:t>
      </w:r>
      <w:r w:rsidR="00AB0310">
        <w:rPr>
          <w:rFonts w:ascii="Verdana" w:hAnsi="Verdana" w:cs="Arial"/>
          <w:sz w:val="18"/>
          <w:szCs w:val="18"/>
        </w:rPr>
        <w:t xml:space="preserve">t </w:t>
      </w:r>
      <w:r w:rsidR="006725FA">
        <w:rPr>
          <w:rFonts w:ascii="Verdana" w:hAnsi="Verdana" w:cs="Arial"/>
          <w:sz w:val="18"/>
          <w:szCs w:val="18"/>
        </w:rPr>
        <w:t>volgens de jurisprudentie van het EHRM in bepaalde gevallen de verplichting</w:t>
      </w:r>
      <w:r w:rsidR="00284432" w:rsidRPr="00284432">
        <w:rPr>
          <w:rFonts w:ascii="Verdana" w:hAnsi="Verdana" w:cs="Arial"/>
          <w:sz w:val="18"/>
          <w:szCs w:val="18"/>
        </w:rPr>
        <w:t xml:space="preserve"> om te voorzien in rechtsbijstand door</w:t>
      </w:r>
      <w:r w:rsidR="006725FA">
        <w:rPr>
          <w:rFonts w:ascii="Verdana" w:hAnsi="Verdana" w:cs="Arial"/>
          <w:sz w:val="18"/>
          <w:szCs w:val="18"/>
        </w:rPr>
        <w:t xml:space="preserve"> een raadsman</w:t>
      </w:r>
      <w:r w:rsidR="006725FA">
        <w:rPr>
          <w:rStyle w:val="Voetnootmarkering"/>
          <w:rFonts w:ascii="Verdana" w:hAnsi="Verdana" w:cs="Arial"/>
          <w:sz w:val="18"/>
          <w:szCs w:val="18"/>
        </w:rPr>
        <w:footnoteReference w:id="46"/>
      </w:r>
      <w:r w:rsidR="00284432" w:rsidRPr="00284432">
        <w:rPr>
          <w:rFonts w:ascii="Verdana" w:hAnsi="Verdana" w:cs="Arial"/>
          <w:sz w:val="18"/>
          <w:szCs w:val="18"/>
        </w:rPr>
        <w:t xml:space="preserve"> </w:t>
      </w:r>
      <w:r w:rsidR="00476241">
        <w:rPr>
          <w:rFonts w:ascii="Verdana" w:hAnsi="Verdana" w:cs="Arial"/>
          <w:sz w:val="18"/>
          <w:szCs w:val="18"/>
        </w:rPr>
        <w:t xml:space="preserve">en </w:t>
      </w:r>
      <w:r w:rsidR="00AC4031">
        <w:rPr>
          <w:rFonts w:ascii="Verdana" w:hAnsi="Verdana" w:cs="Arial"/>
          <w:sz w:val="18"/>
          <w:szCs w:val="18"/>
        </w:rPr>
        <w:t xml:space="preserve">kan gevolgen hebben voor de </w:t>
      </w:r>
      <w:r w:rsidR="00284432" w:rsidRPr="00284432">
        <w:rPr>
          <w:rFonts w:ascii="Verdana" w:hAnsi="Verdana" w:cs="Arial"/>
          <w:sz w:val="18"/>
          <w:szCs w:val="18"/>
        </w:rPr>
        <w:t>eisen die aan een procedure gesteld worden</w:t>
      </w:r>
      <w:r w:rsidR="00476241">
        <w:rPr>
          <w:rFonts w:ascii="Verdana" w:hAnsi="Verdana" w:cs="Arial"/>
          <w:sz w:val="18"/>
          <w:szCs w:val="18"/>
        </w:rPr>
        <w:t>.</w:t>
      </w:r>
      <w:r w:rsidR="006725FA">
        <w:rPr>
          <w:rStyle w:val="Voetnootmarkering"/>
          <w:rFonts w:ascii="Verdana" w:hAnsi="Verdana" w:cs="Arial"/>
          <w:sz w:val="18"/>
          <w:szCs w:val="18"/>
        </w:rPr>
        <w:footnoteReference w:id="47"/>
      </w:r>
      <w:r w:rsidR="00284432" w:rsidRPr="00284432">
        <w:rPr>
          <w:rFonts w:ascii="Verdana" w:hAnsi="Verdana" w:cs="Arial"/>
          <w:sz w:val="18"/>
          <w:szCs w:val="18"/>
        </w:rPr>
        <w:t xml:space="preserve"> </w:t>
      </w:r>
      <w:r w:rsidR="00476241">
        <w:rPr>
          <w:rFonts w:ascii="Verdana" w:hAnsi="Verdana" w:cs="Arial"/>
          <w:sz w:val="18"/>
          <w:szCs w:val="18"/>
        </w:rPr>
        <w:t>I</w:t>
      </w:r>
      <w:r w:rsidR="00284432" w:rsidRPr="00284432">
        <w:rPr>
          <w:rFonts w:ascii="Verdana" w:hAnsi="Verdana" w:cs="Arial"/>
          <w:sz w:val="18"/>
          <w:szCs w:val="18"/>
        </w:rPr>
        <w:t>n bepaalde zaken</w:t>
      </w:r>
      <w:r w:rsidR="006725FA">
        <w:rPr>
          <w:rFonts w:ascii="Verdana" w:hAnsi="Verdana" w:cs="Arial"/>
          <w:sz w:val="18"/>
          <w:szCs w:val="18"/>
        </w:rPr>
        <w:t xml:space="preserve"> bestaat</w:t>
      </w:r>
      <w:r w:rsidR="00284432" w:rsidRPr="00284432">
        <w:rPr>
          <w:rFonts w:ascii="Verdana" w:hAnsi="Verdana" w:cs="Arial"/>
          <w:sz w:val="18"/>
          <w:szCs w:val="18"/>
        </w:rPr>
        <w:t xml:space="preserve"> ook </w:t>
      </w:r>
      <w:r w:rsidR="006725FA">
        <w:rPr>
          <w:rFonts w:ascii="Verdana" w:hAnsi="Verdana" w:cs="Arial"/>
          <w:sz w:val="18"/>
          <w:szCs w:val="18"/>
        </w:rPr>
        <w:t xml:space="preserve">een recht </w:t>
      </w:r>
      <w:r w:rsidR="000B2CAA">
        <w:rPr>
          <w:rFonts w:ascii="Verdana" w:hAnsi="Verdana" w:cs="Arial"/>
          <w:sz w:val="18"/>
          <w:szCs w:val="18"/>
        </w:rPr>
        <w:t xml:space="preserve">op </w:t>
      </w:r>
      <w:r w:rsidR="00720797">
        <w:rPr>
          <w:rFonts w:ascii="Verdana" w:hAnsi="Verdana" w:cs="Arial"/>
          <w:sz w:val="18"/>
          <w:szCs w:val="18"/>
        </w:rPr>
        <w:t>gesubsidieerde</w:t>
      </w:r>
      <w:r w:rsidR="00284432" w:rsidRPr="00284432">
        <w:rPr>
          <w:rFonts w:ascii="Verdana" w:hAnsi="Verdana" w:cs="Arial"/>
          <w:sz w:val="18"/>
          <w:szCs w:val="18"/>
        </w:rPr>
        <w:t xml:space="preserve"> rechtsbijstand.</w:t>
      </w:r>
      <w:r w:rsidR="00284432">
        <w:rPr>
          <w:rStyle w:val="Voetnootmarkering"/>
          <w:rFonts w:ascii="Verdana" w:hAnsi="Verdana" w:cs="Arial"/>
          <w:sz w:val="18"/>
          <w:szCs w:val="18"/>
        </w:rPr>
        <w:footnoteReference w:id="48"/>
      </w:r>
      <w:r w:rsidR="000B3546">
        <w:rPr>
          <w:rFonts w:ascii="Verdana" w:hAnsi="Verdana" w:cs="Arial"/>
          <w:sz w:val="18"/>
          <w:szCs w:val="18"/>
        </w:rPr>
        <w:t xml:space="preserve"> </w:t>
      </w:r>
      <w:r w:rsidR="00A17047">
        <w:rPr>
          <w:rFonts w:ascii="Verdana" w:hAnsi="Verdana" w:cs="Arial"/>
          <w:sz w:val="18"/>
          <w:szCs w:val="18"/>
        </w:rPr>
        <w:t>Bij de beoordeling of in een concreet geval recht bestaat op gesubsidieerde rechtsbijstand let het EHRM op het belang van de zaak voor betrokkene, de complexiteit van de zaak en het vermogen van betrokkene daadwerkelijk zijn eigen verdediging te voeren. Er is geen absoluut en automatisch recht op gesubsidieerde rechtsbijstand.</w:t>
      </w:r>
      <w:r w:rsidR="00A17047">
        <w:rPr>
          <w:rStyle w:val="Voetnootmarkering"/>
          <w:rFonts w:ascii="Verdana" w:hAnsi="Verdana" w:cs="Arial"/>
          <w:sz w:val="18"/>
          <w:szCs w:val="18"/>
        </w:rPr>
        <w:footnoteReference w:id="49"/>
      </w:r>
      <w:r w:rsidR="00A17047">
        <w:rPr>
          <w:rFonts w:ascii="Verdana" w:hAnsi="Verdana" w:cs="Arial"/>
          <w:sz w:val="18"/>
          <w:szCs w:val="18"/>
        </w:rPr>
        <w:t xml:space="preserve"> </w:t>
      </w:r>
      <w:r w:rsidR="00284432" w:rsidRPr="00284432">
        <w:rPr>
          <w:rFonts w:ascii="Verdana" w:hAnsi="Verdana" w:cs="Arial"/>
          <w:sz w:val="18"/>
          <w:szCs w:val="18"/>
        </w:rPr>
        <w:t>De omvang van de verplichting tot het waarborgen van het recht op toegang tot de rechter is dat de verwezenlijking van het recht praktisch en effectief moet zijn.</w:t>
      </w:r>
      <w:r w:rsidR="00284432">
        <w:rPr>
          <w:rStyle w:val="Voetnootmarkering"/>
          <w:rFonts w:ascii="Verdana" w:hAnsi="Verdana" w:cs="Arial"/>
          <w:sz w:val="18"/>
          <w:szCs w:val="18"/>
        </w:rPr>
        <w:footnoteReference w:id="50"/>
      </w:r>
      <w:r w:rsidR="00284432" w:rsidRPr="00284432">
        <w:rPr>
          <w:rFonts w:ascii="Verdana" w:hAnsi="Verdana" w:cs="Arial"/>
          <w:sz w:val="18"/>
          <w:szCs w:val="18"/>
        </w:rPr>
        <w:t xml:space="preserve"> </w:t>
      </w:r>
      <w:r w:rsidR="001E3278">
        <w:rPr>
          <w:rFonts w:ascii="Verdana" w:hAnsi="Verdana" w:cs="Arial"/>
          <w:sz w:val="18"/>
          <w:szCs w:val="18"/>
        </w:rPr>
        <w:t>Ook de derde alinea van art</w:t>
      </w:r>
      <w:r w:rsidR="00F638C6">
        <w:rPr>
          <w:rFonts w:ascii="Verdana" w:hAnsi="Verdana" w:cs="Arial"/>
          <w:sz w:val="18"/>
          <w:szCs w:val="18"/>
        </w:rPr>
        <w:t>ikel 47 EU-Handvest benadrukt het belang van</w:t>
      </w:r>
      <w:r w:rsidR="001E3278">
        <w:rPr>
          <w:rFonts w:ascii="Verdana" w:hAnsi="Verdana" w:cs="Arial"/>
          <w:sz w:val="18"/>
          <w:szCs w:val="18"/>
        </w:rPr>
        <w:t xml:space="preserve"> daadwerkelijke toegang tot de rechter. </w:t>
      </w:r>
      <w:r w:rsidR="00302CD1">
        <w:rPr>
          <w:rFonts w:ascii="Verdana" w:hAnsi="Verdana" w:cs="Arial"/>
          <w:sz w:val="18"/>
          <w:szCs w:val="18"/>
        </w:rPr>
        <w:t xml:space="preserve">In de toelichting </w:t>
      </w:r>
      <w:r w:rsidR="00F638C6">
        <w:rPr>
          <w:rFonts w:ascii="Verdana" w:hAnsi="Verdana" w:cs="Arial"/>
          <w:sz w:val="18"/>
          <w:szCs w:val="18"/>
        </w:rPr>
        <w:t>daar</w:t>
      </w:r>
      <w:r w:rsidR="00302CD1">
        <w:rPr>
          <w:rFonts w:ascii="Verdana" w:hAnsi="Verdana" w:cs="Arial"/>
          <w:sz w:val="18"/>
          <w:szCs w:val="18"/>
        </w:rPr>
        <w:t xml:space="preserve">op </w:t>
      </w:r>
      <w:r w:rsidR="00302CD1">
        <w:rPr>
          <w:rFonts w:ascii="Verdana" w:hAnsi="Verdana"/>
          <w:sz w:val="18"/>
          <w:szCs w:val="18"/>
        </w:rPr>
        <w:t xml:space="preserve">wordt </w:t>
      </w:r>
      <w:r w:rsidR="00720797">
        <w:rPr>
          <w:rFonts w:ascii="Verdana" w:hAnsi="Verdana"/>
          <w:sz w:val="18"/>
          <w:szCs w:val="18"/>
        </w:rPr>
        <w:t xml:space="preserve">erop </w:t>
      </w:r>
      <w:r w:rsidR="00302CD1">
        <w:rPr>
          <w:rFonts w:ascii="Verdana" w:hAnsi="Verdana"/>
          <w:sz w:val="18"/>
          <w:szCs w:val="18"/>
        </w:rPr>
        <w:t xml:space="preserve">gewezen </w:t>
      </w:r>
      <w:r w:rsidR="00302CD1" w:rsidRPr="00055DDC">
        <w:rPr>
          <w:rFonts w:ascii="Verdana" w:hAnsi="Verdana"/>
          <w:sz w:val="18"/>
          <w:szCs w:val="18"/>
        </w:rPr>
        <w:t>dat volgens de</w:t>
      </w:r>
      <w:r w:rsidR="00302CD1">
        <w:rPr>
          <w:rFonts w:ascii="Verdana" w:hAnsi="Verdana"/>
          <w:sz w:val="18"/>
          <w:szCs w:val="18"/>
        </w:rPr>
        <w:t xml:space="preserve"> jurisprudentie van het EHRM</w:t>
      </w:r>
      <w:r w:rsidR="00302CD1" w:rsidRPr="00055DDC">
        <w:rPr>
          <w:rFonts w:ascii="Verdana" w:hAnsi="Verdana"/>
          <w:sz w:val="18"/>
          <w:szCs w:val="18"/>
        </w:rPr>
        <w:t xml:space="preserve"> in rechtsbijstand moet worden voorzien wanneer de garantie van een doeltreffende voorziening in rechte wegens het ontbreken van die bijstand ontwricht zou wo</w:t>
      </w:r>
      <w:r w:rsidR="00302CD1">
        <w:rPr>
          <w:rFonts w:ascii="Verdana" w:hAnsi="Verdana"/>
          <w:sz w:val="18"/>
          <w:szCs w:val="18"/>
        </w:rPr>
        <w:t xml:space="preserve">rden. </w:t>
      </w:r>
    </w:p>
    <w:p w:rsidR="00E17230" w:rsidRDefault="00E17230" w:rsidP="00302CD1">
      <w:pPr>
        <w:pStyle w:val="Geenafstand"/>
        <w:spacing w:line="280" w:lineRule="atLeast"/>
        <w:rPr>
          <w:rFonts w:ascii="Verdana" w:hAnsi="Verdana" w:cs="Arial"/>
          <w:sz w:val="18"/>
          <w:szCs w:val="18"/>
        </w:rPr>
      </w:pPr>
    </w:p>
    <w:p w:rsidR="00B53662" w:rsidRPr="00302CD1" w:rsidRDefault="00AC4031" w:rsidP="00302CD1">
      <w:pPr>
        <w:pStyle w:val="Geenafstand"/>
        <w:spacing w:line="280" w:lineRule="atLeast"/>
        <w:rPr>
          <w:rFonts w:ascii="Verdana" w:hAnsi="Verdana"/>
          <w:sz w:val="18"/>
          <w:szCs w:val="18"/>
        </w:rPr>
      </w:pPr>
      <w:r>
        <w:rPr>
          <w:rFonts w:ascii="Verdana" w:hAnsi="Verdana" w:cs="Arial"/>
          <w:sz w:val="18"/>
          <w:szCs w:val="18"/>
        </w:rPr>
        <w:t xml:space="preserve">Het recht </w:t>
      </w:r>
      <w:r w:rsidR="006D1693">
        <w:rPr>
          <w:rFonts w:ascii="Verdana" w:hAnsi="Verdana" w:cs="Arial"/>
          <w:sz w:val="18"/>
          <w:szCs w:val="18"/>
        </w:rPr>
        <w:t xml:space="preserve">op toegang tot de rechter </w:t>
      </w:r>
      <w:r w:rsidR="001E3278">
        <w:rPr>
          <w:rFonts w:ascii="Verdana" w:hAnsi="Verdana" w:cs="Arial"/>
          <w:sz w:val="18"/>
          <w:szCs w:val="18"/>
        </w:rPr>
        <w:t xml:space="preserve">in de zin van artikel 6 EVRM </w:t>
      </w:r>
      <w:r>
        <w:rPr>
          <w:rFonts w:ascii="Verdana" w:hAnsi="Verdana" w:cs="Arial"/>
          <w:sz w:val="18"/>
          <w:szCs w:val="18"/>
        </w:rPr>
        <w:t>vestigt geen</w:t>
      </w:r>
      <w:r w:rsidR="00284432" w:rsidRPr="00284432">
        <w:rPr>
          <w:rFonts w:ascii="Verdana" w:hAnsi="Verdana" w:cs="Arial"/>
          <w:sz w:val="18"/>
          <w:szCs w:val="18"/>
        </w:rPr>
        <w:t xml:space="preserve"> </w:t>
      </w:r>
      <w:r w:rsidR="004024FE">
        <w:rPr>
          <w:rFonts w:ascii="Verdana" w:hAnsi="Verdana" w:cs="Arial"/>
          <w:sz w:val="18"/>
          <w:szCs w:val="18"/>
        </w:rPr>
        <w:t>recht op</w:t>
      </w:r>
      <w:r>
        <w:rPr>
          <w:rFonts w:ascii="Verdana" w:hAnsi="Verdana" w:cs="Arial"/>
          <w:sz w:val="18"/>
          <w:szCs w:val="18"/>
        </w:rPr>
        <w:t xml:space="preserve"> hoger beroep</w:t>
      </w:r>
      <w:r w:rsidR="006D1693">
        <w:rPr>
          <w:rFonts w:ascii="Verdana" w:hAnsi="Verdana" w:cs="Arial"/>
          <w:sz w:val="18"/>
          <w:szCs w:val="18"/>
        </w:rPr>
        <w:t>.</w:t>
      </w:r>
      <w:r w:rsidR="00284432" w:rsidRPr="00284432">
        <w:rPr>
          <w:rFonts w:ascii="Verdana" w:hAnsi="Verdana" w:cs="Arial"/>
          <w:sz w:val="18"/>
          <w:szCs w:val="18"/>
        </w:rPr>
        <w:t xml:space="preserve"> </w:t>
      </w:r>
      <w:r w:rsidR="006D1693">
        <w:rPr>
          <w:rFonts w:ascii="Verdana" w:hAnsi="Verdana" w:cs="Arial"/>
          <w:sz w:val="18"/>
          <w:szCs w:val="18"/>
        </w:rPr>
        <w:t>H</w:t>
      </w:r>
      <w:r w:rsidR="00284432" w:rsidRPr="00284432">
        <w:rPr>
          <w:rFonts w:ascii="Verdana" w:hAnsi="Verdana" w:cs="Arial"/>
          <w:sz w:val="18"/>
          <w:szCs w:val="18"/>
        </w:rPr>
        <w:t>et zevende protocol bij het EVRM</w:t>
      </w:r>
      <w:r w:rsidR="00AB0310">
        <w:rPr>
          <w:rFonts w:ascii="Verdana" w:hAnsi="Verdana" w:cs="Arial"/>
          <w:sz w:val="18"/>
          <w:szCs w:val="18"/>
        </w:rPr>
        <w:t>,</w:t>
      </w:r>
      <w:r w:rsidR="00284432" w:rsidRPr="00284432">
        <w:rPr>
          <w:rFonts w:ascii="Verdana" w:hAnsi="Verdana" w:cs="Arial"/>
          <w:sz w:val="18"/>
          <w:szCs w:val="18"/>
        </w:rPr>
        <w:t xml:space="preserve"> waarin dat rech</w:t>
      </w:r>
      <w:r w:rsidR="00B82FEE">
        <w:rPr>
          <w:rFonts w:ascii="Verdana" w:hAnsi="Verdana" w:cs="Arial"/>
          <w:sz w:val="18"/>
          <w:szCs w:val="18"/>
        </w:rPr>
        <w:t>t</w:t>
      </w:r>
      <w:r w:rsidR="00476241">
        <w:rPr>
          <w:rFonts w:ascii="Verdana" w:hAnsi="Verdana" w:cs="Arial"/>
          <w:sz w:val="18"/>
          <w:szCs w:val="18"/>
        </w:rPr>
        <w:t xml:space="preserve"> voor strafzaken</w:t>
      </w:r>
      <w:r w:rsidR="00B82FEE">
        <w:rPr>
          <w:rFonts w:ascii="Verdana" w:hAnsi="Verdana" w:cs="Arial"/>
          <w:sz w:val="18"/>
          <w:szCs w:val="18"/>
        </w:rPr>
        <w:t xml:space="preserve"> </w:t>
      </w:r>
      <w:r>
        <w:rPr>
          <w:rFonts w:ascii="Verdana" w:hAnsi="Verdana" w:cs="Arial"/>
          <w:sz w:val="18"/>
          <w:szCs w:val="18"/>
        </w:rPr>
        <w:t xml:space="preserve">wel </w:t>
      </w:r>
      <w:r w:rsidR="00AB0310">
        <w:rPr>
          <w:rFonts w:ascii="Verdana" w:hAnsi="Verdana" w:cs="Arial"/>
          <w:sz w:val="18"/>
          <w:szCs w:val="18"/>
        </w:rPr>
        <w:t>is opgenomen, heeft Nederland</w:t>
      </w:r>
      <w:r w:rsidR="00284432" w:rsidRPr="00284432">
        <w:rPr>
          <w:rFonts w:ascii="Verdana" w:hAnsi="Verdana" w:cs="Arial"/>
          <w:sz w:val="18"/>
          <w:szCs w:val="18"/>
        </w:rPr>
        <w:t xml:space="preserve"> n</w:t>
      </w:r>
      <w:r w:rsidR="00AB0310">
        <w:rPr>
          <w:rFonts w:ascii="Verdana" w:hAnsi="Verdana" w:cs="Arial"/>
          <w:sz w:val="18"/>
          <w:szCs w:val="18"/>
        </w:rPr>
        <w:t>iet geratificeerd</w:t>
      </w:r>
      <w:r w:rsidR="000B3546">
        <w:rPr>
          <w:rFonts w:ascii="Verdana" w:hAnsi="Verdana" w:cs="Arial"/>
          <w:sz w:val="18"/>
          <w:szCs w:val="18"/>
        </w:rPr>
        <w:t xml:space="preserve"> (zie paragraaf 7.</w:t>
      </w:r>
      <w:r w:rsidR="001816C6">
        <w:rPr>
          <w:rFonts w:ascii="Verdana" w:hAnsi="Verdana" w:cs="Arial"/>
          <w:sz w:val="18"/>
          <w:szCs w:val="18"/>
        </w:rPr>
        <w:t>4</w:t>
      </w:r>
      <w:r w:rsidR="000B3546">
        <w:rPr>
          <w:rFonts w:ascii="Verdana" w:hAnsi="Verdana" w:cs="Arial"/>
          <w:sz w:val="18"/>
          <w:szCs w:val="18"/>
        </w:rPr>
        <w:t>.3)</w:t>
      </w:r>
      <w:r w:rsidR="00284432" w:rsidRPr="00284432">
        <w:rPr>
          <w:rFonts w:ascii="Verdana" w:hAnsi="Verdana" w:cs="Arial"/>
          <w:sz w:val="18"/>
          <w:szCs w:val="18"/>
        </w:rPr>
        <w:t xml:space="preserve">. Overigens </w:t>
      </w:r>
      <w:r w:rsidR="006D1693">
        <w:rPr>
          <w:rFonts w:ascii="Verdana" w:hAnsi="Verdana" w:cs="Arial"/>
          <w:sz w:val="18"/>
          <w:szCs w:val="18"/>
        </w:rPr>
        <w:t>hoeft</w:t>
      </w:r>
      <w:r w:rsidR="00284432" w:rsidRPr="00284432">
        <w:rPr>
          <w:rFonts w:ascii="Verdana" w:hAnsi="Verdana" w:cs="Arial"/>
          <w:sz w:val="18"/>
          <w:szCs w:val="18"/>
        </w:rPr>
        <w:t xml:space="preserve"> niet elk </w:t>
      </w:r>
      <w:r w:rsidR="00B86A35">
        <w:rPr>
          <w:rFonts w:ascii="Verdana" w:hAnsi="Verdana" w:cs="Arial"/>
          <w:sz w:val="18"/>
          <w:szCs w:val="18"/>
        </w:rPr>
        <w:t xml:space="preserve">afzonderlijk </w:t>
      </w:r>
      <w:r w:rsidR="00284432" w:rsidRPr="00284432">
        <w:rPr>
          <w:rFonts w:ascii="Verdana" w:hAnsi="Verdana" w:cs="Arial"/>
          <w:sz w:val="18"/>
          <w:szCs w:val="18"/>
        </w:rPr>
        <w:t xml:space="preserve">deel van de rechtsgang te voldoen aan </w:t>
      </w:r>
      <w:r w:rsidR="00B86A35">
        <w:rPr>
          <w:rFonts w:ascii="Verdana" w:hAnsi="Verdana" w:cs="Arial"/>
          <w:sz w:val="18"/>
          <w:szCs w:val="18"/>
        </w:rPr>
        <w:t xml:space="preserve">de vereisten verbonden aan </w:t>
      </w:r>
      <w:r w:rsidR="00284432" w:rsidRPr="00284432">
        <w:rPr>
          <w:rFonts w:ascii="Verdana" w:hAnsi="Verdana" w:cs="Arial"/>
          <w:sz w:val="18"/>
          <w:szCs w:val="18"/>
        </w:rPr>
        <w:t xml:space="preserve">het recht op toegang tot een rechter, </w:t>
      </w:r>
      <w:r w:rsidR="00B86A35">
        <w:rPr>
          <w:rFonts w:ascii="Verdana" w:hAnsi="Verdana" w:cs="Arial"/>
          <w:sz w:val="18"/>
          <w:szCs w:val="18"/>
        </w:rPr>
        <w:t xml:space="preserve">maar gaat het er veeleer om dat de </w:t>
      </w:r>
      <w:r w:rsidR="00284432" w:rsidRPr="00284432">
        <w:rPr>
          <w:rFonts w:ascii="Verdana" w:hAnsi="Verdana" w:cs="Arial"/>
          <w:sz w:val="18"/>
          <w:szCs w:val="18"/>
        </w:rPr>
        <w:t xml:space="preserve">procedure in </w:t>
      </w:r>
      <w:r w:rsidR="00B86A35">
        <w:rPr>
          <w:rFonts w:ascii="Verdana" w:hAnsi="Verdana" w:cs="Arial"/>
          <w:sz w:val="18"/>
          <w:szCs w:val="18"/>
        </w:rPr>
        <w:t>zijn</w:t>
      </w:r>
      <w:r w:rsidR="00284432" w:rsidRPr="00284432">
        <w:rPr>
          <w:rFonts w:ascii="Verdana" w:hAnsi="Verdana" w:cs="Arial"/>
          <w:sz w:val="18"/>
          <w:szCs w:val="18"/>
        </w:rPr>
        <w:t xml:space="preserve"> geheel </w:t>
      </w:r>
      <w:r w:rsidR="00B86A35">
        <w:rPr>
          <w:rFonts w:ascii="Verdana" w:hAnsi="Verdana" w:cs="Arial"/>
          <w:sz w:val="18"/>
          <w:szCs w:val="18"/>
        </w:rPr>
        <w:t>genomen aan die eisen voldoe</w:t>
      </w:r>
      <w:r w:rsidR="005838DD">
        <w:rPr>
          <w:rFonts w:ascii="Verdana" w:hAnsi="Verdana" w:cs="Arial"/>
          <w:sz w:val="18"/>
          <w:szCs w:val="18"/>
        </w:rPr>
        <w:t>t</w:t>
      </w:r>
      <w:r w:rsidR="00284432" w:rsidRPr="00284432">
        <w:rPr>
          <w:rFonts w:ascii="Verdana" w:hAnsi="Verdana" w:cs="Arial"/>
          <w:sz w:val="18"/>
          <w:szCs w:val="18"/>
        </w:rPr>
        <w:t>. Zo is er ruimte aan het begin van een procedure voor niet</w:t>
      </w:r>
      <w:r w:rsidR="004024FE">
        <w:rPr>
          <w:rFonts w:ascii="Verdana" w:hAnsi="Verdana" w:cs="Arial"/>
          <w:sz w:val="18"/>
          <w:szCs w:val="18"/>
        </w:rPr>
        <w:t>-</w:t>
      </w:r>
      <w:r w:rsidR="00284432" w:rsidRPr="00284432">
        <w:rPr>
          <w:rFonts w:ascii="Verdana" w:hAnsi="Verdana" w:cs="Arial"/>
          <w:sz w:val="18"/>
          <w:szCs w:val="18"/>
        </w:rPr>
        <w:t xml:space="preserve">rechterlijke colleges, mits </w:t>
      </w:r>
      <w:proofErr w:type="spellStart"/>
      <w:r w:rsidR="00B86A35">
        <w:rPr>
          <w:rFonts w:ascii="Verdana" w:hAnsi="Verdana" w:cs="Arial"/>
          <w:sz w:val="18"/>
          <w:szCs w:val="18"/>
        </w:rPr>
        <w:t>rechtszoekenden</w:t>
      </w:r>
      <w:proofErr w:type="spellEnd"/>
      <w:r w:rsidR="00B86A35">
        <w:rPr>
          <w:rFonts w:ascii="Verdana" w:hAnsi="Verdana" w:cs="Arial"/>
          <w:sz w:val="18"/>
          <w:szCs w:val="18"/>
        </w:rPr>
        <w:t xml:space="preserve"> uiteindelijk de gang kunnen maken naar een beslissingsbevoegde </w:t>
      </w:r>
      <w:r w:rsidR="00284432" w:rsidRPr="00284432">
        <w:rPr>
          <w:rFonts w:ascii="Verdana" w:hAnsi="Verdana" w:cs="Arial"/>
          <w:sz w:val="18"/>
          <w:szCs w:val="18"/>
        </w:rPr>
        <w:t>rechterlijke instantie. Artikel 6 EVRM waarborgt tot slot het recht op toegang tot de rechter zolang er volgens nationaal recht sprake is van een relevante procedure; artikel 6 EVRM biedt geen basis om een bepaalde procedure in het leven te roepen die niet door het national</w:t>
      </w:r>
      <w:r w:rsidR="00530422">
        <w:rPr>
          <w:rFonts w:ascii="Verdana" w:hAnsi="Verdana" w:cs="Arial"/>
          <w:sz w:val="18"/>
          <w:szCs w:val="18"/>
        </w:rPr>
        <w:t>e</w:t>
      </w:r>
      <w:r w:rsidR="00284432" w:rsidRPr="00284432">
        <w:rPr>
          <w:rFonts w:ascii="Verdana" w:hAnsi="Verdana" w:cs="Arial"/>
          <w:sz w:val="18"/>
          <w:szCs w:val="18"/>
        </w:rPr>
        <w:t xml:space="preserve"> recht wordt gewaarborgd.</w:t>
      </w:r>
      <w:r w:rsidR="00284432">
        <w:rPr>
          <w:rStyle w:val="Voetnootmarkering"/>
          <w:rFonts w:ascii="Verdana" w:hAnsi="Verdana" w:cs="Arial"/>
          <w:sz w:val="18"/>
          <w:szCs w:val="18"/>
        </w:rPr>
        <w:footnoteReference w:id="51"/>
      </w:r>
    </w:p>
    <w:p w:rsidR="00C31CA4" w:rsidRDefault="00C31CA4" w:rsidP="00C31CA4">
      <w:pPr>
        <w:autoSpaceDE w:val="0"/>
        <w:autoSpaceDN w:val="0"/>
        <w:adjustRightInd w:val="0"/>
        <w:spacing w:after="0" w:line="280" w:lineRule="atLeast"/>
        <w:rPr>
          <w:rFonts w:ascii="Verdana" w:hAnsi="Verdana" w:cs="EUAlbertina+20"/>
          <w:i/>
          <w:sz w:val="18"/>
          <w:szCs w:val="18"/>
        </w:rPr>
      </w:pPr>
    </w:p>
    <w:p w:rsidR="001A7A98" w:rsidRDefault="00AC4031" w:rsidP="001A7A98">
      <w:pPr>
        <w:pStyle w:val="Geenafstand"/>
        <w:spacing w:line="280" w:lineRule="atLeast"/>
        <w:rPr>
          <w:rFonts w:ascii="Verdana" w:hAnsi="Verdana"/>
          <w:sz w:val="18"/>
          <w:szCs w:val="18"/>
        </w:rPr>
      </w:pPr>
      <w:r>
        <w:rPr>
          <w:rFonts w:ascii="Verdana" w:hAnsi="Verdana" w:cs="EUAlbertina+20"/>
          <w:sz w:val="18"/>
          <w:szCs w:val="18"/>
        </w:rPr>
        <w:t>Het recht op toegang tot de rechter van artikel 6 EVRM moet in samenhang worden gelezen met artikel 13 EVRM, dat</w:t>
      </w:r>
      <w:r w:rsidR="00E554E7">
        <w:rPr>
          <w:rFonts w:ascii="Verdana" w:hAnsi="Verdana" w:cs="EUAlbertina+20"/>
          <w:sz w:val="18"/>
          <w:szCs w:val="18"/>
        </w:rPr>
        <w:t xml:space="preserve"> </w:t>
      </w:r>
      <w:r w:rsidR="00C31CA4" w:rsidRPr="00072EB4">
        <w:rPr>
          <w:rFonts w:ascii="Verdana" w:hAnsi="Verdana" w:cs="EUAlbertina+20"/>
          <w:sz w:val="18"/>
          <w:szCs w:val="18"/>
        </w:rPr>
        <w:t>e</w:t>
      </w:r>
      <w:r w:rsidR="00C31CA4" w:rsidRPr="00072EB4">
        <w:rPr>
          <w:rFonts w:ascii="Verdana" w:hAnsi="Verdana" w:cs="EUAlbertina"/>
          <w:sz w:val="18"/>
          <w:szCs w:val="18"/>
        </w:rPr>
        <w:t>enieder</w:t>
      </w:r>
      <w:r w:rsidR="00E554E7">
        <w:rPr>
          <w:rFonts w:ascii="Verdana" w:hAnsi="Verdana" w:cs="EUAlbertina"/>
          <w:sz w:val="18"/>
          <w:szCs w:val="18"/>
        </w:rPr>
        <w:t xml:space="preserve"> wiens verdragsrecht</w:t>
      </w:r>
      <w:r>
        <w:rPr>
          <w:rFonts w:ascii="Verdana" w:hAnsi="Verdana" w:cs="EUAlbertina"/>
          <w:sz w:val="18"/>
          <w:szCs w:val="18"/>
        </w:rPr>
        <w:t xml:space="preserve">en en </w:t>
      </w:r>
      <w:r w:rsidR="00A231AE">
        <w:rPr>
          <w:rFonts w:ascii="Verdana" w:hAnsi="Verdana" w:cs="EUAlbertina"/>
          <w:sz w:val="18"/>
          <w:szCs w:val="18"/>
        </w:rPr>
        <w:t>-</w:t>
      </w:r>
      <w:r>
        <w:rPr>
          <w:rFonts w:ascii="Verdana" w:hAnsi="Verdana" w:cs="EUAlbertina"/>
          <w:sz w:val="18"/>
          <w:szCs w:val="18"/>
        </w:rPr>
        <w:t xml:space="preserve">vrijheden zijn geschonden een </w:t>
      </w:r>
      <w:r w:rsidR="00C31CA4" w:rsidRPr="00072EB4">
        <w:rPr>
          <w:rFonts w:ascii="Verdana" w:hAnsi="Verdana" w:cs="EUAlbertina"/>
          <w:sz w:val="18"/>
          <w:szCs w:val="18"/>
        </w:rPr>
        <w:t xml:space="preserve">recht </w:t>
      </w:r>
      <w:r>
        <w:rPr>
          <w:rFonts w:ascii="Verdana" w:hAnsi="Verdana" w:cs="EUAlbertina"/>
          <w:sz w:val="18"/>
          <w:szCs w:val="18"/>
        </w:rPr>
        <w:t>geeft “</w:t>
      </w:r>
      <w:r w:rsidR="00C31CA4" w:rsidRPr="00072EB4">
        <w:rPr>
          <w:rFonts w:ascii="Verdana" w:hAnsi="Verdana" w:cs="EUAlbertina"/>
          <w:sz w:val="18"/>
          <w:szCs w:val="18"/>
        </w:rPr>
        <w:t>op een daadwerkelijk rechtsmiddel voor een nationale instantie, ook indien deze schending is begaan door personen in de uitoefen</w:t>
      </w:r>
      <w:r w:rsidR="00E554E7">
        <w:rPr>
          <w:rFonts w:ascii="Verdana" w:hAnsi="Verdana" w:cs="EUAlbertina"/>
          <w:sz w:val="18"/>
          <w:szCs w:val="18"/>
        </w:rPr>
        <w:t>ing van hun ambtelijke functie”</w:t>
      </w:r>
      <w:r w:rsidR="004024FE">
        <w:rPr>
          <w:rFonts w:ascii="Verdana" w:hAnsi="Verdana" w:cs="EUAlbertina"/>
          <w:sz w:val="18"/>
          <w:szCs w:val="18"/>
        </w:rPr>
        <w:t xml:space="preserve">. </w:t>
      </w:r>
      <w:r w:rsidR="005F3FB7">
        <w:rPr>
          <w:rFonts w:ascii="Verdana" w:hAnsi="Verdana" w:cs="EUAlbertina"/>
          <w:sz w:val="18"/>
          <w:szCs w:val="18"/>
        </w:rPr>
        <w:t xml:space="preserve">Dit wordt ook </w:t>
      </w:r>
      <w:r>
        <w:rPr>
          <w:rFonts w:ascii="Verdana" w:hAnsi="Verdana" w:cs="EUAlbertina"/>
          <w:sz w:val="18"/>
          <w:szCs w:val="18"/>
        </w:rPr>
        <w:t xml:space="preserve">wel </w:t>
      </w:r>
      <w:r w:rsidR="005F3FB7">
        <w:rPr>
          <w:rFonts w:ascii="Verdana" w:hAnsi="Verdana" w:cs="EUAlbertina"/>
          <w:sz w:val="18"/>
          <w:szCs w:val="18"/>
        </w:rPr>
        <w:t>het recht op effectieve rechtsbescherming genoemd (</w:t>
      </w:r>
      <w:r>
        <w:rPr>
          <w:rFonts w:ascii="Verdana" w:hAnsi="Verdana" w:cs="EUAlbertina"/>
          <w:sz w:val="18"/>
          <w:szCs w:val="18"/>
        </w:rPr>
        <w:t>naar</w:t>
      </w:r>
      <w:r w:rsidR="005F3FB7">
        <w:rPr>
          <w:rFonts w:ascii="Verdana" w:hAnsi="Verdana" w:cs="EUAlbertina"/>
          <w:sz w:val="18"/>
          <w:szCs w:val="18"/>
        </w:rPr>
        <w:t xml:space="preserve"> d</w:t>
      </w:r>
      <w:r w:rsidR="004736C7">
        <w:rPr>
          <w:rFonts w:ascii="Verdana" w:hAnsi="Verdana" w:cs="EUAlbertina"/>
          <w:sz w:val="18"/>
          <w:szCs w:val="18"/>
        </w:rPr>
        <w:t xml:space="preserve">e officiële Engelse </w:t>
      </w:r>
      <w:r w:rsidR="005F3FB7">
        <w:rPr>
          <w:rFonts w:ascii="Verdana" w:hAnsi="Verdana" w:cs="EUAlbertina"/>
          <w:sz w:val="18"/>
          <w:szCs w:val="18"/>
        </w:rPr>
        <w:t>tekst</w:t>
      </w:r>
      <w:r w:rsidR="004736C7">
        <w:rPr>
          <w:rFonts w:ascii="Verdana" w:hAnsi="Verdana" w:cs="EUAlbertina"/>
          <w:sz w:val="18"/>
          <w:szCs w:val="18"/>
        </w:rPr>
        <w:t xml:space="preserve"> “</w:t>
      </w:r>
      <w:r w:rsidR="00B86A35">
        <w:rPr>
          <w:rFonts w:ascii="Verdana" w:hAnsi="Verdana" w:cs="EUAlbertina"/>
          <w:sz w:val="18"/>
          <w:szCs w:val="18"/>
        </w:rPr>
        <w:t xml:space="preserve">right </w:t>
      </w:r>
      <w:proofErr w:type="spellStart"/>
      <w:r w:rsidR="00B86A35">
        <w:rPr>
          <w:rFonts w:ascii="Verdana" w:hAnsi="Verdana" w:cs="EUAlbertina"/>
          <w:sz w:val="18"/>
          <w:szCs w:val="18"/>
        </w:rPr>
        <w:t>to</w:t>
      </w:r>
      <w:proofErr w:type="spellEnd"/>
      <w:r w:rsidR="00B86A35">
        <w:rPr>
          <w:rFonts w:ascii="Verdana" w:hAnsi="Verdana" w:cs="EUAlbertina"/>
          <w:sz w:val="18"/>
          <w:szCs w:val="18"/>
        </w:rPr>
        <w:t xml:space="preserve"> </w:t>
      </w:r>
      <w:proofErr w:type="spellStart"/>
      <w:r w:rsidR="004736C7">
        <w:rPr>
          <w:rFonts w:ascii="Verdana" w:hAnsi="Verdana" w:cs="EUAlbertina"/>
          <w:sz w:val="18"/>
          <w:szCs w:val="18"/>
        </w:rPr>
        <w:t>an</w:t>
      </w:r>
      <w:proofErr w:type="spellEnd"/>
      <w:r w:rsidR="004736C7">
        <w:rPr>
          <w:rFonts w:ascii="Verdana" w:hAnsi="Verdana" w:cs="EUAlbertina"/>
          <w:sz w:val="18"/>
          <w:szCs w:val="18"/>
        </w:rPr>
        <w:t xml:space="preserve"> </w:t>
      </w:r>
      <w:proofErr w:type="spellStart"/>
      <w:r w:rsidR="004736C7">
        <w:rPr>
          <w:rFonts w:ascii="Verdana" w:hAnsi="Verdana" w:cs="EUAlbertina"/>
          <w:sz w:val="18"/>
          <w:szCs w:val="18"/>
        </w:rPr>
        <w:t>effective</w:t>
      </w:r>
      <w:proofErr w:type="spellEnd"/>
      <w:r w:rsidR="004736C7">
        <w:rPr>
          <w:rFonts w:ascii="Verdana" w:hAnsi="Verdana" w:cs="EUAlbertina"/>
          <w:sz w:val="18"/>
          <w:szCs w:val="18"/>
        </w:rPr>
        <w:t xml:space="preserve"> </w:t>
      </w:r>
      <w:proofErr w:type="spellStart"/>
      <w:r w:rsidR="004736C7">
        <w:rPr>
          <w:rFonts w:ascii="Verdana" w:hAnsi="Verdana" w:cs="EUAlbertina"/>
          <w:sz w:val="18"/>
          <w:szCs w:val="18"/>
        </w:rPr>
        <w:t>remedy</w:t>
      </w:r>
      <w:proofErr w:type="spellEnd"/>
      <w:r w:rsidR="004736C7">
        <w:rPr>
          <w:rFonts w:ascii="Verdana" w:hAnsi="Verdana" w:cs="EUAlbertina"/>
          <w:sz w:val="18"/>
          <w:szCs w:val="18"/>
        </w:rPr>
        <w:t>”</w:t>
      </w:r>
      <w:r w:rsidR="005F3FB7">
        <w:rPr>
          <w:rFonts w:ascii="Verdana" w:hAnsi="Verdana" w:cs="EUAlbertina"/>
          <w:sz w:val="18"/>
          <w:szCs w:val="18"/>
        </w:rPr>
        <w:t>)</w:t>
      </w:r>
      <w:r w:rsidR="004736C7">
        <w:rPr>
          <w:rFonts w:ascii="Verdana" w:hAnsi="Verdana" w:cs="EUAlbertina"/>
          <w:sz w:val="18"/>
          <w:szCs w:val="18"/>
        </w:rPr>
        <w:t>.</w:t>
      </w:r>
      <w:r w:rsidR="00E554E7">
        <w:rPr>
          <w:rFonts w:ascii="Verdana" w:hAnsi="Verdana" w:cs="EUAlbertina"/>
          <w:sz w:val="18"/>
          <w:szCs w:val="18"/>
        </w:rPr>
        <w:t xml:space="preserve"> Die rechtsbescherming hoeft</w:t>
      </w:r>
      <w:r w:rsidR="00AE402A">
        <w:rPr>
          <w:rFonts w:ascii="Verdana" w:hAnsi="Verdana" w:cs="EUAlbertina"/>
          <w:sz w:val="18"/>
          <w:szCs w:val="18"/>
        </w:rPr>
        <w:t xml:space="preserve"> volgens het EHRM</w:t>
      </w:r>
      <w:r w:rsidR="00E554E7">
        <w:rPr>
          <w:rFonts w:ascii="Verdana" w:hAnsi="Verdana" w:cs="EUAlbertina"/>
          <w:sz w:val="18"/>
          <w:szCs w:val="18"/>
        </w:rPr>
        <w:t xml:space="preserve"> niet door de rechter te worden geboden, maar kan ook worden gegarandeerd door bestuurlijke of parlementaire instanties</w:t>
      </w:r>
      <w:r w:rsidR="00AE402A">
        <w:rPr>
          <w:rFonts w:ascii="Verdana" w:hAnsi="Verdana" w:cs="EUAlbertina"/>
          <w:sz w:val="18"/>
          <w:szCs w:val="18"/>
        </w:rPr>
        <w:t>, mits deze in staat zijn om te voorzien in effectieve rechtsbescherming</w:t>
      </w:r>
      <w:r w:rsidR="00E554E7">
        <w:rPr>
          <w:rFonts w:ascii="Verdana" w:hAnsi="Verdana" w:cs="EUAlbertina"/>
          <w:sz w:val="18"/>
          <w:szCs w:val="18"/>
        </w:rPr>
        <w:t xml:space="preserve">. Er moet daadwerkelijk een effectief rechtsmiddel bestaan en niet slechts in theorie, </w:t>
      </w:r>
      <w:r w:rsidR="000B3546">
        <w:rPr>
          <w:rFonts w:ascii="Verdana" w:hAnsi="Verdana" w:cs="EUAlbertina"/>
          <w:sz w:val="18"/>
          <w:szCs w:val="18"/>
        </w:rPr>
        <w:t xml:space="preserve">dat wil zeggen </w:t>
      </w:r>
      <w:r w:rsidR="0094786E">
        <w:rPr>
          <w:rFonts w:ascii="Verdana" w:hAnsi="Verdana" w:cs="EUAlbertina"/>
          <w:sz w:val="18"/>
          <w:szCs w:val="18"/>
        </w:rPr>
        <w:t xml:space="preserve">het </w:t>
      </w:r>
      <w:r w:rsidR="00AE402A">
        <w:rPr>
          <w:rFonts w:ascii="Verdana" w:hAnsi="Verdana" w:cs="EUAlbertina"/>
          <w:sz w:val="18"/>
          <w:szCs w:val="18"/>
        </w:rPr>
        <w:t xml:space="preserve">rechtsmiddel </w:t>
      </w:r>
      <w:r w:rsidR="0094786E">
        <w:rPr>
          <w:rFonts w:ascii="Verdana" w:hAnsi="Verdana" w:cs="EUAlbertina"/>
          <w:sz w:val="18"/>
          <w:szCs w:val="18"/>
        </w:rPr>
        <w:t>moet toegankelijk,</w:t>
      </w:r>
      <w:r w:rsidR="00E554E7">
        <w:rPr>
          <w:rFonts w:ascii="Verdana" w:hAnsi="Verdana" w:cs="EUAlbertina"/>
          <w:sz w:val="18"/>
          <w:szCs w:val="18"/>
        </w:rPr>
        <w:t xml:space="preserve"> doeltreffend en doelmatig </w:t>
      </w:r>
      <w:r w:rsidR="0094786E">
        <w:rPr>
          <w:rFonts w:ascii="Verdana" w:hAnsi="Verdana" w:cs="EUAlbertina"/>
          <w:sz w:val="18"/>
          <w:szCs w:val="18"/>
        </w:rPr>
        <w:t>zijn</w:t>
      </w:r>
      <w:r w:rsidR="00B87390">
        <w:rPr>
          <w:rFonts w:ascii="Verdana" w:hAnsi="Verdana" w:cs="EUAlbertina"/>
          <w:sz w:val="18"/>
          <w:szCs w:val="18"/>
        </w:rPr>
        <w:t>.</w:t>
      </w:r>
      <w:r w:rsidR="00B87390">
        <w:rPr>
          <w:rStyle w:val="Voetnootmarkering"/>
          <w:rFonts w:ascii="Verdana" w:hAnsi="Verdana" w:cs="EUAlbertina"/>
          <w:sz w:val="18"/>
          <w:szCs w:val="18"/>
        </w:rPr>
        <w:footnoteReference w:id="52"/>
      </w:r>
      <w:r w:rsidR="001A7A98" w:rsidRPr="001A7A98">
        <w:rPr>
          <w:rFonts w:ascii="Verdana" w:hAnsi="Verdana"/>
          <w:sz w:val="18"/>
          <w:szCs w:val="18"/>
        </w:rPr>
        <w:t xml:space="preserve"> </w:t>
      </w:r>
      <w:r w:rsidR="001A7A98" w:rsidRPr="00055DDC">
        <w:rPr>
          <w:rFonts w:ascii="Verdana" w:hAnsi="Verdana"/>
          <w:sz w:val="18"/>
          <w:szCs w:val="18"/>
        </w:rPr>
        <w:t>De eerste alinea van artikel 47 EU</w:t>
      </w:r>
      <w:r w:rsidR="001A7A98">
        <w:rPr>
          <w:rFonts w:ascii="Verdana" w:hAnsi="Verdana"/>
          <w:sz w:val="18"/>
          <w:szCs w:val="18"/>
        </w:rPr>
        <w:t>-</w:t>
      </w:r>
      <w:r w:rsidR="001A7A98" w:rsidRPr="00055DDC">
        <w:rPr>
          <w:rFonts w:ascii="Verdana" w:hAnsi="Verdana"/>
          <w:sz w:val="18"/>
          <w:szCs w:val="18"/>
        </w:rPr>
        <w:t>H</w:t>
      </w:r>
      <w:r w:rsidR="001A7A98">
        <w:rPr>
          <w:rFonts w:ascii="Verdana" w:hAnsi="Verdana"/>
          <w:sz w:val="18"/>
          <w:szCs w:val="18"/>
        </w:rPr>
        <w:t>andvest</w:t>
      </w:r>
      <w:r w:rsidR="001A7A98" w:rsidRPr="00055DDC">
        <w:rPr>
          <w:rFonts w:ascii="Verdana" w:hAnsi="Verdana"/>
          <w:sz w:val="18"/>
          <w:szCs w:val="18"/>
        </w:rPr>
        <w:t xml:space="preserve"> is gebas</w:t>
      </w:r>
      <w:r w:rsidR="001A7A98">
        <w:rPr>
          <w:rFonts w:ascii="Verdana" w:hAnsi="Verdana"/>
          <w:sz w:val="18"/>
          <w:szCs w:val="18"/>
        </w:rPr>
        <w:t xml:space="preserve">eerd op artikel 13 van het EVRM. </w:t>
      </w:r>
      <w:r w:rsidR="001A7A98" w:rsidRPr="00055DDC">
        <w:rPr>
          <w:rFonts w:ascii="Verdana" w:hAnsi="Verdana"/>
          <w:sz w:val="18"/>
          <w:szCs w:val="18"/>
        </w:rPr>
        <w:t xml:space="preserve">Het recht van de Unie biedt echter een ruimere bescherming omdat het een recht op een doeltreffende voorziening in rechte waarborgt. Het Hof van Justitie </w:t>
      </w:r>
      <w:r w:rsidR="001A7A98">
        <w:rPr>
          <w:rFonts w:ascii="Verdana" w:hAnsi="Verdana"/>
          <w:sz w:val="18"/>
          <w:szCs w:val="18"/>
        </w:rPr>
        <w:t xml:space="preserve">van de EU </w:t>
      </w:r>
      <w:r w:rsidR="001A7A98" w:rsidRPr="00055DDC">
        <w:rPr>
          <w:rFonts w:ascii="Verdana" w:hAnsi="Verdana"/>
          <w:sz w:val="18"/>
          <w:szCs w:val="18"/>
        </w:rPr>
        <w:t>heeft dit recht erkend als een algemeen beginsel van het recht van de Unie</w:t>
      </w:r>
      <w:r w:rsidR="00A17047">
        <w:rPr>
          <w:rFonts w:ascii="Verdana" w:hAnsi="Verdana"/>
          <w:sz w:val="18"/>
          <w:szCs w:val="18"/>
        </w:rPr>
        <w:t xml:space="preserve"> en bepaald dat het</w:t>
      </w:r>
      <w:r w:rsidR="00A17047" w:rsidRPr="00A17047">
        <w:rPr>
          <w:rFonts w:ascii="Verdana" w:hAnsi="Verdana"/>
          <w:sz w:val="18"/>
          <w:szCs w:val="18"/>
        </w:rPr>
        <w:t xml:space="preserve"> </w:t>
      </w:r>
      <w:r w:rsidR="00A17047" w:rsidRPr="00055DDC">
        <w:rPr>
          <w:rFonts w:ascii="Verdana" w:hAnsi="Verdana"/>
          <w:sz w:val="18"/>
          <w:szCs w:val="18"/>
        </w:rPr>
        <w:lastRenderedPageBreak/>
        <w:t xml:space="preserve">eveneens van toepassing </w:t>
      </w:r>
      <w:r w:rsidR="00A17047">
        <w:rPr>
          <w:rFonts w:ascii="Verdana" w:hAnsi="Verdana"/>
          <w:sz w:val="18"/>
          <w:szCs w:val="18"/>
        </w:rPr>
        <w:t xml:space="preserve">is </w:t>
      </w:r>
      <w:r w:rsidR="00A17047" w:rsidRPr="00055DDC">
        <w:rPr>
          <w:rFonts w:ascii="Verdana" w:hAnsi="Verdana"/>
          <w:sz w:val="18"/>
          <w:szCs w:val="18"/>
        </w:rPr>
        <w:t>op de lidstaten wanneer zij het recht van de Unie toepassen</w:t>
      </w:r>
      <w:r w:rsidR="001A7A98">
        <w:rPr>
          <w:rFonts w:ascii="Verdana" w:hAnsi="Verdana"/>
          <w:sz w:val="18"/>
          <w:szCs w:val="18"/>
        </w:rPr>
        <w:t>.</w:t>
      </w:r>
      <w:r w:rsidR="001A7A98">
        <w:rPr>
          <w:rStyle w:val="Voetnootmarkering"/>
          <w:rFonts w:ascii="Verdana" w:hAnsi="Verdana"/>
          <w:sz w:val="18"/>
          <w:szCs w:val="18"/>
        </w:rPr>
        <w:footnoteReference w:id="53"/>
      </w:r>
      <w:r w:rsidR="00A17047">
        <w:rPr>
          <w:rFonts w:ascii="Verdana" w:hAnsi="Verdana"/>
          <w:sz w:val="18"/>
          <w:szCs w:val="18"/>
        </w:rPr>
        <w:t xml:space="preserve"> </w:t>
      </w:r>
      <w:r w:rsidR="001A7A98" w:rsidRPr="00055DDC">
        <w:rPr>
          <w:rFonts w:ascii="Verdana" w:hAnsi="Verdana"/>
          <w:sz w:val="18"/>
          <w:szCs w:val="18"/>
        </w:rPr>
        <w:t xml:space="preserve">Deze jurisprudentie </w:t>
      </w:r>
      <w:r w:rsidR="00571FE4">
        <w:rPr>
          <w:rFonts w:ascii="Verdana" w:hAnsi="Verdana"/>
          <w:sz w:val="18"/>
          <w:szCs w:val="18"/>
        </w:rPr>
        <w:t>is geëerbiedigd</w:t>
      </w:r>
      <w:r w:rsidR="005C07F0">
        <w:rPr>
          <w:rFonts w:ascii="Verdana" w:hAnsi="Verdana"/>
          <w:sz w:val="18"/>
          <w:szCs w:val="18"/>
        </w:rPr>
        <w:t xml:space="preserve"> </w:t>
      </w:r>
      <w:r w:rsidR="001A7A98" w:rsidRPr="00055DDC">
        <w:rPr>
          <w:rFonts w:ascii="Verdana" w:hAnsi="Verdana"/>
          <w:sz w:val="18"/>
          <w:szCs w:val="18"/>
        </w:rPr>
        <w:t xml:space="preserve">in het </w:t>
      </w:r>
      <w:r w:rsidR="0018369F">
        <w:rPr>
          <w:rFonts w:ascii="Verdana" w:hAnsi="Verdana"/>
          <w:sz w:val="18"/>
          <w:szCs w:val="18"/>
        </w:rPr>
        <w:t>EU-</w:t>
      </w:r>
      <w:r w:rsidR="001A7A98" w:rsidRPr="00055DDC">
        <w:rPr>
          <w:rFonts w:ascii="Verdana" w:hAnsi="Verdana"/>
          <w:sz w:val="18"/>
          <w:szCs w:val="18"/>
        </w:rPr>
        <w:t>Handvest. Artikel 47 geldt</w:t>
      </w:r>
      <w:r w:rsidR="008E70B9">
        <w:rPr>
          <w:rFonts w:ascii="Verdana" w:hAnsi="Verdana"/>
          <w:sz w:val="18"/>
          <w:szCs w:val="18"/>
        </w:rPr>
        <w:t>, ingevolge artikel 51 van het E</w:t>
      </w:r>
      <w:r w:rsidR="00B86A35">
        <w:rPr>
          <w:rFonts w:ascii="Verdana" w:hAnsi="Verdana"/>
          <w:sz w:val="18"/>
          <w:szCs w:val="18"/>
        </w:rPr>
        <w:t>U</w:t>
      </w:r>
      <w:r w:rsidR="008E70B9">
        <w:rPr>
          <w:rFonts w:ascii="Verdana" w:hAnsi="Verdana"/>
          <w:sz w:val="18"/>
          <w:szCs w:val="18"/>
        </w:rPr>
        <w:t>-Handvest,</w:t>
      </w:r>
      <w:r w:rsidR="001A7A98" w:rsidRPr="00055DDC">
        <w:rPr>
          <w:rFonts w:ascii="Verdana" w:hAnsi="Verdana"/>
          <w:sz w:val="18"/>
          <w:szCs w:val="18"/>
        </w:rPr>
        <w:t xml:space="preserve"> ten aanzien van de instellingen van de Unie en de lidstaten wanneer deze het Unierecht </w:t>
      </w:r>
      <w:r w:rsidR="00677936">
        <w:rPr>
          <w:rFonts w:ascii="Verdana" w:hAnsi="Verdana"/>
          <w:sz w:val="18"/>
          <w:szCs w:val="18"/>
        </w:rPr>
        <w:t>ten uitvoer brengen</w:t>
      </w:r>
      <w:r w:rsidR="008E70B9">
        <w:rPr>
          <w:rFonts w:ascii="Verdana" w:hAnsi="Verdana"/>
          <w:sz w:val="18"/>
          <w:szCs w:val="18"/>
        </w:rPr>
        <w:t>,</w:t>
      </w:r>
      <w:r w:rsidR="001A7A98" w:rsidRPr="00055DDC">
        <w:rPr>
          <w:rFonts w:ascii="Verdana" w:hAnsi="Verdana"/>
          <w:sz w:val="18"/>
          <w:szCs w:val="18"/>
        </w:rPr>
        <w:t xml:space="preserve"> en voor alle rechten die worden gewaarborgd door het Unierecht.</w:t>
      </w:r>
      <w:r w:rsidR="001A7A98">
        <w:rPr>
          <w:rStyle w:val="Voetnootmarkering"/>
          <w:rFonts w:ascii="Verdana" w:hAnsi="Verdana"/>
          <w:sz w:val="18"/>
          <w:szCs w:val="18"/>
        </w:rPr>
        <w:footnoteReference w:id="54"/>
      </w:r>
      <w:r w:rsidR="001A7A98" w:rsidRPr="00055DDC">
        <w:rPr>
          <w:rFonts w:ascii="Verdana" w:hAnsi="Verdana"/>
          <w:sz w:val="18"/>
          <w:szCs w:val="18"/>
        </w:rPr>
        <w:t xml:space="preserve"> </w:t>
      </w:r>
      <w:r w:rsidR="003161AF">
        <w:rPr>
          <w:rFonts w:ascii="Verdana" w:hAnsi="Verdana"/>
          <w:sz w:val="18"/>
          <w:szCs w:val="18"/>
        </w:rPr>
        <w:t>Wanneer de door het Unierecht gewaarborgde rechten en vrijheden (artikel 47, eerste lid) of andere binnen de reikwijdte van het EU-Handvest vallen</w:t>
      </w:r>
      <w:r w:rsidR="00E97B23">
        <w:rPr>
          <w:rFonts w:ascii="Verdana" w:hAnsi="Verdana"/>
          <w:sz w:val="18"/>
          <w:szCs w:val="18"/>
        </w:rPr>
        <w:t xml:space="preserve">de </w:t>
      </w:r>
      <w:r w:rsidR="003161AF">
        <w:rPr>
          <w:rFonts w:ascii="Verdana" w:hAnsi="Verdana"/>
          <w:sz w:val="18"/>
          <w:szCs w:val="18"/>
        </w:rPr>
        <w:t xml:space="preserve"> rechtsvragen in het geding zijn, geldt het in artikel 47, tweede lid, EU-Handvest vervatte recht op een eerlijk proces ook voor de Nederlandse rechter.</w:t>
      </w:r>
    </w:p>
    <w:p w:rsidR="001D1963" w:rsidRDefault="001D1963" w:rsidP="001A7A98">
      <w:pPr>
        <w:pStyle w:val="Geenafstand"/>
        <w:spacing w:line="280" w:lineRule="atLeast"/>
        <w:rPr>
          <w:rFonts w:ascii="Verdana" w:hAnsi="Verdana"/>
          <w:sz w:val="18"/>
          <w:szCs w:val="18"/>
        </w:rPr>
      </w:pPr>
    </w:p>
    <w:p w:rsidR="001D1963" w:rsidRPr="00D801F6" w:rsidRDefault="001D1963" w:rsidP="001A7A98">
      <w:pPr>
        <w:pStyle w:val="Geenafstand"/>
        <w:spacing w:line="280" w:lineRule="atLeast"/>
        <w:rPr>
          <w:rFonts w:ascii="Verdana" w:hAnsi="Verdana"/>
          <w:sz w:val="18"/>
          <w:szCs w:val="18"/>
        </w:rPr>
      </w:pPr>
      <w:r>
        <w:rPr>
          <w:rFonts w:ascii="Verdana" w:hAnsi="Verdana"/>
          <w:sz w:val="18"/>
          <w:szCs w:val="18"/>
        </w:rPr>
        <w:t xml:space="preserve">De Afdeling adviseerde in te gaan op de in de consultatiefase </w:t>
      </w:r>
      <w:r w:rsidRPr="00D801F6">
        <w:rPr>
          <w:rFonts w:ascii="Verdana" w:hAnsi="Verdana"/>
          <w:sz w:val="18"/>
          <w:szCs w:val="18"/>
        </w:rPr>
        <w:t>gedane suggestie om ook het recht op een do</w:t>
      </w:r>
      <w:r w:rsidR="00D801F6">
        <w:rPr>
          <w:rFonts w:ascii="Verdana" w:hAnsi="Verdana"/>
          <w:sz w:val="18"/>
          <w:szCs w:val="18"/>
        </w:rPr>
        <w:t>eltreffende rechtsgang</w:t>
      </w:r>
      <w:r w:rsidRPr="00D801F6">
        <w:rPr>
          <w:rFonts w:ascii="Verdana" w:hAnsi="Verdana"/>
          <w:sz w:val="18"/>
          <w:szCs w:val="18"/>
        </w:rPr>
        <w:t xml:space="preserve"> in de Grondwet op te nemen</w:t>
      </w:r>
      <w:r w:rsidR="00D801F6">
        <w:rPr>
          <w:rFonts w:ascii="Verdana" w:hAnsi="Verdana"/>
          <w:sz w:val="18"/>
          <w:szCs w:val="18"/>
        </w:rPr>
        <w:t>. Dat</w:t>
      </w:r>
      <w:r w:rsidR="00D801F6" w:rsidRPr="00D801F6">
        <w:rPr>
          <w:rFonts w:ascii="Verdana" w:hAnsi="Verdana"/>
          <w:color w:val="000000" w:themeColor="text1"/>
          <w:sz w:val="18"/>
          <w:szCs w:val="18"/>
        </w:rPr>
        <w:t xml:space="preserve"> recht </w:t>
      </w:r>
      <w:r w:rsidR="00D801F6">
        <w:rPr>
          <w:rFonts w:ascii="Verdana" w:hAnsi="Verdana"/>
          <w:color w:val="000000" w:themeColor="text1"/>
          <w:sz w:val="18"/>
          <w:szCs w:val="18"/>
        </w:rPr>
        <w:t>wordt</w:t>
      </w:r>
      <w:r w:rsidR="00D801F6" w:rsidRPr="00D801F6">
        <w:rPr>
          <w:rFonts w:ascii="Verdana" w:hAnsi="Verdana"/>
          <w:color w:val="000000" w:themeColor="text1"/>
          <w:sz w:val="18"/>
          <w:szCs w:val="18"/>
        </w:rPr>
        <w:t xml:space="preserve"> gezien als een wezenlijke voorwaarde voor de uitoefening van het recht op een eer</w:t>
      </w:r>
      <w:r w:rsidR="00D801F6">
        <w:rPr>
          <w:rFonts w:ascii="Verdana" w:hAnsi="Verdana"/>
          <w:color w:val="000000" w:themeColor="text1"/>
          <w:sz w:val="18"/>
          <w:szCs w:val="18"/>
        </w:rPr>
        <w:t>lijk proces. Hier zij opgemerkt dat a</w:t>
      </w:r>
      <w:r w:rsidR="00D801F6" w:rsidRPr="00D801F6">
        <w:rPr>
          <w:rFonts w:ascii="Verdana" w:hAnsi="Verdana"/>
          <w:color w:val="000000" w:themeColor="text1"/>
          <w:sz w:val="18"/>
          <w:szCs w:val="18"/>
        </w:rPr>
        <w:t>rtikel 13 EVRM</w:t>
      </w:r>
      <w:r w:rsidR="00D801F6">
        <w:rPr>
          <w:rFonts w:ascii="Verdana" w:hAnsi="Verdana"/>
          <w:color w:val="000000" w:themeColor="text1"/>
          <w:sz w:val="18"/>
          <w:szCs w:val="18"/>
        </w:rPr>
        <w:t xml:space="preserve"> </w:t>
      </w:r>
      <w:r w:rsidR="00D801F6" w:rsidRPr="00D801F6">
        <w:rPr>
          <w:rFonts w:ascii="Verdana" w:hAnsi="Verdana"/>
          <w:color w:val="000000" w:themeColor="text1"/>
          <w:sz w:val="18"/>
          <w:szCs w:val="18"/>
        </w:rPr>
        <w:t>enkel samen met andere verdragsrechten kan worden ingeroepen. De eisen die aan het recht op effectieve rechtsbescherming worden gesteld onder artikel 13 EVRM zijn in essentie vergelijkbaar met die onder artikel 6 EVRM. Daar waar artikel 6 EVRM van toepassing is heeft artikel 13 EVRM geen toegevoegde waarde.</w:t>
      </w:r>
      <w:r w:rsidR="00D801F6" w:rsidRPr="00D801F6">
        <w:rPr>
          <w:rStyle w:val="Voetnootmarkering"/>
          <w:rFonts w:ascii="Verdana" w:hAnsi="Verdana"/>
          <w:color w:val="000000" w:themeColor="text1"/>
          <w:sz w:val="18"/>
          <w:szCs w:val="18"/>
        </w:rPr>
        <w:footnoteReference w:id="55"/>
      </w:r>
      <w:r w:rsidR="00D801F6" w:rsidRPr="00D801F6">
        <w:rPr>
          <w:rFonts w:ascii="Verdana" w:hAnsi="Verdana"/>
          <w:color w:val="000000" w:themeColor="text1"/>
          <w:sz w:val="18"/>
          <w:szCs w:val="18"/>
        </w:rPr>
        <w:t xml:space="preserve"> Omdat </w:t>
      </w:r>
      <w:r w:rsidR="00D801F6">
        <w:rPr>
          <w:rFonts w:ascii="Verdana" w:hAnsi="Verdana"/>
          <w:color w:val="000000" w:themeColor="text1"/>
          <w:sz w:val="18"/>
          <w:szCs w:val="18"/>
        </w:rPr>
        <w:t xml:space="preserve">in de voorgestelde grondwetsbepaling </w:t>
      </w:r>
      <w:r w:rsidR="00D801F6" w:rsidRPr="00D801F6">
        <w:rPr>
          <w:rFonts w:ascii="Verdana" w:hAnsi="Verdana"/>
          <w:color w:val="000000" w:themeColor="text1"/>
          <w:sz w:val="18"/>
          <w:szCs w:val="18"/>
        </w:rPr>
        <w:t>is gekozen voor een ruime re</w:t>
      </w:r>
      <w:r w:rsidR="00D801F6">
        <w:rPr>
          <w:rFonts w:ascii="Verdana" w:hAnsi="Verdana"/>
          <w:color w:val="000000" w:themeColor="text1"/>
          <w:sz w:val="18"/>
          <w:szCs w:val="18"/>
        </w:rPr>
        <w:t>ikwijdte van het</w:t>
      </w:r>
      <w:r w:rsidR="00D801F6" w:rsidRPr="00D801F6">
        <w:rPr>
          <w:rFonts w:ascii="Verdana" w:hAnsi="Verdana"/>
          <w:color w:val="000000" w:themeColor="text1"/>
          <w:sz w:val="18"/>
          <w:szCs w:val="18"/>
        </w:rPr>
        <w:t xml:space="preserve"> recht op een eerlijk proces door daaronder alle rechtsg</w:t>
      </w:r>
      <w:r w:rsidR="00D801F6">
        <w:rPr>
          <w:rFonts w:ascii="Verdana" w:hAnsi="Verdana"/>
          <w:color w:val="000000" w:themeColor="text1"/>
          <w:sz w:val="18"/>
          <w:szCs w:val="18"/>
        </w:rPr>
        <w:t>eschillen te brengen, achten wij</w:t>
      </w:r>
      <w:r w:rsidR="00D801F6" w:rsidRPr="00D801F6">
        <w:rPr>
          <w:rFonts w:ascii="Verdana" w:hAnsi="Verdana"/>
          <w:color w:val="000000" w:themeColor="text1"/>
          <w:sz w:val="18"/>
          <w:szCs w:val="18"/>
        </w:rPr>
        <w:t xml:space="preserve"> het niet noodzakelijk om daaraan nog expliciet toe te voegen dat die re</w:t>
      </w:r>
      <w:r w:rsidR="00D801F6">
        <w:rPr>
          <w:rFonts w:ascii="Verdana" w:hAnsi="Verdana"/>
          <w:color w:val="000000" w:themeColor="text1"/>
          <w:sz w:val="18"/>
          <w:szCs w:val="18"/>
        </w:rPr>
        <w:t>chtsgang doeltreffend moet zijn</w:t>
      </w:r>
      <w:r w:rsidR="00D801F6" w:rsidRPr="00D801F6">
        <w:rPr>
          <w:rFonts w:ascii="Verdana" w:hAnsi="Verdana"/>
          <w:color w:val="000000" w:themeColor="text1"/>
          <w:sz w:val="18"/>
          <w:szCs w:val="18"/>
        </w:rPr>
        <w:t>.</w:t>
      </w:r>
    </w:p>
    <w:p w:rsidR="00284432" w:rsidRPr="00C31CA4" w:rsidRDefault="00284432" w:rsidP="00C31CA4">
      <w:pPr>
        <w:spacing w:after="0" w:line="280" w:lineRule="atLeast"/>
        <w:rPr>
          <w:rFonts w:ascii="Verdana" w:hAnsi="Verdana" w:cs="Arial"/>
          <w:sz w:val="18"/>
          <w:szCs w:val="18"/>
          <w:u w:val="single"/>
        </w:rPr>
      </w:pPr>
    </w:p>
    <w:p w:rsidR="00284432" w:rsidRPr="00037389" w:rsidRDefault="00284432" w:rsidP="00284432">
      <w:pPr>
        <w:spacing w:after="0" w:line="280" w:lineRule="atLeast"/>
        <w:rPr>
          <w:rFonts w:ascii="Verdana" w:hAnsi="Verdana" w:cs="Arial"/>
          <w:sz w:val="18"/>
          <w:szCs w:val="18"/>
        </w:rPr>
      </w:pPr>
      <w:r w:rsidRPr="00037389">
        <w:rPr>
          <w:rFonts w:ascii="Verdana" w:hAnsi="Verdana" w:cs="Arial"/>
          <w:sz w:val="18"/>
          <w:szCs w:val="18"/>
        </w:rPr>
        <w:t xml:space="preserve">5.4 </w:t>
      </w:r>
      <w:r w:rsidR="00841E29">
        <w:rPr>
          <w:rFonts w:ascii="Verdana" w:hAnsi="Verdana" w:cs="Arial"/>
          <w:sz w:val="18"/>
          <w:szCs w:val="18"/>
        </w:rPr>
        <w:tab/>
      </w:r>
      <w:r w:rsidRPr="00037389">
        <w:rPr>
          <w:rFonts w:ascii="Verdana" w:hAnsi="Verdana" w:cs="Arial"/>
          <w:sz w:val="18"/>
          <w:szCs w:val="18"/>
        </w:rPr>
        <w:t xml:space="preserve">Beperkingen op toegang tot de rechter </w:t>
      </w:r>
    </w:p>
    <w:p w:rsidR="00274D6C" w:rsidRDefault="00274D6C" w:rsidP="00284432">
      <w:pPr>
        <w:spacing w:after="0" w:line="280" w:lineRule="atLeast"/>
        <w:rPr>
          <w:rFonts w:ascii="Verdana" w:hAnsi="Verdana" w:cs="Arial"/>
          <w:sz w:val="18"/>
          <w:szCs w:val="18"/>
        </w:rPr>
      </w:pPr>
    </w:p>
    <w:p w:rsidR="00284432" w:rsidRPr="00284432" w:rsidRDefault="00284432" w:rsidP="00284432">
      <w:pPr>
        <w:spacing w:after="0" w:line="280" w:lineRule="atLeast"/>
        <w:rPr>
          <w:rFonts w:ascii="Verdana" w:hAnsi="Verdana" w:cs="Arial"/>
          <w:sz w:val="18"/>
          <w:szCs w:val="18"/>
        </w:rPr>
      </w:pPr>
      <w:r w:rsidRPr="00284432">
        <w:rPr>
          <w:rFonts w:ascii="Verdana" w:hAnsi="Verdana" w:cs="Arial"/>
          <w:sz w:val="18"/>
          <w:szCs w:val="18"/>
        </w:rPr>
        <w:t>Het recht op toegang tot de rechter is niet absoluut</w:t>
      </w:r>
      <w:r w:rsidR="007C3F35">
        <w:rPr>
          <w:rFonts w:ascii="Verdana" w:hAnsi="Verdana" w:cs="Arial"/>
          <w:sz w:val="18"/>
          <w:szCs w:val="18"/>
        </w:rPr>
        <w:t xml:space="preserve"> in het geldend</w:t>
      </w:r>
      <w:r w:rsidR="00043559">
        <w:rPr>
          <w:rFonts w:ascii="Verdana" w:hAnsi="Verdana" w:cs="Arial"/>
          <w:sz w:val="18"/>
          <w:szCs w:val="18"/>
        </w:rPr>
        <w:t>e</w:t>
      </w:r>
      <w:r w:rsidR="007C3F35">
        <w:rPr>
          <w:rFonts w:ascii="Verdana" w:hAnsi="Verdana" w:cs="Arial"/>
          <w:sz w:val="18"/>
          <w:szCs w:val="18"/>
        </w:rPr>
        <w:t xml:space="preserve"> </w:t>
      </w:r>
      <w:r w:rsidR="00043559">
        <w:rPr>
          <w:rFonts w:ascii="Verdana" w:hAnsi="Verdana" w:cs="Arial"/>
          <w:sz w:val="18"/>
          <w:szCs w:val="18"/>
        </w:rPr>
        <w:t>(internationa</w:t>
      </w:r>
      <w:r w:rsidR="00903728">
        <w:rPr>
          <w:rFonts w:ascii="Verdana" w:hAnsi="Verdana" w:cs="Arial"/>
          <w:sz w:val="18"/>
          <w:szCs w:val="18"/>
        </w:rPr>
        <w:t>l</w:t>
      </w:r>
      <w:r w:rsidR="00043559">
        <w:rPr>
          <w:rFonts w:ascii="Verdana" w:hAnsi="Verdana" w:cs="Arial"/>
          <w:sz w:val="18"/>
          <w:szCs w:val="18"/>
        </w:rPr>
        <w:t>e</w:t>
      </w:r>
      <w:r w:rsidR="00903728">
        <w:rPr>
          <w:rFonts w:ascii="Verdana" w:hAnsi="Verdana" w:cs="Arial"/>
          <w:sz w:val="18"/>
          <w:szCs w:val="18"/>
        </w:rPr>
        <w:t xml:space="preserve">) </w:t>
      </w:r>
      <w:r w:rsidR="007C3F35">
        <w:rPr>
          <w:rFonts w:ascii="Verdana" w:hAnsi="Verdana" w:cs="Arial"/>
          <w:sz w:val="18"/>
          <w:szCs w:val="18"/>
        </w:rPr>
        <w:t>recht</w:t>
      </w:r>
      <w:r w:rsidR="00571FE4">
        <w:rPr>
          <w:rFonts w:ascii="Verdana" w:hAnsi="Verdana" w:cs="Arial"/>
          <w:sz w:val="18"/>
          <w:szCs w:val="18"/>
        </w:rPr>
        <w:t xml:space="preserve"> en evenmin </w:t>
      </w:r>
      <w:r w:rsidR="007C3F35">
        <w:rPr>
          <w:rFonts w:ascii="Verdana" w:hAnsi="Verdana" w:cs="Arial"/>
          <w:sz w:val="18"/>
          <w:szCs w:val="18"/>
        </w:rPr>
        <w:t xml:space="preserve">in </w:t>
      </w:r>
      <w:r w:rsidR="00530422">
        <w:rPr>
          <w:rFonts w:ascii="Verdana" w:hAnsi="Verdana" w:cs="Arial"/>
          <w:sz w:val="18"/>
          <w:szCs w:val="18"/>
        </w:rPr>
        <w:t xml:space="preserve">het aan het recht op een eerlijk proces inherente recht op toegang </w:t>
      </w:r>
      <w:r w:rsidR="00571FE4">
        <w:rPr>
          <w:rFonts w:ascii="Verdana" w:hAnsi="Verdana" w:cs="Arial"/>
          <w:sz w:val="18"/>
          <w:szCs w:val="18"/>
        </w:rPr>
        <w:t xml:space="preserve">tot de rechter </w:t>
      </w:r>
      <w:r w:rsidR="00530422">
        <w:rPr>
          <w:rFonts w:ascii="Verdana" w:hAnsi="Verdana" w:cs="Arial"/>
          <w:sz w:val="18"/>
          <w:szCs w:val="18"/>
        </w:rPr>
        <w:t xml:space="preserve">in </w:t>
      </w:r>
      <w:r w:rsidR="007C3F35">
        <w:rPr>
          <w:rFonts w:ascii="Verdana" w:hAnsi="Verdana" w:cs="Arial"/>
          <w:sz w:val="18"/>
          <w:szCs w:val="18"/>
        </w:rPr>
        <w:t>dit voorstel</w:t>
      </w:r>
      <w:r w:rsidR="00530422">
        <w:rPr>
          <w:rFonts w:ascii="Verdana" w:hAnsi="Verdana" w:cs="Arial"/>
          <w:sz w:val="18"/>
          <w:szCs w:val="18"/>
        </w:rPr>
        <w:t xml:space="preserve"> tot </w:t>
      </w:r>
      <w:r w:rsidR="006B3EC4">
        <w:rPr>
          <w:rFonts w:ascii="Verdana" w:hAnsi="Verdana" w:cs="Arial"/>
          <w:sz w:val="18"/>
          <w:szCs w:val="18"/>
        </w:rPr>
        <w:t xml:space="preserve">wijziging </w:t>
      </w:r>
      <w:r w:rsidR="00530422">
        <w:rPr>
          <w:rFonts w:ascii="Verdana" w:hAnsi="Verdana" w:cs="Arial"/>
          <w:sz w:val="18"/>
          <w:szCs w:val="18"/>
        </w:rPr>
        <w:t>van de Grondwet</w:t>
      </w:r>
      <w:r w:rsidRPr="00284432">
        <w:rPr>
          <w:rFonts w:ascii="Verdana" w:hAnsi="Verdana" w:cs="Arial"/>
          <w:sz w:val="18"/>
          <w:szCs w:val="18"/>
        </w:rPr>
        <w:t xml:space="preserve">. </w:t>
      </w:r>
      <w:r w:rsidR="00A7725D">
        <w:rPr>
          <w:rFonts w:ascii="Verdana" w:hAnsi="Verdana" w:cs="Arial"/>
          <w:sz w:val="18"/>
          <w:szCs w:val="18"/>
        </w:rPr>
        <w:t xml:space="preserve">Rechtspraak </w:t>
      </w:r>
      <w:r w:rsidR="006C23AB">
        <w:rPr>
          <w:rFonts w:ascii="Verdana" w:hAnsi="Verdana" w:cs="Arial"/>
          <w:sz w:val="18"/>
          <w:szCs w:val="18"/>
        </w:rPr>
        <w:t xml:space="preserve">kost geld en </w:t>
      </w:r>
      <w:r w:rsidR="004024FE">
        <w:rPr>
          <w:rFonts w:ascii="Verdana" w:hAnsi="Verdana" w:cs="Arial"/>
          <w:sz w:val="18"/>
          <w:szCs w:val="18"/>
        </w:rPr>
        <w:t>rechts</w:t>
      </w:r>
      <w:r w:rsidR="006C23AB">
        <w:rPr>
          <w:rFonts w:ascii="Verdana" w:hAnsi="Verdana" w:cs="Arial"/>
          <w:sz w:val="18"/>
          <w:szCs w:val="18"/>
        </w:rPr>
        <w:t>zaken zijn talrijk.</w:t>
      </w:r>
      <w:r w:rsidR="00A81203">
        <w:rPr>
          <w:rStyle w:val="Voetnootmarkering"/>
          <w:rFonts w:ascii="Verdana" w:hAnsi="Verdana" w:cs="Arial"/>
          <w:sz w:val="18"/>
          <w:szCs w:val="18"/>
        </w:rPr>
        <w:footnoteReference w:id="56"/>
      </w:r>
      <w:r w:rsidR="00A81203">
        <w:rPr>
          <w:rFonts w:ascii="Verdana" w:hAnsi="Verdana" w:cs="Arial"/>
          <w:sz w:val="18"/>
          <w:szCs w:val="18"/>
        </w:rPr>
        <w:t xml:space="preserve"> </w:t>
      </w:r>
      <w:r w:rsidR="000C2CEF">
        <w:rPr>
          <w:rFonts w:ascii="Verdana" w:hAnsi="Verdana" w:cs="Arial"/>
          <w:sz w:val="18"/>
          <w:szCs w:val="18"/>
        </w:rPr>
        <w:t>Met het oog op de beheersbaarheid van het stelsel van rechtspraak kunnen p</w:t>
      </w:r>
      <w:r w:rsidRPr="00284432">
        <w:rPr>
          <w:rFonts w:ascii="Verdana" w:hAnsi="Verdana" w:cs="Arial"/>
          <w:sz w:val="18"/>
          <w:szCs w:val="18"/>
        </w:rPr>
        <w:t>rocedurele beperkingen, beroepstermijnen, voorschriften dat eerst een bezwaarsc</w:t>
      </w:r>
      <w:r w:rsidR="00903728">
        <w:rPr>
          <w:rFonts w:ascii="Verdana" w:hAnsi="Verdana" w:cs="Arial"/>
          <w:sz w:val="18"/>
          <w:szCs w:val="18"/>
        </w:rPr>
        <w:t>hrift moet worden ingediend enzovoort</w:t>
      </w:r>
      <w:r w:rsidRPr="00284432">
        <w:rPr>
          <w:rFonts w:ascii="Verdana" w:hAnsi="Verdana" w:cs="Arial"/>
          <w:sz w:val="18"/>
          <w:szCs w:val="18"/>
        </w:rPr>
        <w:t xml:space="preserve"> worden beschouwd als toegelaten beperkin</w:t>
      </w:r>
      <w:r w:rsidR="00A81203">
        <w:rPr>
          <w:rFonts w:ascii="Verdana" w:hAnsi="Verdana" w:cs="Arial"/>
          <w:sz w:val="18"/>
          <w:szCs w:val="18"/>
        </w:rPr>
        <w:t>gen van het recht op toegang to</w:t>
      </w:r>
      <w:r w:rsidRPr="00284432">
        <w:rPr>
          <w:rFonts w:ascii="Verdana" w:hAnsi="Verdana" w:cs="Arial"/>
          <w:sz w:val="18"/>
          <w:szCs w:val="18"/>
        </w:rPr>
        <w:t xml:space="preserve">t de rechter, mits wordt voldaan aan de volgende criteria: de beperking mag niet de essentie van het recht op toegang aantasten, de </w:t>
      </w:r>
      <w:r w:rsidR="006D4001">
        <w:rPr>
          <w:rFonts w:ascii="Verdana" w:hAnsi="Verdana" w:cs="Arial"/>
          <w:sz w:val="18"/>
          <w:szCs w:val="18"/>
        </w:rPr>
        <w:t>beperking moet een legit</w:t>
      </w:r>
      <w:r w:rsidR="004C2A14">
        <w:rPr>
          <w:rFonts w:ascii="Verdana" w:hAnsi="Verdana" w:cs="Arial"/>
          <w:sz w:val="18"/>
          <w:szCs w:val="18"/>
        </w:rPr>
        <w:t>i</w:t>
      </w:r>
      <w:r w:rsidR="006D4001">
        <w:rPr>
          <w:rFonts w:ascii="Verdana" w:hAnsi="Verdana" w:cs="Arial"/>
          <w:sz w:val="18"/>
          <w:szCs w:val="18"/>
        </w:rPr>
        <w:t>em doel</w:t>
      </w:r>
      <w:r w:rsidR="00A2696E" w:rsidRPr="006D4001">
        <w:rPr>
          <w:rFonts w:ascii="Verdana" w:hAnsi="Verdana" w:cs="Arial"/>
          <w:sz w:val="18"/>
          <w:szCs w:val="18"/>
        </w:rPr>
        <w:t xml:space="preserve"> dienen</w:t>
      </w:r>
      <w:r w:rsidRPr="00284432">
        <w:rPr>
          <w:rFonts w:ascii="Verdana" w:hAnsi="Verdana" w:cs="Arial"/>
          <w:sz w:val="18"/>
          <w:szCs w:val="18"/>
        </w:rPr>
        <w:t xml:space="preserve"> en </w:t>
      </w:r>
      <w:r w:rsidR="006570F9">
        <w:rPr>
          <w:rFonts w:ascii="Verdana" w:hAnsi="Verdana" w:cs="Arial"/>
          <w:sz w:val="18"/>
          <w:szCs w:val="18"/>
        </w:rPr>
        <w:t>moet proportioneel zijn in het licht van dat doel</w:t>
      </w:r>
      <w:r w:rsidRPr="00284432">
        <w:rPr>
          <w:rFonts w:ascii="Verdana" w:hAnsi="Verdana" w:cs="Arial"/>
          <w:sz w:val="18"/>
          <w:szCs w:val="18"/>
        </w:rPr>
        <w:t>.</w:t>
      </w:r>
      <w:r>
        <w:rPr>
          <w:rStyle w:val="Voetnootmarkering"/>
          <w:rFonts w:ascii="Verdana" w:hAnsi="Verdana" w:cs="Arial"/>
          <w:sz w:val="18"/>
          <w:szCs w:val="18"/>
        </w:rPr>
        <w:footnoteReference w:id="57"/>
      </w:r>
      <w:r w:rsidRPr="00284432">
        <w:rPr>
          <w:rFonts w:ascii="Verdana" w:hAnsi="Verdana" w:cs="Arial"/>
          <w:sz w:val="18"/>
          <w:szCs w:val="18"/>
        </w:rPr>
        <w:t xml:space="preserve"> De vraag in hoeverre de be</w:t>
      </w:r>
      <w:r w:rsidR="00F23258">
        <w:rPr>
          <w:rFonts w:ascii="Verdana" w:hAnsi="Verdana" w:cs="Arial"/>
          <w:sz w:val="18"/>
          <w:szCs w:val="18"/>
        </w:rPr>
        <w:t>perk</w:t>
      </w:r>
      <w:r w:rsidRPr="00284432">
        <w:rPr>
          <w:rFonts w:ascii="Verdana" w:hAnsi="Verdana" w:cs="Arial"/>
          <w:sz w:val="18"/>
          <w:szCs w:val="18"/>
        </w:rPr>
        <w:t xml:space="preserve">ingen zijn toegestaan valt </w:t>
      </w:r>
      <w:r w:rsidR="00043559">
        <w:rPr>
          <w:rFonts w:ascii="Verdana" w:hAnsi="Verdana" w:cs="Arial"/>
          <w:sz w:val="18"/>
          <w:szCs w:val="18"/>
        </w:rPr>
        <w:t xml:space="preserve">onder artikel 6 EVRM </w:t>
      </w:r>
      <w:r w:rsidRPr="00284432">
        <w:rPr>
          <w:rFonts w:ascii="Verdana" w:hAnsi="Verdana" w:cs="Arial"/>
          <w:sz w:val="18"/>
          <w:szCs w:val="18"/>
        </w:rPr>
        <w:t xml:space="preserve">in beginsel onder de </w:t>
      </w:r>
      <w:proofErr w:type="spellStart"/>
      <w:r w:rsidRPr="00284432">
        <w:rPr>
          <w:rFonts w:ascii="Verdana" w:hAnsi="Verdana" w:cs="Arial"/>
          <w:i/>
          <w:sz w:val="18"/>
          <w:szCs w:val="18"/>
        </w:rPr>
        <w:t>margin</w:t>
      </w:r>
      <w:proofErr w:type="spellEnd"/>
      <w:r w:rsidRPr="00284432">
        <w:rPr>
          <w:rFonts w:ascii="Verdana" w:hAnsi="Verdana" w:cs="Arial"/>
          <w:i/>
          <w:sz w:val="18"/>
          <w:szCs w:val="18"/>
        </w:rPr>
        <w:t xml:space="preserve"> of </w:t>
      </w:r>
      <w:proofErr w:type="spellStart"/>
      <w:r w:rsidRPr="00284432">
        <w:rPr>
          <w:rFonts w:ascii="Verdana" w:hAnsi="Verdana" w:cs="Arial"/>
          <w:i/>
          <w:sz w:val="18"/>
          <w:szCs w:val="18"/>
        </w:rPr>
        <w:t>appreciation</w:t>
      </w:r>
      <w:proofErr w:type="spellEnd"/>
      <w:r w:rsidR="00043559">
        <w:rPr>
          <w:rFonts w:ascii="Verdana" w:hAnsi="Verdana" w:cs="Arial"/>
          <w:i/>
          <w:sz w:val="18"/>
          <w:szCs w:val="18"/>
        </w:rPr>
        <w:t xml:space="preserve"> </w:t>
      </w:r>
      <w:r w:rsidR="00043559" w:rsidRPr="00043559">
        <w:rPr>
          <w:rFonts w:ascii="Verdana" w:hAnsi="Verdana" w:cs="Arial"/>
          <w:sz w:val="18"/>
          <w:szCs w:val="18"/>
        </w:rPr>
        <w:t xml:space="preserve">van </w:t>
      </w:r>
      <w:r w:rsidR="00530422">
        <w:rPr>
          <w:rFonts w:ascii="Verdana" w:hAnsi="Verdana" w:cs="Arial"/>
          <w:sz w:val="18"/>
          <w:szCs w:val="18"/>
        </w:rPr>
        <w:t>nationale autoriteiten</w:t>
      </w:r>
      <w:r w:rsidRPr="00284432">
        <w:rPr>
          <w:rFonts w:ascii="Verdana" w:hAnsi="Verdana" w:cs="Arial"/>
          <w:sz w:val="18"/>
          <w:szCs w:val="18"/>
        </w:rPr>
        <w:t xml:space="preserve">. </w:t>
      </w:r>
      <w:r w:rsidR="00216CDC">
        <w:rPr>
          <w:rFonts w:ascii="Verdana" w:hAnsi="Verdana" w:cs="Arial"/>
          <w:sz w:val="18"/>
          <w:szCs w:val="18"/>
        </w:rPr>
        <w:t xml:space="preserve">De genoemde criteria beschouwt het kabinet ook als richtinggevend voor het voorgestelde grondwettelijke recht. </w:t>
      </w:r>
      <w:r w:rsidR="00E43B99">
        <w:rPr>
          <w:rFonts w:ascii="Verdana" w:hAnsi="Verdana" w:cs="Arial"/>
          <w:sz w:val="18"/>
          <w:szCs w:val="18"/>
        </w:rPr>
        <w:t>Toegang tot de rechter impliceert niet dat te alle</w:t>
      </w:r>
      <w:r w:rsidR="00AC51BF">
        <w:rPr>
          <w:rFonts w:ascii="Verdana" w:hAnsi="Verdana" w:cs="Arial"/>
          <w:sz w:val="18"/>
          <w:szCs w:val="18"/>
        </w:rPr>
        <w:t>n</w:t>
      </w:r>
      <w:r w:rsidR="00E43B99">
        <w:rPr>
          <w:rFonts w:ascii="Verdana" w:hAnsi="Verdana" w:cs="Arial"/>
          <w:sz w:val="18"/>
          <w:szCs w:val="18"/>
        </w:rPr>
        <w:t xml:space="preserve"> tijde ieder onderdeel van een geschil of een strafvervolging voor een rechter ter discussie moet kunnen worden gesteld, zoals het OM in zijn advies onder de aandacht heeft gebracht. Procedurele beperkingen zijn bijvoorbeeld te vinden in het gesloten stelsel van rechtsmiddelen in het strafprocesrecht. </w:t>
      </w:r>
      <w:r w:rsidR="006570F9">
        <w:rPr>
          <w:rFonts w:ascii="Verdana" w:hAnsi="Verdana" w:cs="Arial"/>
          <w:sz w:val="18"/>
          <w:szCs w:val="18"/>
        </w:rPr>
        <w:t>Het is niet mogelijk om concreet aan te geven binnen welke marges de overheid moet blijven om recht te doen aan de toegang tot de rechter en het recht op rechtsbijstand. Dat zal steeds in een individueel geval aan de hand van de specifieke omstandigheden moeten worden beoordeeld.</w:t>
      </w:r>
      <w:r w:rsidR="006570F9">
        <w:rPr>
          <w:rStyle w:val="Voetnootmarkering"/>
          <w:rFonts w:ascii="Verdana" w:hAnsi="Verdana" w:cs="Arial"/>
          <w:sz w:val="18"/>
          <w:szCs w:val="18"/>
        </w:rPr>
        <w:footnoteReference w:id="58"/>
      </w:r>
      <w:r w:rsidR="006570F9">
        <w:rPr>
          <w:rFonts w:ascii="Verdana" w:hAnsi="Verdana" w:cs="Arial"/>
          <w:sz w:val="18"/>
          <w:szCs w:val="18"/>
        </w:rPr>
        <w:t xml:space="preserve"> </w:t>
      </w:r>
      <w:r w:rsidR="00F23258">
        <w:rPr>
          <w:rFonts w:ascii="Verdana" w:hAnsi="Verdana" w:cs="Arial"/>
          <w:sz w:val="18"/>
          <w:szCs w:val="18"/>
        </w:rPr>
        <w:t xml:space="preserve">Als voorbeelden van doelen die het </w:t>
      </w:r>
      <w:r w:rsidR="00F23258">
        <w:rPr>
          <w:rFonts w:ascii="Verdana" w:hAnsi="Verdana" w:cs="Arial"/>
          <w:sz w:val="18"/>
          <w:szCs w:val="18"/>
        </w:rPr>
        <w:lastRenderedPageBreak/>
        <w:t>EHRM legitiem heeft geacht bij de beperking van het recht op toegang tot de rechter kunnen worden genoemd de re</w:t>
      </w:r>
      <w:r w:rsidR="00A231AE">
        <w:rPr>
          <w:rFonts w:ascii="Verdana" w:hAnsi="Verdana" w:cs="Arial"/>
          <w:sz w:val="18"/>
          <w:szCs w:val="18"/>
        </w:rPr>
        <w:t>chtszekerheid,</w:t>
      </w:r>
      <w:r w:rsidR="00F23258">
        <w:rPr>
          <w:rFonts w:ascii="Verdana" w:hAnsi="Verdana" w:cs="Arial"/>
          <w:sz w:val="18"/>
          <w:szCs w:val="18"/>
        </w:rPr>
        <w:t xml:space="preserve"> een goed functioneren van de rechterlijke macht en maatregelen ter vermindering van de werklast van de rechterlijke macht.</w:t>
      </w:r>
      <w:r w:rsidR="00F23258">
        <w:rPr>
          <w:rStyle w:val="Voetnootmarkering"/>
          <w:rFonts w:ascii="Verdana" w:hAnsi="Verdana" w:cs="Arial"/>
          <w:sz w:val="18"/>
          <w:szCs w:val="18"/>
        </w:rPr>
        <w:footnoteReference w:id="59"/>
      </w:r>
      <w:r w:rsidR="00F23258">
        <w:rPr>
          <w:rFonts w:ascii="Verdana" w:hAnsi="Verdana" w:cs="Arial"/>
          <w:sz w:val="18"/>
          <w:szCs w:val="18"/>
        </w:rPr>
        <w:t xml:space="preserve"> </w:t>
      </w:r>
      <w:r w:rsidR="00A7725D">
        <w:rPr>
          <w:rFonts w:ascii="Verdana" w:hAnsi="Verdana" w:cs="Arial"/>
          <w:sz w:val="18"/>
          <w:szCs w:val="18"/>
        </w:rPr>
        <w:t xml:space="preserve">Daarbij moeten ook de overige hiervoor genoemde toetsingscriteria, waaronder de proportionaliteit, uiteraard in acht worden genomen. </w:t>
      </w:r>
      <w:r w:rsidR="00DC5D2F">
        <w:rPr>
          <w:rFonts w:ascii="Verdana" w:hAnsi="Verdana" w:cs="Arial"/>
          <w:sz w:val="18"/>
          <w:szCs w:val="18"/>
        </w:rPr>
        <w:t>Binnen die kaders is het heffen van griffierechten niet onverenigbaar met artikel 6 EVRM en mag het recht op gesubsidieerde rechtsbijstand worden onderworpen aan bepaalde beperkingen of voorwaarden, zoals de betaling van een eigen bijdrage. Bij de beoordeling of in een concreet geval recht bestaat op gesubsidieerde rechtsbijstand let het EHRM op het belang van de zaak voor betrokkene, de complexiteit van de zaak en het vermogen van betrokkene daadwerkelijk zijn eigen verdediging te voeren.</w:t>
      </w:r>
      <w:r w:rsidR="00DC5D2F">
        <w:rPr>
          <w:rStyle w:val="Voetnootmarkering"/>
          <w:rFonts w:ascii="Verdana" w:hAnsi="Verdana" w:cs="Arial"/>
          <w:sz w:val="18"/>
          <w:szCs w:val="18"/>
        </w:rPr>
        <w:footnoteReference w:id="60"/>
      </w:r>
      <w:r w:rsidR="00DC5D2F">
        <w:rPr>
          <w:rFonts w:ascii="Verdana" w:hAnsi="Verdana" w:cs="Arial"/>
          <w:sz w:val="18"/>
          <w:szCs w:val="18"/>
        </w:rPr>
        <w:t xml:space="preserve"> </w:t>
      </w:r>
      <w:r w:rsidR="0017114E">
        <w:rPr>
          <w:rFonts w:ascii="Verdana" w:hAnsi="Verdana" w:cs="Arial"/>
          <w:sz w:val="18"/>
          <w:szCs w:val="18"/>
        </w:rPr>
        <w:t xml:space="preserve">Van belang is telkens dat het recht op toegang tot de rechter </w:t>
      </w:r>
      <w:r w:rsidR="005C04A2">
        <w:rPr>
          <w:rFonts w:ascii="Verdana" w:hAnsi="Verdana" w:cs="Arial"/>
          <w:sz w:val="18"/>
          <w:szCs w:val="18"/>
        </w:rPr>
        <w:t xml:space="preserve">in ieder geval </w:t>
      </w:r>
      <w:r w:rsidR="0017114E">
        <w:rPr>
          <w:rFonts w:ascii="Verdana" w:hAnsi="Verdana" w:cs="Arial"/>
          <w:sz w:val="18"/>
          <w:szCs w:val="18"/>
        </w:rPr>
        <w:t xml:space="preserve">niet in </w:t>
      </w:r>
      <w:r w:rsidR="009F7CBA">
        <w:rPr>
          <w:rFonts w:ascii="Verdana" w:hAnsi="Verdana" w:cs="Arial"/>
          <w:sz w:val="18"/>
          <w:szCs w:val="18"/>
        </w:rPr>
        <w:t>essentie</w:t>
      </w:r>
      <w:r w:rsidR="0017114E">
        <w:rPr>
          <w:rFonts w:ascii="Verdana" w:hAnsi="Verdana" w:cs="Arial"/>
          <w:sz w:val="18"/>
          <w:szCs w:val="18"/>
        </w:rPr>
        <w:t xml:space="preserve"> wordt aangetast.</w:t>
      </w:r>
    </w:p>
    <w:p w:rsidR="00284432" w:rsidRDefault="00284432" w:rsidP="00284432">
      <w:pPr>
        <w:spacing w:after="0" w:line="280" w:lineRule="atLeast"/>
        <w:rPr>
          <w:rFonts w:ascii="Verdana" w:hAnsi="Verdana"/>
          <w:sz w:val="18"/>
          <w:szCs w:val="18"/>
        </w:rPr>
      </w:pPr>
    </w:p>
    <w:p w:rsidR="00072EB4" w:rsidRPr="00072EB4" w:rsidRDefault="00072EB4" w:rsidP="00284432">
      <w:pPr>
        <w:spacing w:after="0" w:line="280" w:lineRule="atLeast"/>
        <w:rPr>
          <w:rFonts w:ascii="Verdana" w:hAnsi="Verdana"/>
          <w:sz w:val="18"/>
          <w:szCs w:val="18"/>
        </w:rPr>
      </w:pPr>
    </w:p>
    <w:p w:rsidR="00284432" w:rsidRPr="00C54752" w:rsidRDefault="00284432" w:rsidP="00C54752">
      <w:pPr>
        <w:pStyle w:val="Lijstalinea"/>
        <w:numPr>
          <w:ilvl w:val="0"/>
          <w:numId w:val="25"/>
        </w:numPr>
        <w:spacing w:line="280" w:lineRule="atLeast"/>
        <w:rPr>
          <w:rFonts w:ascii="Verdana" w:hAnsi="Verdana"/>
          <w:b/>
          <w:sz w:val="18"/>
          <w:szCs w:val="18"/>
        </w:rPr>
      </w:pPr>
      <w:r w:rsidRPr="00C54752">
        <w:rPr>
          <w:rFonts w:ascii="Verdana" w:hAnsi="Verdana"/>
          <w:b/>
          <w:sz w:val="18"/>
          <w:szCs w:val="18"/>
        </w:rPr>
        <w:t>Reikwijdte van het recht op een eerlijk proces</w:t>
      </w:r>
    </w:p>
    <w:p w:rsidR="00722130" w:rsidRDefault="00722130" w:rsidP="005E2CFA">
      <w:pPr>
        <w:spacing w:line="280" w:lineRule="atLeast"/>
        <w:rPr>
          <w:rFonts w:ascii="Verdana" w:hAnsi="Verdana"/>
          <w:sz w:val="18"/>
          <w:szCs w:val="18"/>
        </w:rPr>
      </w:pPr>
      <w:r>
        <w:rPr>
          <w:rFonts w:ascii="Verdana" w:hAnsi="Verdana"/>
          <w:sz w:val="18"/>
          <w:szCs w:val="18"/>
        </w:rPr>
        <w:t xml:space="preserve">6.1 </w:t>
      </w:r>
      <w:r>
        <w:rPr>
          <w:rFonts w:ascii="Verdana" w:hAnsi="Verdana"/>
          <w:sz w:val="18"/>
          <w:szCs w:val="18"/>
        </w:rPr>
        <w:tab/>
        <w:t>Reikwijdte</w:t>
      </w:r>
    </w:p>
    <w:p w:rsidR="00071AB5" w:rsidRDefault="007046A7" w:rsidP="005E2CFA">
      <w:pPr>
        <w:spacing w:line="280" w:lineRule="atLeast"/>
        <w:rPr>
          <w:rFonts w:ascii="Verdana" w:hAnsi="Verdana"/>
          <w:sz w:val="18"/>
          <w:szCs w:val="18"/>
        </w:rPr>
      </w:pPr>
      <w:r>
        <w:rPr>
          <w:rFonts w:ascii="Verdana" w:hAnsi="Verdana"/>
          <w:sz w:val="18"/>
          <w:szCs w:val="18"/>
        </w:rPr>
        <w:t>Zoals reeds opgemerkt i</w:t>
      </w:r>
      <w:r w:rsidR="009F7CBA">
        <w:rPr>
          <w:rFonts w:ascii="Verdana" w:hAnsi="Verdana"/>
          <w:sz w:val="18"/>
          <w:szCs w:val="18"/>
        </w:rPr>
        <w:t xml:space="preserve">n paragraaf 1.2 </w:t>
      </w:r>
      <w:r w:rsidR="00005C32">
        <w:rPr>
          <w:rFonts w:ascii="Verdana" w:hAnsi="Verdana"/>
          <w:sz w:val="18"/>
          <w:szCs w:val="18"/>
        </w:rPr>
        <w:t>beoog</w:t>
      </w:r>
      <w:r>
        <w:rPr>
          <w:rFonts w:ascii="Verdana" w:hAnsi="Verdana"/>
          <w:sz w:val="18"/>
          <w:szCs w:val="18"/>
        </w:rPr>
        <w:t>t</w:t>
      </w:r>
      <w:r w:rsidR="00005C32">
        <w:rPr>
          <w:rFonts w:ascii="Verdana" w:hAnsi="Verdana"/>
          <w:sz w:val="18"/>
          <w:szCs w:val="18"/>
        </w:rPr>
        <w:t xml:space="preserve"> de voorgestelde grondwettelijke bepaling </w:t>
      </w:r>
      <w:r w:rsidR="004F2408">
        <w:rPr>
          <w:rFonts w:ascii="Verdana" w:hAnsi="Verdana"/>
          <w:sz w:val="18"/>
          <w:szCs w:val="18"/>
        </w:rPr>
        <w:t>een meerwaarde te geven ten opzichte van de verdragsbepalingen die het recht op een eerlijk proces garanderen</w:t>
      </w:r>
      <w:r w:rsidR="00005C32">
        <w:rPr>
          <w:rFonts w:ascii="Verdana" w:hAnsi="Verdana"/>
          <w:sz w:val="18"/>
          <w:szCs w:val="18"/>
        </w:rPr>
        <w:t xml:space="preserve"> om zodoende een lacune in de individuele rechtsbescherming op grondwettelijk niveau op te vullen. </w:t>
      </w:r>
      <w:r w:rsidR="00071AB5" w:rsidRPr="00055DDC">
        <w:rPr>
          <w:rFonts w:ascii="Verdana" w:hAnsi="Verdana"/>
          <w:sz w:val="18"/>
          <w:szCs w:val="18"/>
        </w:rPr>
        <w:t xml:space="preserve">Het </w:t>
      </w:r>
      <w:r w:rsidR="004F2408">
        <w:rPr>
          <w:rFonts w:ascii="Verdana" w:hAnsi="Verdana"/>
          <w:sz w:val="18"/>
          <w:szCs w:val="18"/>
        </w:rPr>
        <w:t xml:space="preserve">onderhavige </w:t>
      </w:r>
      <w:r w:rsidR="00071AB5" w:rsidRPr="00055DDC">
        <w:rPr>
          <w:rFonts w:ascii="Verdana" w:hAnsi="Verdana"/>
          <w:sz w:val="18"/>
          <w:szCs w:val="18"/>
        </w:rPr>
        <w:t xml:space="preserve">voorstel heeft betrekking op alle rechtsgeschillen, dus anders dan </w:t>
      </w:r>
      <w:r w:rsidR="00071AB5">
        <w:rPr>
          <w:rFonts w:ascii="Verdana" w:hAnsi="Verdana"/>
          <w:sz w:val="18"/>
          <w:szCs w:val="18"/>
        </w:rPr>
        <w:t xml:space="preserve">artikel </w:t>
      </w:r>
      <w:r w:rsidR="00071AB5" w:rsidRPr="00055DDC">
        <w:rPr>
          <w:rFonts w:ascii="Verdana" w:hAnsi="Verdana"/>
          <w:sz w:val="18"/>
          <w:szCs w:val="18"/>
        </w:rPr>
        <w:t xml:space="preserve">6 EVRM ook </w:t>
      </w:r>
      <w:r w:rsidR="00071AB5">
        <w:rPr>
          <w:rFonts w:ascii="Verdana" w:hAnsi="Verdana"/>
          <w:sz w:val="18"/>
          <w:szCs w:val="18"/>
        </w:rPr>
        <w:t>op</w:t>
      </w:r>
      <w:r w:rsidR="00071AB5" w:rsidRPr="00055DDC">
        <w:rPr>
          <w:rFonts w:ascii="Verdana" w:hAnsi="Verdana"/>
          <w:sz w:val="18"/>
          <w:szCs w:val="18"/>
        </w:rPr>
        <w:t xml:space="preserve"> geschillen met betrekking tot de toelating en uitzetting van vreemdelingen, fiscale procedures en </w:t>
      </w:r>
      <w:r w:rsidR="000C2CEF">
        <w:rPr>
          <w:rFonts w:ascii="Verdana" w:hAnsi="Verdana"/>
          <w:sz w:val="18"/>
          <w:szCs w:val="18"/>
        </w:rPr>
        <w:t xml:space="preserve">alle </w:t>
      </w:r>
      <w:r w:rsidR="00071AB5" w:rsidRPr="00055DDC">
        <w:rPr>
          <w:rFonts w:ascii="Verdana" w:hAnsi="Verdana"/>
          <w:sz w:val="18"/>
          <w:szCs w:val="18"/>
        </w:rPr>
        <w:t>(arbeidsrechtelijke</w:t>
      </w:r>
      <w:r w:rsidR="00071AB5">
        <w:rPr>
          <w:rFonts w:ascii="Verdana" w:hAnsi="Verdana"/>
          <w:sz w:val="18"/>
          <w:szCs w:val="18"/>
        </w:rPr>
        <w:t>) geschillen van ambtenaren</w:t>
      </w:r>
      <w:r w:rsidR="00071AB5" w:rsidRPr="00055DDC">
        <w:rPr>
          <w:rFonts w:ascii="Verdana" w:hAnsi="Verdana"/>
          <w:sz w:val="18"/>
          <w:szCs w:val="18"/>
        </w:rPr>
        <w:t xml:space="preserve">. </w:t>
      </w:r>
      <w:r w:rsidR="00C16795">
        <w:rPr>
          <w:rFonts w:ascii="Verdana" w:hAnsi="Verdana"/>
          <w:sz w:val="18"/>
          <w:szCs w:val="18"/>
        </w:rPr>
        <w:t>Voorts heeft de voorgestelde bepaling betrekking op een ingestelde straf</w:t>
      </w:r>
      <w:r w:rsidR="003D2C73">
        <w:rPr>
          <w:rFonts w:ascii="Verdana" w:hAnsi="Verdana"/>
          <w:sz w:val="18"/>
          <w:szCs w:val="18"/>
        </w:rPr>
        <w:t xml:space="preserve">rechtelijke </w:t>
      </w:r>
      <w:r w:rsidR="00C16795">
        <w:rPr>
          <w:rFonts w:ascii="Verdana" w:hAnsi="Verdana"/>
          <w:sz w:val="18"/>
          <w:szCs w:val="18"/>
        </w:rPr>
        <w:t xml:space="preserve">vervolging. </w:t>
      </w:r>
      <w:r w:rsidR="000A2AF1">
        <w:rPr>
          <w:rFonts w:ascii="Verdana" w:hAnsi="Verdana"/>
          <w:sz w:val="18"/>
          <w:szCs w:val="18"/>
        </w:rPr>
        <w:t xml:space="preserve">De term ‘proces’ in de zin van dit voorstel is dus breed, en heeft betrekking op alle rechterlijke procedures, of het nu om een civielrechtelijk, bestuursrechtelijk of strafrechtelijk proces gaat. Wij beogen hiermee duidelijkheid te verschaffen over de brede reikwijdte van de bepaling, die derhalve ruimer is dan eventuele associaties die de term eerlijk proces oproept met bepaalde categorieën van zaken (bijv. strafrechtelijke procedures, waarop de Rvdr heeft gewezen). Alle categorieën van zaken vallen onder de werking van het voorgestelde recht op een eerlijk proces. </w:t>
      </w:r>
      <w:r w:rsidR="00722130">
        <w:rPr>
          <w:rFonts w:ascii="Verdana" w:hAnsi="Verdana"/>
          <w:sz w:val="18"/>
          <w:szCs w:val="18"/>
        </w:rPr>
        <w:t>De voorgestelde reikwijdte van h</w:t>
      </w:r>
      <w:r w:rsidR="00071AB5" w:rsidRPr="00055DDC">
        <w:rPr>
          <w:rFonts w:ascii="Verdana" w:hAnsi="Verdana"/>
          <w:sz w:val="18"/>
          <w:szCs w:val="18"/>
        </w:rPr>
        <w:t xml:space="preserve">et </w:t>
      </w:r>
      <w:r w:rsidR="00722130">
        <w:rPr>
          <w:rFonts w:ascii="Verdana" w:hAnsi="Verdana"/>
          <w:sz w:val="18"/>
          <w:szCs w:val="18"/>
        </w:rPr>
        <w:t xml:space="preserve">onderhavige </w:t>
      </w:r>
      <w:r w:rsidR="00071AB5" w:rsidRPr="00055DDC">
        <w:rPr>
          <w:rFonts w:ascii="Verdana" w:hAnsi="Verdana"/>
          <w:sz w:val="18"/>
          <w:szCs w:val="18"/>
        </w:rPr>
        <w:t xml:space="preserve">voorstel gaat daarmee verder dan </w:t>
      </w:r>
      <w:r w:rsidR="00071AB5">
        <w:rPr>
          <w:rFonts w:ascii="Verdana" w:hAnsi="Verdana"/>
          <w:sz w:val="18"/>
          <w:szCs w:val="18"/>
        </w:rPr>
        <w:t xml:space="preserve">de reikwijdte van </w:t>
      </w:r>
      <w:r w:rsidR="00071AB5" w:rsidRPr="00055DDC">
        <w:rPr>
          <w:rFonts w:ascii="Verdana" w:hAnsi="Verdana"/>
          <w:sz w:val="18"/>
          <w:szCs w:val="18"/>
        </w:rPr>
        <w:t>artikel 6 EVRM</w:t>
      </w:r>
      <w:r w:rsidR="003F0F51">
        <w:rPr>
          <w:rFonts w:ascii="Verdana" w:hAnsi="Verdana"/>
          <w:sz w:val="18"/>
          <w:szCs w:val="18"/>
        </w:rPr>
        <w:t xml:space="preserve">. Het gaat eveneens verder dan </w:t>
      </w:r>
      <w:r w:rsidR="00071AB5" w:rsidRPr="00055DDC">
        <w:rPr>
          <w:rFonts w:ascii="Verdana" w:hAnsi="Verdana"/>
          <w:sz w:val="18"/>
          <w:szCs w:val="18"/>
        </w:rPr>
        <w:t xml:space="preserve">artikel 47 van het </w:t>
      </w:r>
      <w:r w:rsidR="00071AB5">
        <w:rPr>
          <w:rFonts w:ascii="Verdana" w:hAnsi="Verdana"/>
          <w:sz w:val="18"/>
          <w:szCs w:val="18"/>
        </w:rPr>
        <w:t>EU-</w:t>
      </w:r>
      <w:r w:rsidR="0018369F">
        <w:rPr>
          <w:rFonts w:ascii="Verdana" w:hAnsi="Verdana"/>
          <w:sz w:val="18"/>
          <w:szCs w:val="18"/>
        </w:rPr>
        <w:t>H</w:t>
      </w:r>
      <w:r w:rsidR="00071AB5" w:rsidRPr="00055DDC">
        <w:rPr>
          <w:rFonts w:ascii="Verdana" w:hAnsi="Verdana"/>
          <w:sz w:val="18"/>
          <w:szCs w:val="18"/>
        </w:rPr>
        <w:t>andvest</w:t>
      </w:r>
      <w:r w:rsidR="003F0F51">
        <w:rPr>
          <w:rFonts w:ascii="Verdana" w:hAnsi="Verdana"/>
          <w:sz w:val="18"/>
          <w:szCs w:val="18"/>
        </w:rPr>
        <w:t>, gelet op de beperkte werkingssfeer van het EU-Handvest ingevolge artikel 51, eerste lid, van het EU-Handvest</w:t>
      </w:r>
      <w:r w:rsidR="00071AB5" w:rsidRPr="00055DDC">
        <w:rPr>
          <w:rFonts w:ascii="Verdana" w:hAnsi="Verdana"/>
          <w:sz w:val="18"/>
          <w:szCs w:val="18"/>
        </w:rPr>
        <w:t xml:space="preserve">. Op </w:t>
      </w:r>
      <w:r w:rsidR="000C2CEF">
        <w:rPr>
          <w:rFonts w:ascii="Verdana" w:hAnsi="Verdana"/>
          <w:sz w:val="18"/>
          <w:szCs w:val="18"/>
        </w:rPr>
        <w:t xml:space="preserve">de reikwijdte van </w:t>
      </w:r>
      <w:r w:rsidR="00071AB5" w:rsidRPr="00055DDC">
        <w:rPr>
          <w:rFonts w:ascii="Verdana" w:hAnsi="Verdana"/>
          <w:sz w:val="18"/>
          <w:szCs w:val="18"/>
        </w:rPr>
        <w:t>de artikelen</w:t>
      </w:r>
      <w:r w:rsidR="003F0F51">
        <w:rPr>
          <w:rFonts w:ascii="Verdana" w:hAnsi="Verdana"/>
          <w:sz w:val="18"/>
          <w:szCs w:val="18"/>
        </w:rPr>
        <w:t xml:space="preserve"> 6 EVRM en 47 EU-Handvest</w:t>
      </w:r>
      <w:r w:rsidR="00071AB5" w:rsidRPr="00055DDC">
        <w:rPr>
          <w:rFonts w:ascii="Verdana" w:hAnsi="Verdana"/>
          <w:sz w:val="18"/>
          <w:szCs w:val="18"/>
        </w:rPr>
        <w:t xml:space="preserve"> wordt hierna achtereenvolgens ingegaan. De verhouding tussen beide bepalingen wordt beheerst door artikel 52, </w:t>
      </w:r>
      <w:r w:rsidR="005B5DCB">
        <w:rPr>
          <w:rFonts w:ascii="Verdana" w:hAnsi="Verdana"/>
          <w:sz w:val="18"/>
          <w:szCs w:val="18"/>
        </w:rPr>
        <w:t xml:space="preserve">derde </w:t>
      </w:r>
      <w:r w:rsidR="00071AB5" w:rsidRPr="00055DDC">
        <w:rPr>
          <w:rFonts w:ascii="Verdana" w:hAnsi="Verdana"/>
          <w:sz w:val="18"/>
          <w:szCs w:val="18"/>
        </w:rPr>
        <w:t>lid, EU</w:t>
      </w:r>
      <w:r w:rsidR="0018369F">
        <w:rPr>
          <w:rFonts w:ascii="Verdana" w:hAnsi="Verdana"/>
          <w:sz w:val="18"/>
          <w:szCs w:val="18"/>
        </w:rPr>
        <w:t>-</w:t>
      </w:r>
      <w:r w:rsidR="00071AB5" w:rsidRPr="00055DDC">
        <w:rPr>
          <w:rFonts w:ascii="Verdana" w:hAnsi="Verdana"/>
          <w:sz w:val="18"/>
          <w:szCs w:val="18"/>
        </w:rPr>
        <w:t>H</w:t>
      </w:r>
      <w:r w:rsidR="00722130">
        <w:rPr>
          <w:rFonts w:ascii="Verdana" w:hAnsi="Verdana"/>
          <w:sz w:val="18"/>
          <w:szCs w:val="18"/>
        </w:rPr>
        <w:t>andvest</w:t>
      </w:r>
      <w:r w:rsidR="00071AB5" w:rsidRPr="00055DDC">
        <w:rPr>
          <w:rFonts w:ascii="Verdana" w:hAnsi="Verdana"/>
          <w:sz w:val="18"/>
          <w:szCs w:val="18"/>
        </w:rPr>
        <w:t xml:space="preserve">: voor zover </w:t>
      </w:r>
      <w:r w:rsidR="00722130">
        <w:rPr>
          <w:rFonts w:ascii="Verdana" w:hAnsi="Verdana"/>
          <w:sz w:val="18"/>
          <w:szCs w:val="18"/>
        </w:rPr>
        <w:t>het EU-</w:t>
      </w:r>
      <w:r w:rsidR="00071AB5" w:rsidRPr="00055DDC">
        <w:rPr>
          <w:rFonts w:ascii="Verdana" w:hAnsi="Verdana"/>
          <w:sz w:val="18"/>
          <w:szCs w:val="18"/>
        </w:rPr>
        <w:t>Handvest rechten bevat die corresponderen met rechten die zijn gegarandeerd door het EVRM, zijn de inhoud en reikwijdte ervan dezelfde als die welke er door genoemd ve</w:t>
      </w:r>
      <w:r w:rsidR="005E2CFA">
        <w:rPr>
          <w:rFonts w:ascii="Verdana" w:hAnsi="Verdana"/>
          <w:sz w:val="18"/>
          <w:szCs w:val="18"/>
        </w:rPr>
        <w:t>rdrag aan worden toegekend.</w:t>
      </w:r>
      <w:r w:rsidR="000E09FA">
        <w:rPr>
          <w:rFonts w:ascii="Verdana" w:hAnsi="Verdana"/>
          <w:sz w:val="18"/>
          <w:szCs w:val="18"/>
        </w:rPr>
        <w:t xml:space="preserve"> O</w:t>
      </w:r>
      <w:r w:rsidR="009E52B7">
        <w:rPr>
          <w:rFonts w:ascii="Verdana" w:hAnsi="Verdana"/>
          <w:sz w:val="18"/>
          <w:szCs w:val="18"/>
        </w:rPr>
        <w:t>pgemerkt</w:t>
      </w:r>
      <w:r w:rsidR="000E09FA">
        <w:rPr>
          <w:rFonts w:ascii="Verdana" w:hAnsi="Verdana"/>
          <w:sz w:val="18"/>
          <w:szCs w:val="18"/>
        </w:rPr>
        <w:t xml:space="preserve"> zij</w:t>
      </w:r>
      <w:r w:rsidR="009E52B7">
        <w:rPr>
          <w:rFonts w:ascii="Verdana" w:hAnsi="Verdana"/>
          <w:sz w:val="18"/>
          <w:szCs w:val="18"/>
        </w:rPr>
        <w:t xml:space="preserve">, dat op de genoemde rechtsgebieden die buiten de reikwijdte van de verdragen vallen op grond van bestaande wetgeving </w:t>
      </w:r>
      <w:r w:rsidR="000E09FA">
        <w:rPr>
          <w:rFonts w:ascii="Verdana" w:hAnsi="Verdana"/>
          <w:sz w:val="18"/>
          <w:szCs w:val="18"/>
        </w:rPr>
        <w:t xml:space="preserve">in Nederland </w:t>
      </w:r>
      <w:r w:rsidR="009E52B7">
        <w:rPr>
          <w:rFonts w:ascii="Verdana" w:hAnsi="Verdana"/>
          <w:sz w:val="18"/>
          <w:szCs w:val="18"/>
        </w:rPr>
        <w:t>een met waarborgen omklede rechtsgang bestaat</w:t>
      </w:r>
      <w:r w:rsidR="00426CD3" w:rsidRPr="00A231AE">
        <w:rPr>
          <w:rFonts w:ascii="Verdana" w:hAnsi="Verdana"/>
          <w:sz w:val="18"/>
          <w:szCs w:val="18"/>
        </w:rPr>
        <w:t>, die het recht op toegang tot de rechter, bedoeld in artikel 17, garandeert</w:t>
      </w:r>
      <w:r w:rsidR="009E52B7" w:rsidRPr="00A231AE">
        <w:rPr>
          <w:rFonts w:ascii="Verdana" w:hAnsi="Verdana"/>
          <w:sz w:val="18"/>
          <w:szCs w:val="18"/>
        </w:rPr>
        <w:t>.</w:t>
      </w:r>
      <w:r w:rsidR="009E52B7">
        <w:rPr>
          <w:rFonts w:ascii="Verdana" w:hAnsi="Verdana"/>
          <w:sz w:val="18"/>
          <w:szCs w:val="18"/>
        </w:rPr>
        <w:t xml:space="preserve"> </w:t>
      </w:r>
    </w:p>
    <w:p w:rsidR="00071AB5" w:rsidRPr="001A6C84" w:rsidRDefault="00071AB5" w:rsidP="00071AB5">
      <w:pPr>
        <w:pStyle w:val="Geenafstand"/>
        <w:spacing w:line="280" w:lineRule="atLeast"/>
        <w:rPr>
          <w:rFonts w:ascii="Verdana" w:hAnsi="Verdana"/>
          <w:sz w:val="18"/>
          <w:szCs w:val="18"/>
        </w:rPr>
      </w:pPr>
      <w:r w:rsidRPr="00055DDC">
        <w:rPr>
          <w:rFonts w:ascii="Verdana" w:hAnsi="Verdana"/>
          <w:sz w:val="18"/>
          <w:szCs w:val="18"/>
        </w:rPr>
        <w:t xml:space="preserve">Artikel 6 EVRM </w:t>
      </w:r>
      <w:r>
        <w:rPr>
          <w:rFonts w:ascii="Verdana" w:hAnsi="Verdana"/>
          <w:sz w:val="18"/>
          <w:szCs w:val="18"/>
        </w:rPr>
        <w:t>is van toepassing bij</w:t>
      </w:r>
      <w:r w:rsidRPr="00055DDC">
        <w:rPr>
          <w:rFonts w:ascii="Verdana" w:hAnsi="Verdana"/>
          <w:sz w:val="18"/>
          <w:szCs w:val="18"/>
        </w:rPr>
        <w:t xml:space="preserve"> het ‘vaststellen van zijn burgerlijke rechten en verplichtingen’ of bij het ‘bepalen van de gegrondheid van een te</w:t>
      </w:r>
      <w:r>
        <w:rPr>
          <w:rFonts w:ascii="Verdana" w:hAnsi="Verdana"/>
          <w:sz w:val="18"/>
          <w:szCs w:val="18"/>
        </w:rPr>
        <w:t xml:space="preserve">gen hem ingestelde vervolging’. </w:t>
      </w:r>
      <w:r w:rsidRPr="00055DDC">
        <w:rPr>
          <w:rFonts w:ascii="Verdana" w:hAnsi="Verdana"/>
          <w:sz w:val="18"/>
          <w:szCs w:val="18"/>
        </w:rPr>
        <w:t xml:space="preserve">Het begrip ‘burgerlijk’ heeft een </w:t>
      </w:r>
      <w:r>
        <w:rPr>
          <w:rFonts w:ascii="Verdana" w:hAnsi="Verdana"/>
          <w:sz w:val="18"/>
          <w:szCs w:val="18"/>
        </w:rPr>
        <w:t>verdrags</w:t>
      </w:r>
      <w:r w:rsidRPr="00055DDC">
        <w:rPr>
          <w:rFonts w:ascii="Verdana" w:hAnsi="Verdana"/>
          <w:sz w:val="18"/>
          <w:szCs w:val="18"/>
        </w:rPr>
        <w:t>autonome betekenis.</w:t>
      </w:r>
      <w:r>
        <w:rPr>
          <w:rStyle w:val="Voetnootmarkering"/>
          <w:rFonts w:ascii="Verdana" w:hAnsi="Verdana"/>
          <w:sz w:val="18"/>
          <w:szCs w:val="18"/>
        </w:rPr>
        <w:footnoteReference w:id="61"/>
      </w:r>
      <w:r w:rsidRPr="00055DDC">
        <w:rPr>
          <w:rFonts w:ascii="Verdana" w:hAnsi="Verdana"/>
          <w:sz w:val="18"/>
          <w:szCs w:val="18"/>
        </w:rPr>
        <w:t xml:space="preserve"> Het </w:t>
      </w:r>
      <w:r w:rsidR="000C2CEF">
        <w:rPr>
          <w:rFonts w:ascii="Verdana" w:hAnsi="Verdana"/>
          <w:sz w:val="18"/>
          <w:szCs w:val="18"/>
        </w:rPr>
        <w:t>EHRM</w:t>
      </w:r>
      <w:r w:rsidRPr="00055DDC">
        <w:rPr>
          <w:rFonts w:ascii="Verdana" w:hAnsi="Verdana"/>
          <w:sz w:val="18"/>
          <w:szCs w:val="18"/>
        </w:rPr>
        <w:t xml:space="preserve"> geeft weliswaar een aantal criteria</w:t>
      </w:r>
      <w:r w:rsidR="005B5DCB">
        <w:rPr>
          <w:rFonts w:ascii="Verdana" w:hAnsi="Verdana"/>
          <w:sz w:val="18"/>
          <w:szCs w:val="18"/>
        </w:rPr>
        <w:t xml:space="preserve"> voor de uitleg van dit begrip</w:t>
      </w:r>
      <w:r w:rsidRPr="00055DDC">
        <w:rPr>
          <w:rFonts w:ascii="Verdana" w:hAnsi="Verdana"/>
          <w:sz w:val="18"/>
          <w:szCs w:val="18"/>
        </w:rPr>
        <w:t xml:space="preserve">, </w:t>
      </w:r>
      <w:r w:rsidR="000C2CEF">
        <w:rPr>
          <w:rFonts w:ascii="Verdana" w:hAnsi="Verdana"/>
          <w:sz w:val="18"/>
          <w:szCs w:val="18"/>
        </w:rPr>
        <w:t xml:space="preserve">maar waagt zich niet </w:t>
      </w:r>
      <w:r w:rsidRPr="00055DDC">
        <w:rPr>
          <w:rFonts w:ascii="Verdana" w:hAnsi="Verdana"/>
          <w:sz w:val="18"/>
          <w:szCs w:val="18"/>
        </w:rPr>
        <w:t xml:space="preserve">aan een definitie. Al met al is wat betreft het ‘vaststellen van zijn burgerlijke rechten en verplichtingen’ een complexe en dynamische jurisprudentie van het EHRM ontstaan. Hoewel het EHRM steeds meer rechten en verplichtingen </w:t>
      </w:r>
      <w:r w:rsidRPr="00055DDC">
        <w:rPr>
          <w:rFonts w:ascii="Verdana" w:hAnsi="Verdana"/>
          <w:sz w:val="18"/>
          <w:szCs w:val="18"/>
        </w:rPr>
        <w:lastRenderedPageBreak/>
        <w:t xml:space="preserve">eronder laat vallen, blijft het artikel </w:t>
      </w:r>
      <w:r>
        <w:rPr>
          <w:rFonts w:ascii="Verdana" w:hAnsi="Verdana"/>
          <w:sz w:val="18"/>
          <w:szCs w:val="18"/>
        </w:rPr>
        <w:t xml:space="preserve">vooralsnog </w:t>
      </w:r>
      <w:r w:rsidRPr="00055DDC">
        <w:rPr>
          <w:rFonts w:ascii="Verdana" w:hAnsi="Verdana"/>
          <w:sz w:val="18"/>
          <w:szCs w:val="18"/>
        </w:rPr>
        <w:t xml:space="preserve">buiten toepassing op </w:t>
      </w:r>
      <w:r>
        <w:rPr>
          <w:rFonts w:ascii="Verdana" w:hAnsi="Verdana"/>
          <w:sz w:val="18"/>
          <w:szCs w:val="18"/>
        </w:rPr>
        <w:t xml:space="preserve">geschillen over </w:t>
      </w:r>
      <w:r w:rsidRPr="00055DDC">
        <w:rPr>
          <w:rFonts w:ascii="Verdana" w:hAnsi="Verdana"/>
          <w:sz w:val="18"/>
          <w:szCs w:val="18"/>
        </w:rPr>
        <w:t>bepaalde categorieën</w:t>
      </w:r>
      <w:r>
        <w:rPr>
          <w:rFonts w:ascii="Verdana" w:hAnsi="Verdana"/>
          <w:sz w:val="18"/>
          <w:szCs w:val="18"/>
        </w:rPr>
        <w:t xml:space="preserve"> rechtsgebieden</w:t>
      </w:r>
      <w:r w:rsidRPr="00055DDC">
        <w:rPr>
          <w:rFonts w:ascii="Verdana" w:hAnsi="Verdana"/>
          <w:sz w:val="18"/>
          <w:szCs w:val="18"/>
        </w:rPr>
        <w:t xml:space="preserve">, zoals </w:t>
      </w:r>
      <w:r w:rsidR="001A6C84">
        <w:rPr>
          <w:rFonts w:ascii="Verdana" w:hAnsi="Verdana"/>
          <w:sz w:val="18"/>
          <w:szCs w:val="18"/>
        </w:rPr>
        <w:t xml:space="preserve">het </w:t>
      </w:r>
      <w:r w:rsidRPr="00055DDC">
        <w:rPr>
          <w:rFonts w:ascii="Verdana" w:hAnsi="Verdana"/>
          <w:sz w:val="18"/>
          <w:szCs w:val="18"/>
        </w:rPr>
        <w:t xml:space="preserve">belastingrecht, </w:t>
      </w:r>
      <w:r w:rsidR="000C2CEF">
        <w:rPr>
          <w:rFonts w:ascii="Verdana" w:hAnsi="Verdana"/>
          <w:sz w:val="18"/>
          <w:szCs w:val="18"/>
        </w:rPr>
        <w:t xml:space="preserve">het </w:t>
      </w:r>
      <w:r w:rsidR="001A6C84">
        <w:rPr>
          <w:rFonts w:ascii="Verdana" w:hAnsi="Verdana"/>
          <w:sz w:val="18"/>
          <w:szCs w:val="18"/>
        </w:rPr>
        <w:t xml:space="preserve">vreemdelingenrecht, </w:t>
      </w:r>
      <w:r w:rsidRPr="00055DDC">
        <w:rPr>
          <w:rFonts w:ascii="Verdana" w:hAnsi="Verdana"/>
          <w:sz w:val="18"/>
          <w:szCs w:val="18"/>
        </w:rPr>
        <w:t xml:space="preserve">bepaalde categorieën </w:t>
      </w:r>
      <w:r w:rsidR="001A6C84">
        <w:rPr>
          <w:rFonts w:ascii="Verdana" w:hAnsi="Verdana"/>
          <w:sz w:val="18"/>
          <w:szCs w:val="18"/>
        </w:rPr>
        <w:t xml:space="preserve">van </w:t>
      </w:r>
      <w:r w:rsidRPr="00055DDC">
        <w:rPr>
          <w:rFonts w:ascii="Verdana" w:hAnsi="Verdana"/>
          <w:sz w:val="18"/>
          <w:szCs w:val="18"/>
        </w:rPr>
        <w:t>ambt</w:t>
      </w:r>
      <w:r w:rsidR="001A6C84">
        <w:rPr>
          <w:rFonts w:ascii="Verdana" w:hAnsi="Verdana"/>
          <w:sz w:val="18"/>
          <w:szCs w:val="18"/>
        </w:rPr>
        <w:t xml:space="preserve">enarenzaken en </w:t>
      </w:r>
      <w:r w:rsidRPr="00055DDC">
        <w:rPr>
          <w:rFonts w:ascii="Verdana" w:hAnsi="Verdana"/>
          <w:sz w:val="18"/>
          <w:szCs w:val="18"/>
        </w:rPr>
        <w:t>geschillen die samenhangen met p</w:t>
      </w:r>
      <w:r>
        <w:rPr>
          <w:rFonts w:ascii="Verdana" w:hAnsi="Verdana"/>
          <w:sz w:val="18"/>
          <w:szCs w:val="18"/>
        </w:rPr>
        <w:t>olitieke rechten.</w:t>
      </w:r>
      <w:r>
        <w:rPr>
          <w:rStyle w:val="Voetnootmarkering"/>
          <w:rFonts w:ascii="Verdana" w:hAnsi="Verdana"/>
          <w:sz w:val="18"/>
          <w:szCs w:val="18"/>
        </w:rPr>
        <w:footnoteReference w:id="62"/>
      </w:r>
      <w:r w:rsidR="001A6C84">
        <w:rPr>
          <w:rFonts w:ascii="Verdana" w:hAnsi="Verdana"/>
          <w:sz w:val="18"/>
          <w:szCs w:val="18"/>
        </w:rPr>
        <w:t xml:space="preserve"> Uit de Nederlandse rechtspraak volgt overigens dat uit het aan artikel 6 EVRM ten grondslag liggende rechtszekerhei</w:t>
      </w:r>
      <w:r w:rsidR="005C0E0E">
        <w:rPr>
          <w:rFonts w:ascii="Verdana" w:hAnsi="Verdana"/>
          <w:sz w:val="18"/>
          <w:szCs w:val="18"/>
        </w:rPr>
        <w:t>d</w:t>
      </w:r>
      <w:r w:rsidR="001A6C84">
        <w:rPr>
          <w:rFonts w:ascii="Verdana" w:hAnsi="Verdana"/>
          <w:sz w:val="18"/>
          <w:szCs w:val="18"/>
        </w:rPr>
        <w:t>sbeginsel voortvloeit, dat ook in zaken die niet onder het toepassingsgebied van artikel 6 EVRM vallen een geschil wel binnen een redelijke termijn moet worden beslecht (zie ook paragraaf 7.3).</w:t>
      </w:r>
    </w:p>
    <w:p w:rsidR="00071AB5" w:rsidRDefault="00071AB5" w:rsidP="00071AB5">
      <w:pPr>
        <w:pStyle w:val="Geenafstand"/>
        <w:spacing w:line="280" w:lineRule="atLeast"/>
        <w:rPr>
          <w:rFonts w:ascii="Verdana" w:hAnsi="Verdana"/>
          <w:sz w:val="18"/>
          <w:szCs w:val="18"/>
        </w:rPr>
      </w:pPr>
    </w:p>
    <w:p w:rsidR="00F46FAE" w:rsidRDefault="00071AB5" w:rsidP="00F46FAE">
      <w:pPr>
        <w:pStyle w:val="Geenafstand"/>
        <w:spacing w:line="280" w:lineRule="atLeast"/>
        <w:rPr>
          <w:rFonts w:ascii="Verdana" w:hAnsi="Verdana"/>
          <w:sz w:val="18"/>
          <w:szCs w:val="18"/>
        </w:rPr>
      </w:pPr>
      <w:r w:rsidRPr="00055DDC">
        <w:rPr>
          <w:rFonts w:ascii="Verdana" w:hAnsi="Verdana"/>
          <w:sz w:val="18"/>
          <w:szCs w:val="18"/>
        </w:rPr>
        <w:t xml:space="preserve">De tweede alinea </w:t>
      </w:r>
      <w:r>
        <w:rPr>
          <w:rFonts w:ascii="Verdana" w:hAnsi="Verdana"/>
          <w:sz w:val="18"/>
          <w:szCs w:val="18"/>
        </w:rPr>
        <w:t xml:space="preserve">van artikel 47 EU-Handvest </w:t>
      </w:r>
      <w:r w:rsidRPr="00055DDC">
        <w:rPr>
          <w:rFonts w:ascii="Verdana" w:hAnsi="Verdana"/>
          <w:sz w:val="18"/>
          <w:szCs w:val="18"/>
        </w:rPr>
        <w:t xml:space="preserve">correspondeert met artikel 6, </w:t>
      </w:r>
      <w:r>
        <w:rPr>
          <w:rFonts w:ascii="Verdana" w:hAnsi="Verdana"/>
          <w:sz w:val="18"/>
          <w:szCs w:val="18"/>
        </w:rPr>
        <w:t xml:space="preserve">eerste lid, </w:t>
      </w:r>
      <w:r w:rsidRPr="00055DDC">
        <w:rPr>
          <w:rFonts w:ascii="Verdana" w:hAnsi="Verdana"/>
          <w:sz w:val="18"/>
          <w:szCs w:val="18"/>
        </w:rPr>
        <w:t>EVRM</w:t>
      </w:r>
      <w:r>
        <w:rPr>
          <w:rFonts w:ascii="Verdana" w:hAnsi="Verdana"/>
          <w:sz w:val="18"/>
          <w:szCs w:val="18"/>
        </w:rPr>
        <w:t xml:space="preserve">. </w:t>
      </w:r>
      <w:r w:rsidRPr="00055DDC">
        <w:rPr>
          <w:rFonts w:ascii="Verdana" w:hAnsi="Verdana"/>
          <w:sz w:val="18"/>
          <w:szCs w:val="18"/>
        </w:rPr>
        <w:t>Met uitzondering van de werkingssfeer zijn de door het EVRM geboden waarborgen op dezelfde wijze van toepassing in de Unie.</w:t>
      </w:r>
      <w:r w:rsidR="00F46FAE">
        <w:rPr>
          <w:rFonts w:ascii="Verdana" w:hAnsi="Verdana"/>
          <w:sz w:val="18"/>
          <w:szCs w:val="18"/>
        </w:rPr>
        <w:t xml:space="preserve"> De werkingssfeer van artikel 47 EU-Handvest is enerzijds ruimer, nu de bepaling een ieder </w:t>
      </w:r>
      <w:r w:rsidR="005B5DCB">
        <w:rPr>
          <w:rFonts w:ascii="Verdana" w:hAnsi="Verdana"/>
          <w:sz w:val="18"/>
          <w:szCs w:val="18"/>
        </w:rPr>
        <w:t xml:space="preserve">een recht op </w:t>
      </w:r>
      <w:r w:rsidR="00F46FAE">
        <w:rPr>
          <w:rFonts w:ascii="Verdana" w:hAnsi="Verdana"/>
          <w:sz w:val="18"/>
          <w:szCs w:val="18"/>
        </w:rPr>
        <w:t xml:space="preserve">een eerlijk proces geeft bij de vaststelling van </w:t>
      </w:r>
      <w:r w:rsidR="001A6C84">
        <w:rPr>
          <w:rFonts w:ascii="Verdana" w:hAnsi="Verdana"/>
          <w:sz w:val="18"/>
          <w:szCs w:val="18"/>
        </w:rPr>
        <w:t xml:space="preserve">alle </w:t>
      </w:r>
      <w:r w:rsidR="00F46FAE">
        <w:rPr>
          <w:rFonts w:ascii="Verdana" w:hAnsi="Verdana"/>
          <w:sz w:val="18"/>
          <w:szCs w:val="18"/>
        </w:rPr>
        <w:t>rec</w:t>
      </w:r>
      <w:r w:rsidR="001A6C84">
        <w:rPr>
          <w:rFonts w:ascii="Verdana" w:hAnsi="Verdana"/>
          <w:sz w:val="18"/>
          <w:szCs w:val="18"/>
        </w:rPr>
        <w:t xml:space="preserve">hten en plichten, en </w:t>
      </w:r>
      <w:r w:rsidR="00F46FAE">
        <w:rPr>
          <w:rFonts w:ascii="Verdana" w:hAnsi="Verdana"/>
          <w:sz w:val="18"/>
          <w:szCs w:val="18"/>
        </w:rPr>
        <w:t xml:space="preserve">anderzijds beperkter, omdat de bepaling alleen geldt voor zover het gaat om de toepassing van Unierecht </w:t>
      </w:r>
      <w:r w:rsidR="00712F5E">
        <w:rPr>
          <w:rFonts w:ascii="Verdana" w:hAnsi="Verdana"/>
          <w:sz w:val="18"/>
          <w:szCs w:val="18"/>
        </w:rPr>
        <w:t xml:space="preserve">door instellingen van </w:t>
      </w:r>
      <w:r w:rsidR="00F46FAE">
        <w:rPr>
          <w:rFonts w:ascii="Verdana" w:hAnsi="Verdana"/>
          <w:sz w:val="18"/>
          <w:szCs w:val="18"/>
        </w:rPr>
        <w:t>de EU of de lidstaten.</w:t>
      </w:r>
    </w:p>
    <w:p w:rsidR="00F46FAE" w:rsidRPr="00F46FAE" w:rsidRDefault="00F46FAE" w:rsidP="00F46FAE">
      <w:pPr>
        <w:pStyle w:val="Geenafstand"/>
        <w:spacing w:line="280" w:lineRule="atLeast"/>
        <w:rPr>
          <w:rFonts w:ascii="Verdana" w:hAnsi="Verdana"/>
          <w:sz w:val="18"/>
          <w:szCs w:val="18"/>
        </w:rPr>
      </w:pPr>
    </w:p>
    <w:p w:rsidR="00055DDC" w:rsidRDefault="00071AB5" w:rsidP="001A6C84">
      <w:pPr>
        <w:spacing w:line="280" w:lineRule="atLeast"/>
        <w:rPr>
          <w:rFonts w:ascii="Verdana" w:hAnsi="Verdana" w:cs="Arial"/>
          <w:sz w:val="18"/>
          <w:szCs w:val="18"/>
        </w:rPr>
      </w:pPr>
      <w:r>
        <w:rPr>
          <w:rFonts w:ascii="Verdana" w:hAnsi="Verdana" w:cs="Arial"/>
          <w:sz w:val="18"/>
          <w:szCs w:val="18"/>
        </w:rPr>
        <w:t xml:space="preserve">Volgens de staatscommissie moeten het recht op een eerlijk proces </w:t>
      </w:r>
      <w:r w:rsidR="004C2A14">
        <w:rPr>
          <w:rFonts w:ascii="Verdana" w:hAnsi="Verdana" w:cs="Arial"/>
          <w:sz w:val="18"/>
          <w:szCs w:val="18"/>
        </w:rPr>
        <w:t xml:space="preserve">en de toegang tot de rechter </w:t>
      </w:r>
      <w:r>
        <w:rPr>
          <w:rFonts w:ascii="Verdana" w:hAnsi="Verdana" w:cs="Arial"/>
          <w:sz w:val="18"/>
          <w:szCs w:val="18"/>
        </w:rPr>
        <w:t>z</w:t>
      </w:r>
      <w:r w:rsidR="00341F40">
        <w:rPr>
          <w:rFonts w:ascii="Verdana" w:hAnsi="Verdana" w:cs="Arial"/>
          <w:sz w:val="18"/>
          <w:szCs w:val="18"/>
        </w:rPr>
        <w:t>ich uitstrekken tot alle situaties waarin iemand door enig handelen in zijn rechtens bescherm</w:t>
      </w:r>
      <w:r w:rsidR="001A6C84">
        <w:rPr>
          <w:rFonts w:ascii="Verdana" w:hAnsi="Verdana" w:cs="Arial"/>
          <w:sz w:val="18"/>
          <w:szCs w:val="18"/>
        </w:rPr>
        <w:t>de belangen is getroffen</w:t>
      </w:r>
      <w:r w:rsidR="00341F40">
        <w:rPr>
          <w:rFonts w:ascii="Verdana" w:hAnsi="Verdana" w:cs="Arial"/>
          <w:sz w:val="18"/>
          <w:szCs w:val="18"/>
        </w:rPr>
        <w:t xml:space="preserve">. </w:t>
      </w:r>
      <w:r w:rsidR="004C2A14">
        <w:rPr>
          <w:rFonts w:ascii="Verdana" w:hAnsi="Verdana" w:cs="Arial"/>
          <w:sz w:val="18"/>
          <w:szCs w:val="18"/>
        </w:rPr>
        <w:t>K</w:t>
      </w:r>
      <w:r w:rsidR="00341F40">
        <w:rPr>
          <w:rFonts w:ascii="Verdana" w:hAnsi="Verdana" w:cs="Arial"/>
          <w:sz w:val="18"/>
          <w:szCs w:val="18"/>
        </w:rPr>
        <w:t xml:space="preserve">westies die op een serieuze manier raken aan iemands rechtspositie, </w:t>
      </w:r>
      <w:r w:rsidR="004C2A14">
        <w:rPr>
          <w:rFonts w:ascii="Verdana" w:hAnsi="Verdana" w:cs="Arial"/>
          <w:sz w:val="18"/>
          <w:szCs w:val="18"/>
        </w:rPr>
        <w:t xml:space="preserve">moeten </w:t>
      </w:r>
      <w:r w:rsidR="00842AFB">
        <w:rPr>
          <w:rFonts w:ascii="Verdana" w:hAnsi="Verdana" w:cs="Arial"/>
          <w:sz w:val="18"/>
          <w:szCs w:val="18"/>
        </w:rPr>
        <w:t xml:space="preserve">uiteindelijk </w:t>
      </w:r>
      <w:r w:rsidR="00341F40">
        <w:rPr>
          <w:rFonts w:ascii="Verdana" w:hAnsi="Verdana" w:cs="Arial"/>
          <w:sz w:val="18"/>
          <w:szCs w:val="18"/>
        </w:rPr>
        <w:t>ter beoordeling en beslissing kunnen worden voorgelegd aan de onafhankelijke overheidsrechter.</w:t>
      </w:r>
      <w:r w:rsidR="00135A5C">
        <w:rPr>
          <w:rStyle w:val="Voetnootmarkering"/>
          <w:rFonts w:ascii="Verdana" w:hAnsi="Verdana" w:cs="Arial"/>
          <w:sz w:val="18"/>
          <w:szCs w:val="18"/>
        </w:rPr>
        <w:footnoteReference w:id="63"/>
      </w:r>
    </w:p>
    <w:p w:rsidR="00722130" w:rsidRDefault="00722130" w:rsidP="0085406F">
      <w:pPr>
        <w:pStyle w:val="Geenafstand"/>
        <w:spacing w:line="280" w:lineRule="atLeast"/>
        <w:rPr>
          <w:rFonts w:ascii="Verdana" w:hAnsi="Verdana" w:cs="Arial"/>
          <w:sz w:val="18"/>
          <w:szCs w:val="18"/>
        </w:rPr>
      </w:pPr>
      <w:r>
        <w:rPr>
          <w:rFonts w:ascii="Verdana" w:hAnsi="Verdana" w:cs="Arial"/>
          <w:sz w:val="18"/>
          <w:szCs w:val="18"/>
        </w:rPr>
        <w:t xml:space="preserve">6.2 </w:t>
      </w:r>
      <w:r>
        <w:rPr>
          <w:rFonts w:ascii="Verdana" w:hAnsi="Verdana" w:cs="Arial"/>
          <w:sz w:val="18"/>
          <w:szCs w:val="18"/>
        </w:rPr>
        <w:tab/>
        <w:t>Formulering</w:t>
      </w:r>
    </w:p>
    <w:p w:rsidR="00722130" w:rsidRDefault="00722130" w:rsidP="0085406F">
      <w:pPr>
        <w:pStyle w:val="Geenafstand"/>
        <w:spacing w:line="280" w:lineRule="atLeast"/>
        <w:rPr>
          <w:rFonts w:ascii="Verdana" w:hAnsi="Verdana" w:cs="Arial"/>
          <w:sz w:val="18"/>
          <w:szCs w:val="18"/>
        </w:rPr>
      </w:pPr>
    </w:p>
    <w:p w:rsidR="0032294E" w:rsidRDefault="00C16795" w:rsidP="0085406F">
      <w:pPr>
        <w:pStyle w:val="Geenafstand"/>
        <w:spacing w:line="280" w:lineRule="atLeast"/>
        <w:rPr>
          <w:rFonts w:ascii="Verdana" w:hAnsi="Verdana"/>
          <w:sz w:val="18"/>
          <w:szCs w:val="18"/>
        </w:rPr>
      </w:pPr>
      <w:r>
        <w:rPr>
          <w:rFonts w:ascii="Verdana" w:hAnsi="Verdana" w:cs="Arial"/>
          <w:sz w:val="18"/>
          <w:szCs w:val="18"/>
        </w:rPr>
        <w:t>H</w:t>
      </w:r>
      <w:r w:rsidR="00077E92">
        <w:rPr>
          <w:rFonts w:ascii="Verdana" w:hAnsi="Verdana" w:cs="Arial"/>
          <w:sz w:val="18"/>
          <w:szCs w:val="18"/>
        </w:rPr>
        <w:t>et kabinet wenst de</w:t>
      </w:r>
      <w:r w:rsidR="004654D4">
        <w:rPr>
          <w:rFonts w:ascii="Verdana" w:hAnsi="Verdana" w:cs="Arial"/>
          <w:sz w:val="18"/>
          <w:szCs w:val="18"/>
        </w:rPr>
        <w:t xml:space="preserve"> voorgestelde grondwets</w:t>
      </w:r>
      <w:r w:rsidR="00077E92">
        <w:rPr>
          <w:rFonts w:ascii="Verdana" w:hAnsi="Verdana" w:cs="Arial"/>
          <w:sz w:val="18"/>
          <w:szCs w:val="18"/>
        </w:rPr>
        <w:t>bepaling</w:t>
      </w:r>
      <w:r>
        <w:rPr>
          <w:rFonts w:ascii="Verdana" w:hAnsi="Verdana" w:cs="Arial"/>
          <w:sz w:val="18"/>
          <w:szCs w:val="18"/>
        </w:rPr>
        <w:t xml:space="preserve"> </w:t>
      </w:r>
      <w:r w:rsidR="008A7082">
        <w:rPr>
          <w:rFonts w:ascii="Verdana" w:hAnsi="Verdana" w:cs="Arial"/>
          <w:sz w:val="18"/>
          <w:szCs w:val="18"/>
        </w:rPr>
        <w:t xml:space="preserve">een </w:t>
      </w:r>
      <w:r w:rsidR="004F2408">
        <w:rPr>
          <w:rFonts w:ascii="Verdana" w:hAnsi="Verdana" w:cs="Arial"/>
          <w:sz w:val="18"/>
          <w:szCs w:val="18"/>
        </w:rPr>
        <w:t>algemene</w:t>
      </w:r>
      <w:r w:rsidR="008A7082">
        <w:rPr>
          <w:rFonts w:ascii="Verdana" w:hAnsi="Verdana" w:cs="Arial"/>
          <w:sz w:val="18"/>
          <w:szCs w:val="18"/>
        </w:rPr>
        <w:t xml:space="preserve"> werking</w:t>
      </w:r>
      <w:r>
        <w:rPr>
          <w:rFonts w:ascii="Verdana" w:hAnsi="Verdana" w:cs="Arial"/>
          <w:sz w:val="18"/>
          <w:szCs w:val="18"/>
        </w:rPr>
        <w:t xml:space="preserve"> te geven</w:t>
      </w:r>
      <w:r w:rsidR="00077E92">
        <w:rPr>
          <w:rFonts w:ascii="Verdana" w:hAnsi="Verdana" w:cs="Arial"/>
          <w:sz w:val="18"/>
          <w:szCs w:val="18"/>
        </w:rPr>
        <w:t>,</w:t>
      </w:r>
      <w:r>
        <w:rPr>
          <w:rFonts w:ascii="Verdana" w:hAnsi="Verdana" w:cs="Arial"/>
          <w:sz w:val="18"/>
          <w:szCs w:val="18"/>
        </w:rPr>
        <w:t xml:space="preserve"> zonder de beperkingen </w:t>
      </w:r>
      <w:r w:rsidR="00077E92">
        <w:rPr>
          <w:rFonts w:ascii="Verdana" w:hAnsi="Verdana" w:cs="Arial"/>
          <w:sz w:val="18"/>
          <w:szCs w:val="18"/>
        </w:rPr>
        <w:t xml:space="preserve">in de reikwijdte </w:t>
      </w:r>
      <w:r>
        <w:rPr>
          <w:rFonts w:ascii="Verdana" w:hAnsi="Verdana" w:cs="Arial"/>
          <w:sz w:val="18"/>
          <w:szCs w:val="18"/>
        </w:rPr>
        <w:t xml:space="preserve">die voortvloeien uit de formulering van artikel 6 EVRM en artikel 47 EU-Handvest. </w:t>
      </w:r>
      <w:r w:rsidR="005924EB">
        <w:rPr>
          <w:rFonts w:ascii="Verdana" w:hAnsi="Verdana" w:cs="Arial"/>
          <w:sz w:val="18"/>
          <w:szCs w:val="18"/>
        </w:rPr>
        <w:t xml:space="preserve">In de adviezen van het NJCM, </w:t>
      </w:r>
      <w:r w:rsidR="0022620C">
        <w:rPr>
          <w:rFonts w:ascii="Verdana" w:hAnsi="Verdana" w:cs="Arial"/>
          <w:sz w:val="18"/>
          <w:szCs w:val="18"/>
        </w:rPr>
        <w:t xml:space="preserve">de </w:t>
      </w:r>
      <w:proofErr w:type="spellStart"/>
      <w:r w:rsidR="0022620C">
        <w:rPr>
          <w:rFonts w:ascii="Verdana" w:hAnsi="Verdana" w:cs="Arial"/>
          <w:sz w:val="18"/>
          <w:szCs w:val="18"/>
        </w:rPr>
        <w:t>ABRvS</w:t>
      </w:r>
      <w:proofErr w:type="spellEnd"/>
      <w:r w:rsidR="0022620C">
        <w:rPr>
          <w:rFonts w:ascii="Verdana" w:hAnsi="Verdana" w:cs="Arial"/>
          <w:sz w:val="18"/>
          <w:szCs w:val="18"/>
        </w:rPr>
        <w:t xml:space="preserve">, </w:t>
      </w:r>
      <w:r w:rsidR="005924EB">
        <w:rPr>
          <w:rFonts w:ascii="Verdana" w:hAnsi="Verdana" w:cs="Arial"/>
          <w:sz w:val="18"/>
          <w:szCs w:val="18"/>
        </w:rPr>
        <w:t>het OM en in de internetconsultatie is er op gewezen dat de voorgestelde formulering van het eerste lid van artikel 17 te onbepaald zou zijn</w:t>
      </w:r>
      <w:r w:rsidR="00AE3512">
        <w:rPr>
          <w:rFonts w:ascii="Verdana" w:hAnsi="Verdana" w:cs="Arial"/>
          <w:sz w:val="18"/>
          <w:szCs w:val="18"/>
        </w:rPr>
        <w:t>, o</w:t>
      </w:r>
      <w:r w:rsidR="005924EB">
        <w:rPr>
          <w:rFonts w:ascii="Verdana" w:hAnsi="Verdana" w:cs="Arial"/>
          <w:sz w:val="18"/>
          <w:szCs w:val="18"/>
        </w:rPr>
        <w:t>mdat</w:t>
      </w:r>
      <w:r w:rsidR="00AE3512">
        <w:rPr>
          <w:rFonts w:ascii="Verdana" w:hAnsi="Verdana" w:cs="Arial"/>
          <w:sz w:val="18"/>
          <w:szCs w:val="18"/>
        </w:rPr>
        <w:t xml:space="preserve"> daaruit niet duidelijk zo</w:t>
      </w:r>
      <w:r w:rsidR="00A231AE">
        <w:rPr>
          <w:rFonts w:ascii="Verdana" w:hAnsi="Verdana" w:cs="Arial"/>
          <w:sz w:val="18"/>
          <w:szCs w:val="18"/>
        </w:rPr>
        <w:t>u</w:t>
      </w:r>
      <w:r w:rsidR="00AE3512">
        <w:rPr>
          <w:rFonts w:ascii="Verdana" w:hAnsi="Verdana" w:cs="Arial"/>
          <w:sz w:val="18"/>
          <w:szCs w:val="18"/>
        </w:rPr>
        <w:t xml:space="preserve"> blijken voor </w:t>
      </w:r>
      <w:r w:rsidR="0022620C">
        <w:rPr>
          <w:rFonts w:ascii="Verdana" w:hAnsi="Verdana" w:cs="Arial"/>
          <w:sz w:val="18"/>
          <w:szCs w:val="18"/>
        </w:rPr>
        <w:t xml:space="preserve">wie bij </w:t>
      </w:r>
      <w:r w:rsidR="00AE3512">
        <w:rPr>
          <w:rFonts w:ascii="Verdana" w:hAnsi="Verdana" w:cs="Arial"/>
          <w:sz w:val="18"/>
          <w:szCs w:val="18"/>
        </w:rPr>
        <w:t>welke geschillen het recht op een eerlijk proces en het daaraan inherente recht op toegang tot de rechter geldt</w:t>
      </w:r>
      <w:r w:rsidR="00CB75A0">
        <w:rPr>
          <w:rFonts w:ascii="Verdana" w:hAnsi="Verdana" w:cs="Arial"/>
          <w:sz w:val="18"/>
          <w:szCs w:val="18"/>
        </w:rPr>
        <w:t xml:space="preserve">. </w:t>
      </w:r>
      <w:r w:rsidR="005924EB">
        <w:rPr>
          <w:rFonts w:ascii="Verdana" w:hAnsi="Verdana"/>
          <w:sz w:val="18"/>
          <w:szCs w:val="18"/>
        </w:rPr>
        <w:t>Het kabinet heeft zich beraden op de gewenste for</w:t>
      </w:r>
      <w:r w:rsidR="00CB75A0">
        <w:rPr>
          <w:rFonts w:ascii="Verdana" w:hAnsi="Verdana"/>
          <w:sz w:val="18"/>
          <w:szCs w:val="18"/>
        </w:rPr>
        <w:t>mulering</w:t>
      </w:r>
      <w:r w:rsidR="005924EB">
        <w:rPr>
          <w:rFonts w:ascii="Verdana" w:hAnsi="Verdana"/>
          <w:sz w:val="18"/>
          <w:szCs w:val="18"/>
        </w:rPr>
        <w:t xml:space="preserve"> om te bewerkstelligen dat de </w:t>
      </w:r>
      <w:r w:rsidR="00CB75A0">
        <w:rPr>
          <w:rFonts w:ascii="Verdana" w:hAnsi="Verdana"/>
          <w:sz w:val="18"/>
          <w:szCs w:val="18"/>
        </w:rPr>
        <w:t>grondwets</w:t>
      </w:r>
      <w:r w:rsidR="005924EB">
        <w:rPr>
          <w:rFonts w:ascii="Verdana" w:hAnsi="Verdana"/>
          <w:sz w:val="18"/>
          <w:szCs w:val="18"/>
        </w:rPr>
        <w:t>bepaling de beoogde algemene werking krijgt, maar tevens voldoende rechtszekerheid biedt en geen geschillen daaronder brengt die niet in rechte behoeven te worden beslecht.</w:t>
      </w:r>
      <w:r w:rsidR="003D2C73">
        <w:rPr>
          <w:rFonts w:ascii="Verdana" w:hAnsi="Verdana"/>
          <w:sz w:val="18"/>
          <w:szCs w:val="18"/>
        </w:rPr>
        <w:t xml:space="preserve"> </w:t>
      </w:r>
      <w:r w:rsidR="009F7CBA">
        <w:rPr>
          <w:rFonts w:ascii="Verdana" w:hAnsi="Verdana"/>
          <w:sz w:val="18"/>
          <w:szCs w:val="18"/>
        </w:rPr>
        <w:t>Daarom is een omschrijving van de reikwijdte in de grondwetsbepaling zelf toegevoegd die</w:t>
      </w:r>
      <w:r w:rsidR="00712F5E">
        <w:rPr>
          <w:rFonts w:ascii="Verdana" w:hAnsi="Verdana"/>
          <w:sz w:val="18"/>
          <w:szCs w:val="18"/>
        </w:rPr>
        <w:t xml:space="preserve"> zo nauw mogelijk aansluit bij de formulering van artikel 6 EVRM en artikel 47 EU-Handvest. </w:t>
      </w:r>
    </w:p>
    <w:p w:rsidR="0032294E" w:rsidRDefault="0032294E" w:rsidP="0085406F">
      <w:pPr>
        <w:pStyle w:val="Geenafstand"/>
        <w:spacing w:line="280" w:lineRule="atLeast"/>
        <w:rPr>
          <w:rFonts w:ascii="Verdana" w:hAnsi="Verdana"/>
          <w:sz w:val="18"/>
          <w:szCs w:val="18"/>
        </w:rPr>
      </w:pPr>
    </w:p>
    <w:p w:rsidR="00712F5E" w:rsidRPr="00AE3512" w:rsidRDefault="00712F5E" w:rsidP="0085406F">
      <w:pPr>
        <w:pStyle w:val="Geenafstand"/>
        <w:spacing w:line="280" w:lineRule="atLeast"/>
        <w:rPr>
          <w:rFonts w:ascii="Verdana" w:hAnsi="Verdana"/>
          <w:sz w:val="18"/>
          <w:szCs w:val="18"/>
        </w:rPr>
      </w:pPr>
      <w:r>
        <w:rPr>
          <w:rFonts w:ascii="Verdana" w:hAnsi="Verdana"/>
          <w:sz w:val="18"/>
          <w:szCs w:val="18"/>
        </w:rPr>
        <w:t>De staatscommissie deed twee tekstvoo</w:t>
      </w:r>
      <w:r w:rsidR="007D7BCE">
        <w:rPr>
          <w:rFonts w:ascii="Verdana" w:hAnsi="Verdana"/>
          <w:sz w:val="18"/>
          <w:szCs w:val="18"/>
        </w:rPr>
        <w:t>rstellen. Zes leden</w:t>
      </w:r>
      <w:r>
        <w:rPr>
          <w:rFonts w:ascii="Verdana" w:hAnsi="Verdana"/>
          <w:sz w:val="18"/>
          <w:szCs w:val="18"/>
        </w:rPr>
        <w:t xml:space="preserve"> stelde voor de bepaling als volgt te formuleren: </w:t>
      </w:r>
      <w:r w:rsidRPr="0085406F">
        <w:rPr>
          <w:rFonts w:ascii="Verdana" w:hAnsi="Verdana"/>
          <w:sz w:val="18"/>
          <w:szCs w:val="18"/>
        </w:rPr>
        <w:t>“ieder wiens door het recht beschermde belangen worden getroffen heeft recht op een eerlijk proces  (…)”</w:t>
      </w:r>
      <w:r>
        <w:rPr>
          <w:rFonts w:ascii="Verdana" w:hAnsi="Verdana"/>
          <w:sz w:val="18"/>
          <w:szCs w:val="18"/>
        </w:rPr>
        <w:t>. De overige</w:t>
      </w:r>
      <w:r w:rsidR="00536C3E">
        <w:rPr>
          <w:rFonts w:ascii="Verdana" w:hAnsi="Verdana"/>
          <w:sz w:val="18"/>
          <w:szCs w:val="18"/>
        </w:rPr>
        <w:t xml:space="preserve"> vier</w:t>
      </w:r>
      <w:r>
        <w:rPr>
          <w:rFonts w:ascii="Verdana" w:hAnsi="Verdana"/>
          <w:sz w:val="18"/>
          <w:szCs w:val="18"/>
        </w:rPr>
        <w:t xml:space="preserve"> leden stelden voor te kiezen voor de formulering van artikel 6 EVRM met weglating van het voor </w:t>
      </w:r>
      <w:r w:rsidR="00AE3512">
        <w:rPr>
          <w:rFonts w:ascii="Verdana" w:hAnsi="Verdana"/>
          <w:sz w:val="18"/>
          <w:szCs w:val="18"/>
        </w:rPr>
        <w:t>de reikwijdte beperkende woord ‘burgerlijke’</w:t>
      </w:r>
      <w:r>
        <w:rPr>
          <w:rFonts w:ascii="Verdana" w:hAnsi="Verdana"/>
          <w:sz w:val="18"/>
          <w:szCs w:val="18"/>
        </w:rPr>
        <w:t xml:space="preserve">: </w:t>
      </w:r>
      <w:r w:rsidRPr="0085406F">
        <w:rPr>
          <w:rFonts w:ascii="Verdana" w:hAnsi="Verdana"/>
          <w:sz w:val="18"/>
          <w:szCs w:val="18"/>
        </w:rPr>
        <w:t>“ieder heeft bij de vaststelling van zijn rechten en verplichtingen, of bij de bepaling van de gegrondheid van een tegen hem ingestelde strafvervolging re</w:t>
      </w:r>
      <w:r>
        <w:rPr>
          <w:rFonts w:ascii="Verdana" w:hAnsi="Verdana"/>
          <w:sz w:val="18"/>
          <w:szCs w:val="18"/>
        </w:rPr>
        <w:t xml:space="preserve">cht op een eerlijk proces (…)”. De eerste </w:t>
      </w:r>
      <w:r w:rsidRPr="0085406F">
        <w:rPr>
          <w:rFonts w:ascii="Verdana" w:hAnsi="Verdana"/>
          <w:sz w:val="18"/>
          <w:szCs w:val="18"/>
        </w:rPr>
        <w:t>formulering heeft het voordeel van beknoptheid. Zij draagt e</w:t>
      </w:r>
      <w:r>
        <w:rPr>
          <w:rFonts w:ascii="Verdana" w:hAnsi="Verdana"/>
          <w:sz w:val="18"/>
          <w:szCs w:val="18"/>
        </w:rPr>
        <w:t>chter het risico in zich dat daa</w:t>
      </w:r>
      <w:r w:rsidRPr="0085406F">
        <w:rPr>
          <w:rFonts w:ascii="Verdana" w:hAnsi="Verdana"/>
          <w:sz w:val="18"/>
          <w:szCs w:val="18"/>
        </w:rPr>
        <w:t>rmee de deur wordt opengezet voor procedures over trivialiteiten</w:t>
      </w:r>
      <w:r>
        <w:rPr>
          <w:rFonts w:ascii="Verdana" w:hAnsi="Verdana"/>
          <w:sz w:val="18"/>
          <w:szCs w:val="18"/>
        </w:rPr>
        <w:t xml:space="preserve"> die de rechtspraak onnodig belasten</w:t>
      </w:r>
      <w:r w:rsidRPr="0085406F">
        <w:rPr>
          <w:rFonts w:ascii="Verdana" w:hAnsi="Verdana"/>
          <w:sz w:val="18"/>
          <w:szCs w:val="18"/>
        </w:rPr>
        <w:t xml:space="preserve">. De wetgever zal dan nader grenzen moeten trekken door regels te stellen over de mogelijkheid van niet-ontvankelijkheid, proceskostenveroordelingen, of sancties op misbruik van procedure om te voorkomen dat voor allerlei bagatelzaken toegang tot de rechter grondwettelijk is gegarandeerd. </w:t>
      </w:r>
      <w:r w:rsidR="00C279B5">
        <w:rPr>
          <w:rFonts w:ascii="Verdana" w:hAnsi="Verdana"/>
          <w:sz w:val="18"/>
          <w:szCs w:val="18"/>
        </w:rPr>
        <w:t xml:space="preserve">De Afdeling adviseerde </w:t>
      </w:r>
      <w:r w:rsidR="00D4342F">
        <w:rPr>
          <w:rFonts w:ascii="Verdana" w:hAnsi="Verdana"/>
          <w:sz w:val="18"/>
          <w:szCs w:val="18"/>
        </w:rPr>
        <w:t xml:space="preserve">nader </w:t>
      </w:r>
      <w:r w:rsidR="00C279B5">
        <w:rPr>
          <w:rFonts w:ascii="Verdana" w:hAnsi="Verdana"/>
          <w:sz w:val="18"/>
          <w:szCs w:val="18"/>
        </w:rPr>
        <w:t>in te gaan op d</w:t>
      </w:r>
      <w:r w:rsidR="00D4342F">
        <w:rPr>
          <w:rFonts w:ascii="Verdana" w:hAnsi="Verdana"/>
          <w:sz w:val="18"/>
          <w:szCs w:val="18"/>
        </w:rPr>
        <w:t xml:space="preserve">e inhoudelijke merites van de eerste formulering. </w:t>
      </w:r>
      <w:r w:rsidR="00D4342F">
        <w:rPr>
          <w:rFonts w:ascii="Verdana" w:hAnsi="Verdana"/>
          <w:sz w:val="18"/>
          <w:szCs w:val="18"/>
        </w:rPr>
        <w:lastRenderedPageBreak/>
        <w:t>B</w:t>
      </w:r>
      <w:r w:rsidR="0032294E">
        <w:rPr>
          <w:rFonts w:ascii="Verdana" w:hAnsi="Verdana"/>
          <w:sz w:val="18"/>
          <w:szCs w:val="18"/>
        </w:rPr>
        <w:t xml:space="preserve">lijkens de toelichting </w:t>
      </w:r>
      <w:r w:rsidR="001D46BB">
        <w:rPr>
          <w:rFonts w:ascii="Verdana" w:hAnsi="Verdana"/>
          <w:sz w:val="18"/>
          <w:szCs w:val="18"/>
        </w:rPr>
        <w:t xml:space="preserve">op dat voorstel </w:t>
      </w:r>
      <w:r w:rsidR="0032294E">
        <w:rPr>
          <w:rFonts w:ascii="Verdana" w:hAnsi="Verdana"/>
          <w:sz w:val="18"/>
          <w:szCs w:val="18"/>
        </w:rPr>
        <w:t>be</w:t>
      </w:r>
      <w:r w:rsidR="001D46BB">
        <w:rPr>
          <w:rFonts w:ascii="Verdana" w:hAnsi="Verdana"/>
          <w:sz w:val="18"/>
          <w:szCs w:val="18"/>
        </w:rPr>
        <w:t>oogt die</w:t>
      </w:r>
      <w:r w:rsidR="0032294E">
        <w:rPr>
          <w:rFonts w:ascii="Verdana" w:hAnsi="Verdana"/>
          <w:sz w:val="18"/>
          <w:szCs w:val="18"/>
        </w:rPr>
        <w:t xml:space="preserve"> formulering met name een relevante aanpassing te zijn voor de rechtsbescherming tegen de overheid. Wij delen de opvatting van deze leden dat voor rechtsgeschillen tussen burger en overheid ten volle het recht op een eerlijk proces moet gelden. </w:t>
      </w:r>
      <w:r w:rsidR="0032294E" w:rsidRPr="0032294E">
        <w:rPr>
          <w:rFonts w:ascii="Verdana" w:hAnsi="Verdana"/>
          <w:sz w:val="18"/>
          <w:szCs w:val="18"/>
        </w:rPr>
        <w:t xml:space="preserve">Diezelfde inhoudelijke doelstelling kan </w:t>
      </w:r>
      <w:r w:rsidR="00B07AD7">
        <w:rPr>
          <w:rFonts w:ascii="Verdana" w:hAnsi="Verdana"/>
          <w:sz w:val="18"/>
          <w:szCs w:val="18"/>
        </w:rPr>
        <w:t xml:space="preserve">volgens ons </w:t>
      </w:r>
      <w:r w:rsidR="0032294E" w:rsidRPr="0032294E">
        <w:rPr>
          <w:rFonts w:ascii="Verdana" w:hAnsi="Verdana"/>
          <w:sz w:val="18"/>
          <w:szCs w:val="18"/>
        </w:rPr>
        <w:t>worde</w:t>
      </w:r>
      <w:r w:rsidR="0032294E">
        <w:rPr>
          <w:rFonts w:ascii="Verdana" w:hAnsi="Verdana"/>
          <w:sz w:val="18"/>
          <w:szCs w:val="18"/>
        </w:rPr>
        <w:t xml:space="preserve">n bereikt met </w:t>
      </w:r>
      <w:r w:rsidR="0032294E" w:rsidRPr="0032294E">
        <w:rPr>
          <w:rFonts w:ascii="Verdana" w:hAnsi="Verdana"/>
          <w:sz w:val="18"/>
          <w:szCs w:val="18"/>
        </w:rPr>
        <w:t>de begrippen ‘rechten’ en ‘verplichtingen’</w:t>
      </w:r>
      <w:r w:rsidR="0032294E">
        <w:rPr>
          <w:rFonts w:ascii="Verdana" w:hAnsi="Verdana"/>
          <w:sz w:val="18"/>
          <w:szCs w:val="18"/>
        </w:rPr>
        <w:t xml:space="preserve">, </w:t>
      </w:r>
      <w:r w:rsidR="00B07AD7">
        <w:rPr>
          <w:rFonts w:ascii="Verdana" w:hAnsi="Verdana"/>
          <w:sz w:val="18"/>
          <w:szCs w:val="18"/>
        </w:rPr>
        <w:t>zonder nadere beperking tot bepaalde</w:t>
      </w:r>
      <w:r w:rsidR="0032294E" w:rsidRPr="0032294E">
        <w:rPr>
          <w:rFonts w:ascii="Verdana" w:hAnsi="Verdana"/>
          <w:sz w:val="18"/>
          <w:szCs w:val="18"/>
        </w:rPr>
        <w:t xml:space="preserve"> rechtsgebieden</w:t>
      </w:r>
      <w:r w:rsidR="001D46BB">
        <w:rPr>
          <w:rFonts w:ascii="Verdana" w:hAnsi="Verdana"/>
          <w:sz w:val="18"/>
          <w:szCs w:val="18"/>
        </w:rPr>
        <w:t>, zoals in de tweede formulering</w:t>
      </w:r>
      <w:r w:rsidR="0032294E">
        <w:rPr>
          <w:rFonts w:ascii="Verdana" w:hAnsi="Verdana"/>
          <w:sz w:val="18"/>
          <w:szCs w:val="18"/>
        </w:rPr>
        <w:t xml:space="preserve">. </w:t>
      </w:r>
      <w:r w:rsidR="00B07AD7">
        <w:rPr>
          <w:rFonts w:ascii="Verdana" w:hAnsi="Verdana"/>
          <w:sz w:val="18"/>
          <w:szCs w:val="18"/>
        </w:rPr>
        <w:t>Voorts worden st</w:t>
      </w:r>
      <w:r w:rsidR="001D46BB">
        <w:rPr>
          <w:rFonts w:ascii="Verdana" w:hAnsi="Verdana"/>
          <w:sz w:val="18"/>
          <w:szCs w:val="18"/>
        </w:rPr>
        <w:t xml:space="preserve">rafzaken daarin uitdrukkelijk </w:t>
      </w:r>
      <w:r w:rsidR="00B07AD7">
        <w:rPr>
          <w:rFonts w:ascii="Verdana" w:hAnsi="Verdana"/>
          <w:sz w:val="18"/>
          <w:szCs w:val="18"/>
        </w:rPr>
        <w:t>genoemd</w:t>
      </w:r>
      <w:r w:rsidR="001D46BB">
        <w:rPr>
          <w:rFonts w:ascii="Verdana" w:hAnsi="Verdana"/>
          <w:sz w:val="18"/>
          <w:szCs w:val="18"/>
        </w:rPr>
        <w:t>, hetgeen de duidelijkheid van de bepaling ten goede komt</w:t>
      </w:r>
      <w:r w:rsidR="00B07AD7">
        <w:rPr>
          <w:rFonts w:ascii="Verdana" w:hAnsi="Verdana"/>
          <w:sz w:val="18"/>
          <w:szCs w:val="18"/>
        </w:rPr>
        <w:t>.</w:t>
      </w:r>
      <w:r w:rsidR="004610F0">
        <w:rPr>
          <w:rFonts w:ascii="Verdana" w:hAnsi="Verdana"/>
          <w:sz w:val="18"/>
          <w:szCs w:val="18"/>
        </w:rPr>
        <w:t xml:space="preserve"> De voorstellen v</w:t>
      </w:r>
      <w:r w:rsidR="001D46BB">
        <w:rPr>
          <w:rFonts w:ascii="Verdana" w:hAnsi="Verdana"/>
          <w:sz w:val="18"/>
          <w:szCs w:val="18"/>
        </w:rPr>
        <w:t xml:space="preserve">erschillen qua inhoud </w:t>
      </w:r>
      <w:r w:rsidR="004610F0">
        <w:rPr>
          <w:rFonts w:ascii="Verdana" w:hAnsi="Verdana"/>
          <w:sz w:val="18"/>
          <w:szCs w:val="18"/>
        </w:rPr>
        <w:t xml:space="preserve">dus </w:t>
      </w:r>
      <w:r w:rsidR="001D46BB">
        <w:rPr>
          <w:rFonts w:ascii="Verdana" w:hAnsi="Verdana"/>
          <w:sz w:val="18"/>
          <w:szCs w:val="18"/>
        </w:rPr>
        <w:t>niet wezenlijk van elkaar</w:t>
      </w:r>
      <w:r w:rsidR="004610F0">
        <w:rPr>
          <w:rFonts w:ascii="Verdana" w:hAnsi="Verdana"/>
          <w:sz w:val="18"/>
          <w:szCs w:val="18"/>
        </w:rPr>
        <w:t>, nu beide betrekking hebben op alle rechtsgeschillen</w:t>
      </w:r>
      <w:r w:rsidR="00B07AD7">
        <w:rPr>
          <w:rFonts w:ascii="Verdana" w:hAnsi="Verdana"/>
          <w:sz w:val="18"/>
          <w:szCs w:val="18"/>
        </w:rPr>
        <w:t xml:space="preserve">. </w:t>
      </w:r>
      <w:r>
        <w:rPr>
          <w:rFonts w:ascii="Verdana" w:hAnsi="Verdana"/>
          <w:sz w:val="18"/>
          <w:szCs w:val="18"/>
        </w:rPr>
        <w:t>Voor het voorgestelde eerste lid van artikel 17 gaat de voorkeur van het kabinet uit naar de</w:t>
      </w:r>
      <w:r w:rsidRPr="0085406F">
        <w:rPr>
          <w:rFonts w:ascii="Verdana" w:hAnsi="Verdana"/>
          <w:sz w:val="18"/>
          <w:szCs w:val="18"/>
        </w:rPr>
        <w:t xml:space="preserve"> tweede formulering</w:t>
      </w:r>
      <w:r>
        <w:rPr>
          <w:rFonts w:ascii="Verdana" w:hAnsi="Verdana"/>
          <w:sz w:val="18"/>
          <w:szCs w:val="18"/>
        </w:rPr>
        <w:t xml:space="preserve">, die </w:t>
      </w:r>
      <w:r w:rsidRPr="0085406F">
        <w:rPr>
          <w:rFonts w:ascii="Verdana" w:hAnsi="Verdana"/>
          <w:sz w:val="18"/>
          <w:szCs w:val="18"/>
        </w:rPr>
        <w:t xml:space="preserve">begrippen </w:t>
      </w:r>
      <w:r>
        <w:rPr>
          <w:rFonts w:ascii="Verdana" w:hAnsi="Verdana"/>
          <w:sz w:val="18"/>
          <w:szCs w:val="18"/>
        </w:rPr>
        <w:t xml:space="preserve">bezigt </w:t>
      </w:r>
      <w:r w:rsidRPr="0085406F">
        <w:rPr>
          <w:rFonts w:ascii="Verdana" w:hAnsi="Verdana"/>
          <w:sz w:val="18"/>
          <w:szCs w:val="18"/>
        </w:rPr>
        <w:t>waarmee de rechtspraktijk vertrouwd is</w:t>
      </w:r>
      <w:r w:rsidR="005C04A2">
        <w:rPr>
          <w:rFonts w:ascii="Verdana" w:hAnsi="Verdana"/>
          <w:sz w:val="18"/>
          <w:szCs w:val="18"/>
        </w:rPr>
        <w:t xml:space="preserve">, omdat zij zijn ontleend aan </w:t>
      </w:r>
      <w:r w:rsidRPr="0085406F">
        <w:rPr>
          <w:rFonts w:ascii="Verdana" w:hAnsi="Verdana"/>
          <w:sz w:val="18"/>
          <w:szCs w:val="18"/>
        </w:rPr>
        <w:t xml:space="preserve">artikel 6 EVRM. </w:t>
      </w:r>
      <w:r w:rsidR="0032294E">
        <w:rPr>
          <w:rFonts w:ascii="Verdana" w:hAnsi="Verdana"/>
          <w:sz w:val="18"/>
          <w:szCs w:val="18"/>
        </w:rPr>
        <w:t xml:space="preserve">Deze aansluiting bij </w:t>
      </w:r>
      <w:r w:rsidR="00B07AD7">
        <w:rPr>
          <w:rFonts w:ascii="Verdana" w:hAnsi="Verdana"/>
          <w:sz w:val="18"/>
          <w:szCs w:val="18"/>
        </w:rPr>
        <w:t xml:space="preserve">voor de wetgever en in de rechtspraak </w:t>
      </w:r>
      <w:r w:rsidR="0032294E">
        <w:rPr>
          <w:rFonts w:ascii="Verdana" w:hAnsi="Verdana"/>
          <w:sz w:val="18"/>
          <w:szCs w:val="18"/>
        </w:rPr>
        <w:t>bekende begrippen</w:t>
      </w:r>
      <w:r w:rsidR="00B07AD7">
        <w:rPr>
          <w:rFonts w:ascii="Verdana" w:hAnsi="Verdana"/>
          <w:sz w:val="18"/>
          <w:szCs w:val="18"/>
        </w:rPr>
        <w:t xml:space="preserve"> kan een goede toepassing van de grondwettelijke bepaling vergemakkelijken.</w:t>
      </w:r>
      <w:r w:rsidR="0032294E">
        <w:rPr>
          <w:rFonts w:ascii="Verdana" w:hAnsi="Verdana"/>
          <w:sz w:val="18"/>
          <w:szCs w:val="18"/>
        </w:rPr>
        <w:t xml:space="preserve"> </w:t>
      </w:r>
      <w:r>
        <w:rPr>
          <w:rFonts w:ascii="Verdana" w:hAnsi="Verdana"/>
          <w:sz w:val="18"/>
          <w:szCs w:val="18"/>
        </w:rPr>
        <w:t>Dat komt</w:t>
      </w:r>
      <w:r w:rsidR="00E97B23">
        <w:rPr>
          <w:rFonts w:ascii="Verdana" w:hAnsi="Verdana"/>
          <w:sz w:val="18"/>
          <w:szCs w:val="18"/>
        </w:rPr>
        <w:t xml:space="preserve"> het kabinet</w:t>
      </w:r>
      <w:r>
        <w:rPr>
          <w:rFonts w:ascii="Verdana" w:hAnsi="Verdana"/>
          <w:sz w:val="18"/>
          <w:szCs w:val="18"/>
        </w:rPr>
        <w:t xml:space="preserve"> voor als een groot voordeel.</w:t>
      </w:r>
    </w:p>
    <w:p w:rsidR="0085406F" w:rsidRDefault="0085406F" w:rsidP="0085406F">
      <w:pPr>
        <w:pStyle w:val="Geenafstand"/>
        <w:spacing w:line="280" w:lineRule="atLeast"/>
        <w:rPr>
          <w:rFonts w:ascii="Verdana" w:hAnsi="Verdana"/>
          <w:sz w:val="18"/>
          <w:szCs w:val="18"/>
        </w:rPr>
      </w:pPr>
    </w:p>
    <w:p w:rsidR="00722130" w:rsidRDefault="00722130" w:rsidP="0085406F">
      <w:pPr>
        <w:pStyle w:val="Geenafstand"/>
        <w:spacing w:line="280" w:lineRule="atLeast"/>
        <w:rPr>
          <w:rFonts w:ascii="Verdana" w:hAnsi="Verdana"/>
          <w:sz w:val="18"/>
          <w:szCs w:val="18"/>
        </w:rPr>
      </w:pPr>
      <w:r>
        <w:rPr>
          <w:rFonts w:ascii="Verdana" w:hAnsi="Verdana"/>
          <w:sz w:val="18"/>
          <w:szCs w:val="18"/>
        </w:rPr>
        <w:t xml:space="preserve">6.3 </w:t>
      </w:r>
      <w:r>
        <w:rPr>
          <w:rFonts w:ascii="Verdana" w:hAnsi="Verdana"/>
          <w:sz w:val="18"/>
          <w:szCs w:val="18"/>
        </w:rPr>
        <w:tab/>
        <w:t>Vaststelling van rechten en plichten</w:t>
      </w:r>
    </w:p>
    <w:p w:rsidR="00722130" w:rsidRPr="0085406F" w:rsidRDefault="00722130" w:rsidP="0085406F">
      <w:pPr>
        <w:pStyle w:val="Geenafstand"/>
        <w:spacing w:line="280" w:lineRule="atLeast"/>
        <w:rPr>
          <w:rFonts w:ascii="Verdana" w:hAnsi="Verdana"/>
          <w:sz w:val="18"/>
          <w:szCs w:val="18"/>
        </w:rPr>
      </w:pPr>
    </w:p>
    <w:p w:rsidR="00C70B84" w:rsidRPr="00055DDC" w:rsidRDefault="00C70B84" w:rsidP="00C70B84">
      <w:pPr>
        <w:pStyle w:val="Geenafstand"/>
        <w:spacing w:line="280" w:lineRule="atLeast"/>
        <w:rPr>
          <w:rFonts w:ascii="Verdana" w:hAnsi="Verdana"/>
          <w:sz w:val="18"/>
          <w:szCs w:val="18"/>
        </w:rPr>
      </w:pPr>
      <w:r w:rsidRPr="00055DDC">
        <w:rPr>
          <w:rFonts w:ascii="Verdana" w:hAnsi="Verdana"/>
          <w:sz w:val="18"/>
          <w:szCs w:val="18"/>
        </w:rPr>
        <w:t>Wat betreft het ‘vaststellen’ van burgerlijke rechten</w:t>
      </w:r>
      <w:r w:rsidR="00580CCE">
        <w:rPr>
          <w:rFonts w:ascii="Verdana" w:hAnsi="Verdana"/>
          <w:sz w:val="18"/>
          <w:szCs w:val="18"/>
        </w:rPr>
        <w:t xml:space="preserve"> en verplichtingen heeft het EHRM</w:t>
      </w:r>
      <w:r w:rsidRPr="00055DDC">
        <w:rPr>
          <w:rFonts w:ascii="Verdana" w:hAnsi="Verdana"/>
          <w:sz w:val="18"/>
          <w:szCs w:val="18"/>
        </w:rPr>
        <w:t xml:space="preserve"> in het </w:t>
      </w:r>
      <w:r w:rsidR="00942962">
        <w:rPr>
          <w:rFonts w:ascii="Verdana" w:hAnsi="Verdana"/>
          <w:sz w:val="18"/>
          <w:szCs w:val="18"/>
        </w:rPr>
        <w:t>eerder genoemde</w:t>
      </w:r>
      <w:r w:rsidR="00A231AE">
        <w:rPr>
          <w:rFonts w:ascii="Verdana" w:hAnsi="Verdana"/>
          <w:sz w:val="18"/>
          <w:szCs w:val="18"/>
        </w:rPr>
        <w:t xml:space="preserve"> uitspraak in de zaak</w:t>
      </w:r>
      <w:r w:rsidR="00942962">
        <w:rPr>
          <w:rFonts w:ascii="Verdana" w:hAnsi="Verdana"/>
          <w:sz w:val="18"/>
          <w:szCs w:val="18"/>
        </w:rPr>
        <w:t xml:space="preserve"> </w:t>
      </w:r>
      <w:r w:rsidR="00C71AC2" w:rsidRPr="00C71AC2">
        <w:rPr>
          <w:rFonts w:ascii="Verdana" w:hAnsi="Verdana"/>
          <w:i/>
          <w:sz w:val="18"/>
          <w:szCs w:val="18"/>
        </w:rPr>
        <w:t>Benthem</w:t>
      </w:r>
      <w:r w:rsidR="00A231AE">
        <w:rPr>
          <w:rFonts w:ascii="Verdana" w:hAnsi="Verdana"/>
          <w:sz w:val="18"/>
          <w:szCs w:val="18"/>
        </w:rPr>
        <w:t xml:space="preserve"> t. </w:t>
      </w:r>
      <w:r w:rsidR="00A231AE" w:rsidRPr="00A231AE">
        <w:rPr>
          <w:rFonts w:ascii="Verdana" w:hAnsi="Verdana"/>
          <w:i/>
          <w:sz w:val="18"/>
          <w:szCs w:val="18"/>
        </w:rPr>
        <w:t>Nederland</w:t>
      </w:r>
      <w:r w:rsidR="00A231AE">
        <w:rPr>
          <w:rFonts w:ascii="Verdana" w:hAnsi="Verdana"/>
          <w:sz w:val="18"/>
          <w:szCs w:val="18"/>
        </w:rPr>
        <w:t xml:space="preserve"> </w:t>
      </w:r>
      <w:r w:rsidRPr="00055DDC">
        <w:rPr>
          <w:rFonts w:ascii="Verdana" w:hAnsi="Verdana"/>
          <w:sz w:val="18"/>
          <w:szCs w:val="18"/>
        </w:rPr>
        <w:t>een beoordelingskader geformuleerd aan de hand waarvan de vraag of sprake is van een g</w:t>
      </w:r>
      <w:r>
        <w:rPr>
          <w:rFonts w:ascii="Verdana" w:hAnsi="Verdana"/>
          <w:sz w:val="18"/>
          <w:szCs w:val="18"/>
        </w:rPr>
        <w:t xml:space="preserve">eschil moet worden beantwoord. </w:t>
      </w:r>
      <w:r w:rsidRPr="00055DDC">
        <w:rPr>
          <w:rFonts w:ascii="Verdana" w:hAnsi="Verdana"/>
          <w:sz w:val="18"/>
          <w:szCs w:val="18"/>
        </w:rPr>
        <w:t xml:space="preserve">Daaraan zijn sindsdien geen criteria meer toegevoegd. Het </w:t>
      </w:r>
      <w:r w:rsidR="00AD585E">
        <w:rPr>
          <w:rFonts w:ascii="Verdana" w:hAnsi="Verdana"/>
          <w:sz w:val="18"/>
          <w:szCs w:val="18"/>
        </w:rPr>
        <w:t>EHRM</w:t>
      </w:r>
      <w:r w:rsidRPr="00055DDC">
        <w:rPr>
          <w:rFonts w:ascii="Verdana" w:hAnsi="Verdana"/>
          <w:sz w:val="18"/>
          <w:szCs w:val="18"/>
        </w:rPr>
        <w:t xml:space="preserve"> stelt volgens dat kader steeds voorop dat a) artikel 6, </w:t>
      </w:r>
      <w:r w:rsidR="00DD7E78">
        <w:rPr>
          <w:rFonts w:ascii="Verdana" w:hAnsi="Verdana"/>
          <w:sz w:val="18"/>
          <w:szCs w:val="18"/>
        </w:rPr>
        <w:t xml:space="preserve">eerste </w:t>
      </w:r>
      <w:r w:rsidRPr="00055DDC">
        <w:rPr>
          <w:rFonts w:ascii="Verdana" w:hAnsi="Verdana"/>
          <w:sz w:val="18"/>
          <w:szCs w:val="18"/>
        </w:rPr>
        <w:t xml:space="preserve">lid, alleen van toepassing is op een daadwerkelijk, ernstig geschil, b) dit geschil niet alleen betrekking hoeft te hebben op het bestaan van een recht, maar ook </w:t>
      </w:r>
      <w:r w:rsidR="00BD5DC7">
        <w:rPr>
          <w:rFonts w:ascii="Verdana" w:hAnsi="Verdana"/>
          <w:sz w:val="18"/>
          <w:szCs w:val="18"/>
        </w:rPr>
        <w:t xml:space="preserve">betrekking kan hebben </w:t>
      </w:r>
      <w:r w:rsidRPr="00055DDC">
        <w:rPr>
          <w:rFonts w:ascii="Verdana" w:hAnsi="Verdana"/>
          <w:sz w:val="18"/>
          <w:szCs w:val="18"/>
        </w:rPr>
        <w:t xml:space="preserve">op de strekking ervan en de wijze waarop dit wordt uitgeoefend en c) de uitkomst van het geschil rechtsreeks beslissend </w:t>
      </w:r>
      <w:r w:rsidR="00AD585E">
        <w:rPr>
          <w:rFonts w:ascii="Verdana" w:hAnsi="Verdana"/>
          <w:sz w:val="18"/>
          <w:szCs w:val="18"/>
        </w:rPr>
        <w:t>is</w:t>
      </w:r>
      <w:r w:rsidRPr="00055DDC">
        <w:rPr>
          <w:rFonts w:ascii="Verdana" w:hAnsi="Verdana"/>
          <w:sz w:val="18"/>
          <w:szCs w:val="18"/>
        </w:rPr>
        <w:t xml:space="preserve"> voor </w:t>
      </w:r>
      <w:r w:rsidR="00BD5DC7">
        <w:rPr>
          <w:rFonts w:ascii="Verdana" w:hAnsi="Verdana"/>
          <w:sz w:val="18"/>
          <w:szCs w:val="18"/>
        </w:rPr>
        <w:t xml:space="preserve">de uitoefening van </w:t>
      </w:r>
      <w:r w:rsidRPr="00055DDC">
        <w:rPr>
          <w:rFonts w:ascii="Verdana" w:hAnsi="Verdana"/>
          <w:sz w:val="18"/>
          <w:szCs w:val="18"/>
        </w:rPr>
        <w:t xml:space="preserve">het betrokken recht: een zwak verband of ver verwijderde gevolgen volstaan niet. </w:t>
      </w:r>
      <w:r w:rsidR="00942962">
        <w:rPr>
          <w:rFonts w:ascii="Verdana" w:hAnsi="Verdana"/>
          <w:sz w:val="18"/>
          <w:szCs w:val="18"/>
        </w:rPr>
        <w:t>Dit kader is bruikbaar voor de voorgestelde grondwettelijke bepaling. Het geeft aan</w:t>
      </w:r>
      <w:r w:rsidR="00EF1B2C">
        <w:rPr>
          <w:rFonts w:ascii="Verdana" w:hAnsi="Verdana"/>
          <w:sz w:val="18"/>
          <w:szCs w:val="18"/>
        </w:rPr>
        <w:t xml:space="preserve"> dat de rechter beslist in </w:t>
      </w:r>
      <w:r w:rsidR="00942962" w:rsidRPr="00EF1B2C">
        <w:rPr>
          <w:rFonts w:ascii="Verdana" w:hAnsi="Verdana"/>
          <w:i/>
          <w:sz w:val="18"/>
          <w:szCs w:val="18"/>
        </w:rPr>
        <w:t>een geschil</w:t>
      </w:r>
      <w:r w:rsidR="00EF1B2C">
        <w:rPr>
          <w:rFonts w:ascii="Verdana" w:hAnsi="Verdana"/>
          <w:sz w:val="18"/>
          <w:szCs w:val="18"/>
        </w:rPr>
        <w:t xml:space="preserve"> over rechten en verplichtingen</w:t>
      </w:r>
      <w:r w:rsidR="00536C3E">
        <w:rPr>
          <w:rFonts w:ascii="Verdana" w:hAnsi="Verdana"/>
          <w:sz w:val="18"/>
          <w:szCs w:val="18"/>
        </w:rPr>
        <w:t>, die een basis hebben in het geldende recht</w:t>
      </w:r>
      <w:r w:rsidR="00EF1B2C">
        <w:rPr>
          <w:rFonts w:ascii="Verdana" w:hAnsi="Verdana"/>
          <w:sz w:val="18"/>
          <w:szCs w:val="18"/>
        </w:rPr>
        <w:t>.</w:t>
      </w:r>
      <w:r w:rsidR="00942962">
        <w:rPr>
          <w:rFonts w:ascii="Verdana" w:hAnsi="Verdana"/>
          <w:sz w:val="18"/>
          <w:szCs w:val="18"/>
        </w:rPr>
        <w:t xml:space="preserve"> </w:t>
      </w:r>
    </w:p>
    <w:p w:rsidR="006D4001" w:rsidRDefault="006D4001" w:rsidP="00C70B84">
      <w:pPr>
        <w:pStyle w:val="Geenafstand"/>
        <w:spacing w:line="280" w:lineRule="atLeast"/>
        <w:rPr>
          <w:rFonts w:ascii="Verdana" w:hAnsi="Verdana"/>
          <w:sz w:val="18"/>
          <w:szCs w:val="18"/>
        </w:rPr>
      </w:pPr>
    </w:p>
    <w:p w:rsidR="00C70B84" w:rsidRDefault="00C70B84" w:rsidP="00C70B84">
      <w:pPr>
        <w:pStyle w:val="Geenafstand"/>
        <w:spacing w:line="280" w:lineRule="atLeast"/>
        <w:rPr>
          <w:rFonts w:ascii="Verdana" w:hAnsi="Verdana"/>
          <w:sz w:val="18"/>
          <w:szCs w:val="18"/>
        </w:rPr>
      </w:pPr>
      <w:r w:rsidRPr="00055DDC">
        <w:rPr>
          <w:rFonts w:ascii="Verdana" w:hAnsi="Verdana"/>
          <w:sz w:val="18"/>
          <w:szCs w:val="18"/>
        </w:rPr>
        <w:t>Het</w:t>
      </w:r>
      <w:r w:rsidR="00043559">
        <w:rPr>
          <w:rFonts w:ascii="Verdana" w:hAnsi="Verdana"/>
          <w:sz w:val="18"/>
          <w:szCs w:val="18"/>
        </w:rPr>
        <w:t xml:space="preserve"> geschil moet voorts (in artikel 6 EVRM burgerlijke)</w:t>
      </w:r>
      <w:r w:rsidRPr="00055DDC">
        <w:rPr>
          <w:rFonts w:ascii="Verdana" w:hAnsi="Verdana"/>
          <w:sz w:val="18"/>
          <w:szCs w:val="18"/>
        </w:rPr>
        <w:t xml:space="preserve"> ‘rechten en verplichtingen’ betreffen. Daarvan kan sprake zijn indien iemand op verdedigbare gronden kan betogen dat het door hem </w:t>
      </w:r>
      <w:r w:rsidR="00A26515">
        <w:rPr>
          <w:rFonts w:ascii="Verdana" w:hAnsi="Verdana"/>
          <w:sz w:val="18"/>
          <w:szCs w:val="18"/>
        </w:rPr>
        <w:t>ingeroepen</w:t>
      </w:r>
      <w:r w:rsidRPr="00055DDC">
        <w:rPr>
          <w:rFonts w:ascii="Verdana" w:hAnsi="Verdana"/>
          <w:sz w:val="18"/>
          <w:szCs w:val="18"/>
        </w:rPr>
        <w:t xml:space="preserve"> recht door het</w:t>
      </w:r>
      <w:r w:rsidR="00580CCE">
        <w:rPr>
          <w:rFonts w:ascii="Verdana" w:hAnsi="Verdana"/>
          <w:sz w:val="18"/>
          <w:szCs w:val="18"/>
        </w:rPr>
        <w:t xml:space="preserve"> nationale recht wordt erkend. </w:t>
      </w:r>
      <w:r w:rsidRPr="00055DDC">
        <w:rPr>
          <w:rFonts w:ascii="Verdana" w:hAnsi="Verdana"/>
          <w:sz w:val="18"/>
          <w:szCs w:val="18"/>
        </w:rPr>
        <w:t xml:space="preserve">Bij de vraag of dat het geval is, speelt een rol of aan de nationale rechter of het betrokken bestuursorgaan een discretionaire bevoegdheid is toegekend. </w:t>
      </w:r>
    </w:p>
    <w:p w:rsidR="00C70B84" w:rsidRDefault="00C70B84" w:rsidP="00C70B84">
      <w:pPr>
        <w:pStyle w:val="Geenafstand"/>
        <w:spacing w:line="280" w:lineRule="atLeast"/>
        <w:rPr>
          <w:rFonts w:ascii="Verdana" w:hAnsi="Verdana"/>
          <w:sz w:val="18"/>
          <w:szCs w:val="18"/>
        </w:rPr>
      </w:pPr>
    </w:p>
    <w:p w:rsidR="005C04A2" w:rsidRDefault="00C21DC3" w:rsidP="00C70B84">
      <w:pPr>
        <w:pStyle w:val="Geenafstand"/>
        <w:spacing w:line="280" w:lineRule="atLeast"/>
        <w:rPr>
          <w:rFonts w:ascii="Verdana" w:hAnsi="Verdana"/>
          <w:sz w:val="18"/>
          <w:szCs w:val="18"/>
        </w:rPr>
      </w:pPr>
      <w:r>
        <w:rPr>
          <w:rFonts w:ascii="Verdana" w:hAnsi="Verdana"/>
          <w:sz w:val="18"/>
          <w:szCs w:val="18"/>
        </w:rPr>
        <w:t>Onder de reikwijdte van de voorgestelde bepaling vallen niet alleen geschillen die door middel van een dagvaarding aanhangig worden gemaakt, maar ook verzoekschriftprocedures</w:t>
      </w:r>
      <w:r w:rsidR="00580CCE">
        <w:rPr>
          <w:rFonts w:ascii="Verdana" w:hAnsi="Verdana"/>
          <w:sz w:val="18"/>
          <w:szCs w:val="18"/>
        </w:rPr>
        <w:t xml:space="preserve">, </w:t>
      </w:r>
      <w:r w:rsidR="00580CCE" w:rsidRPr="0085406F">
        <w:rPr>
          <w:rFonts w:ascii="Verdana" w:hAnsi="Verdana"/>
          <w:sz w:val="18"/>
          <w:szCs w:val="18"/>
        </w:rPr>
        <w:t>zoals verzoeken tot adoptie of het benoemen van een voogd, beslissingen die</w:t>
      </w:r>
      <w:r w:rsidR="00580CCE">
        <w:rPr>
          <w:rFonts w:ascii="Verdana" w:hAnsi="Verdana"/>
          <w:sz w:val="18"/>
          <w:szCs w:val="18"/>
        </w:rPr>
        <w:t xml:space="preserve"> eveneens</w:t>
      </w:r>
      <w:r w:rsidR="00580CCE" w:rsidRPr="0085406F">
        <w:rPr>
          <w:rFonts w:ascii="Verdana" w:hAnsi="Verdana"/>
          <w:sz w:val="18"/>
          <w:szCs w:val="18"/>
        </w:rPr>
        <w:t xml:space="preserve"> aan de rechter zijn opgedragen</w:t>
      </w:r>
      <w:r w:rsidR="00580CCE">
        <w:rPr>
          <w:rFonts w:ascii="Verdana" w:hAnsi="Verdana"/>
          <w:sz w:val="18"/>
          <w:szCs w:val="18"/>
        </w:rPr>
        <w:t xml:space="preserve">. </w:t>
      </w:r>
      <w:r>
        <w:rPr>
          <w:rFonts w:ascii="Verdana" w:hAnsi="Verdana"/>
          <w:sz w:val="18"/>
          <w:szCs w:val="18"/>
        </w:rPr>
        <w:t xml:space="preserve">Ook hierbij gaat het immers om de vaststelling van rechten en verplichtingen. </w:t>
      </w:r>
      <w:r w:rsidR="005C04A2">
        <w:rPr>
          <w:rFonts w:ascii="Verdana" w:hAnsi="Verdana"/>
          <w:sz w:val="18"/>
          <w:szCs w:val="18"/>
        </w:rPr>
        <w:t xml:space="preserve">Verzoekschriftprocedures waren oorspronkelijk bedoeld voor verzoeken aan de rechter om een voorziening waarbij belanghebbenden gehoord moeten worden, zoals het onder bewind stellen van een persoon, maar sommige verzoekschriftprocedures hebben een contentieus karakter gekregen, dat wil zeggen dat er sprake is van partijen die tegenover elkaar staan. Voorbeelden daarvan zijn de verzoeken om echtscheiding of ontbinding van een arbeidsovereenkomst. </w:t>
      </w:r>
      <w:r>
        <w:rPr>
          <w:rFonts w:ascii="Verdana" w:hAnsi="Verdana"/>
          <w:sz w:val="18"/>
          <w:szCs w:val="18"/>
        </w:rPr>
        <w:t xml:space="preserve">Dagvaardings- en verzoekschriftprocedures zijn de afgelopen decennia bovendien sterk naar elkaar toe gegroeid. Een </w:t>
      </w:r>
      <w:r w:rsidR="00580CCE">
        <w:rPr>
          <w:rFonts w:ascii="Verdana" w:hAnsi="Verdana"/>
          <w:sz w:val="18"/>
          <w:szCs w:val="18"/>
        </w:rPr>
        <w:t>aan</w:t>
      </w:r>
      <w:r w:rsidR="00C64B68">
        <w:rPr>
          <w:rFonts w:ascii="Verdana" w:hAnsi="Verdana"/>
          <w:sz w:val="18"/>
          <w:szCs w:val="18"/>
        </w:rPr>
        <w:t>hangige</w:t>
      </w:r>
      <w:r w:rsidR="00580CCE">
        <w:rPr>
          <w:rFonts w:ascii="Verdana" w:hAnsi="Verdana"/>
          <w:sz w:val="18"/>
          <w:szCs w:val="18"/>
        </w:rPr>
        <w:t xml:space="preserve"> </w:t>
      </w:r>
      <w:r>
        <w:rPr>
          <w:rFonts w:ascii="Verdana" w:hAnsi="Verdana"/>
          <w:sz w:val="18"/>
          <w:szCs w:val="18"/>
        </w:rPr>
        <w:t xml:space="preserve">wijziging van het Wetboek van </w:t>
      </w:r>
      <w:r w:rsidR="004713F4">
        <w:rPr>
          <w:rFonts w:ascii="Verdana" w:hAnsi="Verdana"/>
          <w:sz w:val="18"/>
          <w:szCs w:val="18"/>
        </w:rPr>
        <w:t>B</w:t>
      </w:r>
      <w:r>
        <w:rPr>
          <w:rFonts w:ascii="Verdana" w:hAnsi="Verdana"/>
          <w:sz w:val="18"/>
          <w:szCs w:val="18"/>
        </w:rPr>
        <w:t xml:space="preserve">urgerlijke </w:t>
      </w:r>
      <w:r w:rsidR="004713F4">
        <w:rPr>
          <w:rFonts w:ascii="Verdana" w:hAnsi="Verdana"/>
          <w:sz w:val="18"/>
          <w:szCs w:val="18"/>
        </w:rPr>
        <w:t>R</w:t>
      </w:r>
      <w:r>
        <w:rPr>
          <w:rFonts w:ascii="Verdana" w:hAnsi="Verdana"/>
          <w:sz w:val="18"/>
          <w:szCs w:val="18"/>
        </w:rPr>
        <w:t xml:space="preserve">echtsvordering </w:t>
      </w:r>
      <w:r w:rsidR="004713F4">
        <w:rPr>
          <w:rFonts w:ascii="Verdana" w:hAnsi="Verdana"/>
          <w:sz w:val="18"/>
          <w:szCs w:val="18"/>
        </w:rPr>
        <w:t xml:space="preserve">(Rv) </w:t>
      </w:r>
      <w:r w:rsidR="00DD7E78">
        <w:rPr>
          <w:rFonts w:ascii="Verdana" w:hAnsi="Verdana"/>
          <w:sz w:val="18"/>
          <w:szCs w:val="18"/>
        </w:rPr>
        <w:t>stelt een systeem voor van</w:t>
      </w:r>
      <w:r>
        <w:rPr>
          <w:rFonts w:ascii="Verdana" w:hAnsi="Verdana"/>
          <w:sz w:val="18"/>
          <w:szCs w:val="18"/>
        </w:rPr>
        <w:t xml:space="preserve"> één procesinleiding en één basisprocedure in het burgerlijk procesrecht.</w:t>
      </w:r>
      <w:r>
        <w:rPr>
          <w:rStyle w:val="Voetnootmarkering"/>
          <w:rFonts w:ascii="Verdana" w:hAnsi="Verdana"/>
          <w:sz w:val="18"/>
          <w:szCs w:val="18"/>
        </w:rPr>
        <w:footnoteReference w:id="64"/>
      </w:r>
      <w:r>
        <w:rPr>
          <w:rFonts w:ascii="Verdana" w:hAnsi="Verdana"/>
          <w:sz w:val="18"/>
          <w:szCs w:val="18"/>
        </w:rPr>
        <w:t xml:space="preserve"> </w:t>
      </w:r>
      <w:r w:rsidR="005C04A2">
        <w:rPr>
          <w:rFonts w:ascii="Verdana" w:hAnsi="Verdana"/>
          <w:sz w:val="18"/>
          <w:szCs w:val="18"/>
        </w:rPr>
        <w:t xml:space="preserve">Hiermee wordt een </w:t>
      </w:r>
      <w:r w:rsidR="005C04A2">
        <w:rPr>
          <w:rFonts w:ascii="Verdana" w:hAnsi="Verdana"/>
          <w:sz w:val="18"/>
          <w:szCs w:val="18"/>
        </w:rPr>
        <w:lastRenderedPageBreak/>
        <w:t xml:space="preserve">aantal verschillen tussen voormelde procedures opgeheven. De nieuwe termen worden vorderingsprocedure en verzoekprocedure, waarvoor dus dezelfde basisprocedure komt te gelden als de wetsvoorstellen worden aanvaard en in werking treden. </w:t>
      </w:r>
    </w:p>
    <w:p w:rsidR="00C21DC3" w:rsidRDefault="00C21DC3" w:rsidP="00C70B84">
      <w:pPr>
        <w:pStyle w:val="Geenafstand"/>
        <w:spacing w:line="280" w:lineRule="atLeast"/>
        <w:rPr>
          <w:rFonts w:ascii="Verdana" w:hAnsi="Verdana"/>
          <w:sz w:val="18"/>
          <w:szCs w:val="18"/>
        </w:rPr>
      </w:pPr>
    </w:p>
    <w:p w:rsidR="00847D28" w:rsidRDefault="00847D28" w:rsidP="00847D28">
      <w:pPr>
        <w:pStyle w:val="Geenafstand"/>
        <w:spacing w:line="280" w:lineRule="atLeast"/>
        <w:rPr>
          <w:rFonts w:ascii="Verdana" w:hAnsi="Verdana"/>
          <w:sz w:val="18"/>
          <w:szCs w:val="18"/>
        </w:rPr>
      </w:pPr>
    </w:p>
    <w:p w:rsidR="00722130" w:rsidRDefault="00722130" w:rsidP="00847D28">
      <w:pPr>
        <w:pStyle w:val="Geenafstand"/>
        <w:spacing w:line="280" w:lineRule="atLeast"/>
        <w:rPr>
          <w:rFonts w:ascii="Verdana" w:hAnsi="Verdana"/>
          <w:sz w:val="18"/>
          <w:szCs w:val="18"/>
        </w:rPr>
      </w:pPr>
      <w:r>
        <w:rPr>
          <w:rFonts w:ascii="Verdana" w:hAnsi="Verdana"/>
          <w:sz w:val="18"/>
          <w:szCs w:val="18"/>
        </w:rPr>
        <w:t>6.4</w:t>
      </w:r>
      <w:r>
        <w:rPr>
          <w:rFonts w:ascii="Verdana" w:hAnsi="Verdana"/>
          <w:sz w:val="18"/>
          <w:szCs w:val="18"/>
        </w:rPr>
        <w:tab/>
        <w:t>De gegr</w:t>
      </w:r>
      <w:r w:rsidR="004F47A7">
        <w:rPr>
          <w:rFonts w:ascii="Verdana" w:hAnsi="Verdana"/>
          <w:sz w:val="18"/>
          <w:szCs w:val="18"/>
        </w:rPr>
        <w:t xml:space="preserve">ondheid van een ingestelde </w:t>
      </w:r>
      <w:r>
        <w:rPr>
          <w:rFonts w:ascii="Verdana" w:hAnsi="Verdana"/>
          <w:sz w:val="18"/>
          <w:szCs w:val="18"/>
        </w:rPr>
        <w:t>vervolging</w:t>
      </w:r>
    </w:p>
    <w:p w:rsidR="00722130" w:rsidRPr="00AE0095" w:rsidRDefault="00722130" w:rsidP="00847D28">
      <w:pPr>
        <w:pStyle w:val="Geenafstand"/>
        <w:spacing w:line="280" w:lineRule="atLeast"/>
        <w:rPr>
          <w:rFonts w:ascii="Verdana" w:hAnsi="Verdana"/>
          <w:sz w:val="18"/>
          <w:szCs w:val="18"/>
        </w:rPr>
      </w:pPr>
    </w:p>
    <w:p w:rsidR="00C70B84" w:rsidRPr="001A6485" w:rsidRDefault="00C70B84" w:rsidP="00C70B84">
      <w:pPr>
        <w:pStyle w:val="Geenafstand"/>
        <w:spacing w:line="280" w:lineRule="atLeast"/>
        <w:rPr>
          <w:rFonts w:ascii="Verdana" w:hAnsi="Verdana"/>
          <w:sz w:val="18"/>
          <w:szCs w:val="18"/>
        </w:rPr>
      </w:pPr>
      <w:r w:rsidRPr="00055DDC">
        <w:rPr>
          <w:rFonts w:ascii="Verdana" w:hAnsi="Verdana"/>
          <w:sz w:val="18"/>
          <w:szCs w:val="18"/>
        </w:rPr>
        <w:t xml:space="preserve">Wat betreft de ‘gegrondheid van de vervolging’ heeft het </w:t>
      </w:r>
      <w:r w:rsidR="00AD585E">
        <w:rPr>
          <w:rFonts w:ascii="Verdana" w:hAnsi="Verdana"/>
          <w:sz w:val="18"/>
          <w:szCs w:val="18"/>
        </w:rPr>
        <w:t>EHRM</w:t>
      </w:r>
      <w:r w:rsidRPr="00055DDC">
        <w:rPr>
          <w:rFonts w:ascii="Verdana" w:hAnsi="Verdana"/>
          <w:sz w:val="18"/>
          <w:szCs w:val="18"/>
        </w:rPr>
        <w:t xml:space="preserve"> verschillende criteria ontwikkeld aan de hand waarvan kan worden vastgesteld of een nationale procedure als vervolging in de </w:t>
      </w:r>
      <w:r w:rsidR="005C04A2">
        <w:rPr>
          <w:rFonts w:ascii="Verdana" w:hAnsi="Verdana"/>
          <w:sz w:val="18"/>
          <w:szCs w:val="18"/>
        </w:rPr>
        <w:t>zin</w:t>
      </w:r>
      <w:r w:rsidRPr="00055DDC">
        <w:rPr>
          <w:rFonts w:ascii="Verdana" w:hAnsi="Verdana"/>
          <w:sz w:val="18"/>
          <w:szCs w:val="18"/>
        </w:rPr>
        <w:t xml:space="preserve"> van artikel 6 EVRM dient te worden aangemerkt. Deze vraag doet zich met name voor in tuchtrechtelijke, fiscaalrechtelijke en administratiefrechtelijke procedures</w:t>
      </w:r>
      <w:r w:rsidR="001A6C84">
        <w:rPr>
          <w:rFonts w:ascii="Verdana" w:hAnsi="Verdana"/>
          <w:sz w:val="18"/>
          <w:szCs w:val="18"/>
        </w:rPr>
        <w:t xml:space="preserve"> waarin een maatregel wordt opgelegd</w:t>
      </w:r>
      <w:r w:rsidR="00AD585E">
        <w:rPr>
          <w:rFonts w:ascii="Verdana" w:hAnsi="Verdana"/>
          <w:sz w:val="18"/>
          <w:szCs w:val="18"/>
        </w:rPr>
        <w:t xml:space="preserve"> met bestraffende elementen</w:t>
      </w:r>
      <w:r w:rsidR="001A6C84">
        <w:rPr>
          <w:rFonts w:ascii="Verdana" w:hAnsi="Verdana"/>
          <w:sz w:val="18"/>
          <w:szCs w:val="18"/>
        </w:rPr>
        <w:t>, zoals een boete</w:t>
      </w:r>
      <w:r w:rsidRPr="00055DDC">
        <w:rPr>
          <w:rFonts w:ascii="Verdana" w:hAnsi="Verdana"/>
          <w:sz w:val="18"/>
          <w:szCs w:val="18"/>
        </w:rPr>
        <w:t xml:space="preserve">. Met name zijn relevant de drie zogenoemde </w:t>
      </w:r>
      <w:r w:rsidR="00C71AC2" w:rsidRPr="00C71AC2">
        <w:rPr>
          <w:rFonts w:ascii="Verdana" w:hAnsi="Verdana"/>
          <w:i/>
          <w:sz w:val="18"/>
          <w:szCs w:val="18"/>
        </w:rPr>
        <w:t>Engel</w:t>
      </w:r>
      <w:r w:rsidRPr="00055DDC">
        <w:rPr>
          <w:rFonts w:ascii="Verdana" w:hAnsi="Verdana"/>
          <w:sz w:val="18"/>
          <w:szCs w:val="18"/>
        </w:rPr>
        <w:t xml:space="preserve">-criteria: a) de classificatie </w:t>
      </w:r>
      <w:r w:rsidR="005C5DB5">
        <w:rPr>
          <w:rFonts w:ascii="Verdana" w:hAnsi="Verdana"/>
          <w:sz w:val="18"/>
          <w:szCs w:val="18"/>
        </w:rPr>
        <w:t>van de overtreding</w:t>
      </w:r>
      <w:r w:rsidR="00DD7E78">
        <w:rPr>
          <w:rFonts w:ascii="Verdana" w:hAnsi="Verdana"/>
          <w:sz w:val="18"/>
          <w:szCs w:val="18"/>
        </w:rPr>
        <w:t xml:space="preserve"> </w:t>
      </w:r>
      <w:r w:rsidRPr="00055DDC">
        <w:rPr>
          <w:rFonts w:ascii="Verdana" w:hAnsi="Verdana"/>
          <w:sz w:val="18"/>
          <w:szCs w:val="18"/>
        </w:rPr>
        <w:t xml:space="preserve">naar nationaal recht, b) de aard van de overtreding, en </w:t>
      </w:r>
      <w:r w:rsidR="001A6485">
        <w:rPr>
          <w:rFonts w:ascii="Verdana" w:hAnsi="Verdana"/>
          <w:sz w:val="18"/>
          <w:szCs w:val="18"/>
        </w:rPr>
        <w:t xml:space="preserve">c) </w:t>
      </w:r>
      <w:r w:rsidRPr="00055DDC">
        <w:rPr>
          <w:rFonts w:ascii="Verdana" w:hAnsi="Verdana"/>
          <w:sz w:val="18"/>
          <w:szCs w:val="18"/>
        </w:rPr>
        <w:t xml:space="preserve">de aard en ernst van de opgelegde </w:t>
      </w:r>
      <w:r w:rsidR="005C5DB5">
        <w:rPr>
          <w:rFonts w:ascii="Verdana" w:hAnsi="Verdana"/>
          <w:sz w:val="18"/>
          <w:szCs w:val="18"/>
        </w:rPr>
        <w:t>sanctie</w:t>
      </w:r>
      <w:r w:rsidRPr="00055DDC">
        <w:rPr>
          <w:rFonts w:ascii="Verdana" w:hAnsi="Verdana"/>
          <w:sz w:val="18"/>
          <w:szCs w:val="18"/>
        </w:rPr>
        <w:t>.</w:t>
      </w:r>
      <w:r w:rsidR="001A6485">
        <w:rPr>
          <w:rStyle w:val="Voetnootmarkering"/>
          <w:rFonts w:ascii="Verdana" w:hAnsi="Verdana"/>
          <w:sz w:val="18"/>
          <w:szCs w:val="18"/>
        </w:rPr>
        <w:footnoteReference w:id="65"/>
      </w:r>
      <w:r w:rsidRPr="00055DDC">
        <w:rPr>
          <w:rFonts w:ascii="Verdana" w:hAnsi="Verdana"/>
          <w:sz w:val="18"/>
          <w:szCs w:val="18"/>
        </w:rPr>
        <w:t xml:space="preserve"> </w:t>
      </w:r>
      <w:r w:rsidR="001A6485">
        <w:rPr>
          <w:rFonts w:ascii="Verdana" w:hAnsi="Verdana"/>
          <w:sz w:val="18"/>
          <w:szCs w:val="18"/>
        </w:rPr>
        <w:t>Als een verboden gedraging in het nationale recht onder het strafrecht valt</w:t>
      </w:r>
      <w:r w:rsidR="005C5DB5">
        <w:rPr>
          <w:rFonts w:ascii="Verdana" w:hAnsi="Verdana"/>
          <w:sz w:val="18"/>
          <w:szCs w:val="18"/>
        </w:rPr>
        <w:t>,</w:t>
      </w:r>
      <w:r w:rsidR="001A6485">
        <w:rPr>
          <w:rFonts w:ascii="Verdana" w:hAnsi="Verdana"/>
          <w:sz w:val="18"/>
          <w:szCs w:val="18"/>
        </w:rPr>
        <w:t xml:space="preserve"> is artikel 6 EVRM zonder meer van toepassing op grond van het eerste criterium. I</w:t>
      </w:r>
      <w:r w:rsidR="001A6C84" w:rsidRPr="001A6485">
        <w:rPr>
          <w:rFonts w:ascii="Verdana" w:hAnsi="Verdana"/>
          <w:sz w:val="18"/>
          <w:szCs w:val="18"/>
        </w:rPr>
        <w:t xml:space="preserve">n de tweede plaats </w:t>
      </w:r>
      <w:r w:rsidR="005C5DB5">
        <w:rPr>
          <w:rFonts w:ascii="Verdana" w:hAnsi="Verdana"/>
          <w:sz w:val="18"/>
          <w:szCs w:val="18"/>
        </w:rPr>
        <w:t>kan</w:t>
      </w:r>
      <w:r w:rsidR="001A6485">
        <w:rPr>
          <w:rFonts w:ascii="Verdana" w:hAnsi="Verdana"/>
          <w:sz w:val="18"/>
          <w:szCs w:val="18"/>
        </w:rPr>
        <w:t xml:space="preserve"> </w:t>
      </w:r>
      <w:r w:rsidR="001A6C84" w:rsidRPr="001A6485">
        <w:rPr>
          <w:rFonts w:ascii="Verdana" w:hAnsi="Verdana"/>
          <w:sz w:val="18"/>
          <w:szCs w:val="18"/>
        </w:rPr>
        <w:t>de aar</w:t>
      </w:r>
      <w:r w:rsidR="001A6485">
        <w:rPr>
          <w:rFonts w:ascii="Verdana" w:hAnsi="Verdana"/>
          <w:sz w:val="18"/>
          <w:szCs w:val="18"/>
        </w:rPr>
        <w:t>d van de overtreding bepalend</w:t>
      </w:r>
      <w:r w:rsidR="005C5DB5">
        <w:rPr>
          <w:rFonts w:ascii="Verdana" w:hAnsi="Verdana"/>
          <w:sz w:val="18"/>
          <w:szCs w:val="18"/>
        </w:rPr>
        <w:t xml:space="preserve"> zijn</w:t>
      </w:r>
      <w:r w:rsidR="001A6C84" w:rsidRPr="001A6485">
        <w:rPr>
          <w:rFonts w:ascii="Verdana" w:hAnsi="Verdana"/>
          <w:sz w:val="18"/>
          <w:szCs w:val="18"/>
        </w:rPr>
        <w:t>: als de norm zich tot alle burgers richt en de sanctie die op overtreding daarvan staat tot doel heeft af te schrikken en te straffen, is artikel 6 EVRM</w:t>
      </w:r>
      <w:r w:rsidR="001A6485">
        <w:rPr>
          <w:rFonts w:ascii="Verdana" w:hAnsi="Verdana"/>
          <w:sz w:val="18"/>
          <w:szCs w:val="18"/>
        </w:rPr>
        <w:t xml:space="preserve"> eveneens</w:t>
      </w:r>
      <w:r w:rsidR="001A6C84" w:rsidRPr="001A6485">
        <w:rPr>
          <w:rFonts w:ascii="Verdana" w:hAnsi="Verdana"/>
          <w:sz w:val="18"/>
          <w:szCs w:val="18"/>
        </w:rPr>
        <w:t xml:space="preserve"> van toepassing</w:t>
      </w:r>
      <w:r w:rsidR="001A6485" w:rsidRPr="001A6485">
        <w:rPr>
          <w:rFonts w:ascii="Verdana" w:hAnsi="Verdana"/>
          <w:sz w:val="18"/>
          <w:szCs w:val="18"/>
        </w:rPr>
        <w:t>.</w:t>
      </w:r>
      <w:r w:rsidR="001A6C84" w:rsidRPr="001A6485">
        <w:rPr>
          <w:rFonts w:ascii="Verdana" w:hAnsi="Verdana"/>
          <w:sz w:val="11"/>
          <w:szCs w:val="11"/>
        </w:rPr>
        <w:t xml:space="preserve"> </w:t>
      </w:r>
      <w:r w:rsidR="001A6C84" w:rsidRPr="001A6485">
        <w:rPr>
          <w:rFonts w:ascii="Verdana" w:hAnsi="Verdana"/>
          <w:sz w:val="18"/>
          <w:szCs w:val="18"/>
        </w:rPr>
        <w:t>Tot slot kan een norm, ook als deze slechts gericht is tot een bepaalde groep met een bijzondere status, zoals bij tuchtrechtrechtelijke normen vaak het geval is, op grond van de aard en zwaarte van de sanctie strafrechtelijk in de zin van artikel 6</w:t>
      </w:r>
      <w:r w:rsidR="001A6485">
        <w:rPr>
          <w:rFonts w:ascii="Verdana" w:hAnsi="Verdana"/>
          <w:sz w:val="18"/>
          <w:szCs w:val="18"/>
        </w:rPr>
        <w:t xml:space="preserve"> EVRM zijn</w:t>
      </w:r>
      <w:r w:rsidR="001A6C84" w:rsidRPr="001A6485">
        <w:rPr>
          <w:rFonts w:ascii="Verdana" w:hAnsi="Verdana"/>
          <w:sz w:val="18"/>
          <w:szCs w:val="18"/>
        </w:rPr>
        <w:t>.</w:t>
      </w:r>
    </w:p>
    <w:p w:rsidR="00C70B84" w:rsidRDefault="00C70B84" w:rsidP="00C70B84">
      <w:pPr>
        <w:pStyle w:val="Geenafstand"/>
        <w:spacing w:line="280" w:lineRule="atLeast"/>
        <w:rPr>
          <w:rFonts w:ascii="Verdana" w:hAnsi="Verdana"/>
          <w:sz w:val="18"/>
          <w:szCs w:val="18"/>
        </w:rPr>
      </w:pPr>
    </w:p>
    <w:p w:rsidR="004C2A14" w:rsidRPr="00C70B84" w:rsidRDefault="004C2A14" w:rsidP="00C70B84">
      <w:pPr>
        <w:pStyle w:val="Geenafstand"/>
        <w:spacing w:line="280" w:lineRule="atLeast"/>
        <w:rPr>
          <w:rFonts w:ascii="Verdana" w:hAnsi="Verdana"/>
          <w:sz w:val="18"/>
          <w:szCs w:val="18"/>
        </w:rPr>
      </w:pPr>
    </w:p>
    <w:p w:rsidR="00480B6F" w:rsidRPr="00F47F94" w:rsidRDefault="00F47F94" w:rsidP="00F47F94">
      <w:pPr>
        <w:spacing w:line="280" w:lineRule="atLeast"/>
        <w:rPr>
          <w:rFonts w:ascii="Verdana" w:hAnsi="Verdana"/>
          <w:b/>
          <w:sz w:val="18"/>
          <w:szCs w:val="18"/>
        </w:rPr>
      </w:pPr>
      <w:r>
        <w:rPr>
          <w:rFonts w:ascii="Verdana" w:hAnsi="Verdana"/>
          <w:b/>
          <w:sz w:val="18"/>
          <w:szCs w:val="18"/>
        </w:rPr>
        <w:t>7</w:t>
      </w:r>
      <w:r>
        <w:rPr>
          <w:rFonts w:ascii="Verdana" w:hAnsi="Verdana"/>
          <w:b/>
          <w:sz w:val="18"/>
          <w:szCs w:val="18"/>
        </w:rPr>
        <w:tab/>
      </w:r>
      <w:r w:rsidR="00480B6F" w:rsidRPr="00F47F94">
        <w:rPr>
          <w:rFonts w:ascii="Verdana" w:hAnsi="Verdana"/>
          <w:b/>
          <w:sz w:val="18"/>
          <w:szCs w:val="18"/>
        </w:rPr>
        <w:t>Element</w:t>
      </w:r>
      <w:r w:rsidR="002E0A34" w:rsidRPr="00F47F94">
        <w:rPr>
          <w:rFonts w:ascii="Verdana" w:hAnsi="Verdana"/>
          <w:b/>
          <w:sz w:val="18"/>
          <w:szCs w:val="18"/>
        </w:rPr>
        <w:t>e</w:t>
      </w:r>
      <w:r w:rsidR="00480B6F" w:rsidRPr="00F47F94">
        <w:rPr>
          <w:rFonts w:ascii="Verdana" w:hAnsi="Verdana"/>
          <w:b/>
          <w:sz w:val="18"/>
          <w:szCs w:val="18"/>
        </w:rPr>
        <w:t>n van een eerlijk proces</w:t>
      </w:r>
    </w:p>
    <w:p w:rsidR="00350500" w:rsidRPr="00350500" w:rsidRDefault="00823A6F" w:rsidP="00350500">
      <w:pPr>
        <w:spacing w:line="280" w:lineRule="atLeast"/>
        <w:rPr>
          <w:rFonts w:ascii="Verdana" w:hAnsi="Verdana"/>
          <w:sz w:val="18"/>
          <w:szCs w:val="18"/>
        </w:rPr>
      </w:pPr>
      <w:r>
        <w:rPr>
          <w:rFonts w:ascii="Verdana" w:hAnsi="Verdana"/>
          <w:sz w:val="18"/>
          <w:szCs w:val="18"/>
        </w:rPr>
        <w:t>7</w:t>
      </w:r>
      <w:r w:rsidR="00350500" w:rsidRPr="00350500">
        <w:rPr>
          <w:rFonts w:ascii="Verdana" w:hAnsi="Verdana"/>
          <w:sz w:val="18"/>
          <w:szCs w:val="18"/>
        </w:rPr>
        <w:t xml:space="preserve">.1 </w:t>
      </w:r>
      <w:r w:rsidR="00350500">
        <w:rPr>
          <w:rFonts w:ascii="Verdana" w:hAnsi="Verdana"/>
          <w:sz w:val="18"/>
          <w:szCs w:val="18"/>
        </w:rPr>
        <w:tab/>
      </w:r>
      <w:r w:rsidR="00350500" w:rsidRPr="00350500">
        <w:rPr>
          <w:rFonts w:ascii="Verdana" w:hAnsi="Verdana"/>
          <w:sz w:val="18"/>
          <w:szCs w:val="18"/>
        </w:rPr>
        <w:t>Inleiding</w:t>
      </w:r>
    </w:p>
    <w:p w:rsidR="00FC4818" w:rsidRPr="00A755C0" w:rsidRDefault="00156206" w:rsidP="00A755C0">
      <w:pPr>
        <w:pStyle w:val="Geenafstand"/>
        <w:spacing w:line="280" w:lineRule="atLeast"/>
        <w:rPr>
          <w:rFonts w:ascii="Verdana" w:hAnsi="Verdana"/>
          <w:i/>
          <w:sz w:val="18"/>
          <w:szCs w:val="18"/>
        </w:rPr>
      </w:pPr>
      <w:r w:rsidRPr="00A755C0">
        <w:rPr>
          <w:rFonts w:ascii="Verdana" w:hAnsi="Verdana"/>
          <w:sz w:val="18"/>
          <w:szCs w:val="18"/>
        </w:rPr>
        <w:t xml:space="preserve">Er zijn verschillende opties voor de </w:t>
      </w:r>
      <w:r w:rsidR="004071D7" w:rsidRPr="00A755C0">
        <w:rPr>
          <w:rFonts w:ascii="Verdana" w:hAnsi="Verdana"/>
          <w:sz w:val="18"/>
          <w:szCs w:val="18"/>
        </w:rPr>
        <w:t xml:space="preserve">grondwettelijke </w:t>
      </w:r>
      <w:r w:rsidRPr="00A755C0">
        <w:rPr>
          <w:rFonts w:ascii="Verdana" w:hAnsi="Verdana"/>
          <w:sz w:val="18"/>
          <w:szCs w:val="18"/>
        </w:rPr>
        <w:t>verankering van afzonderl</w:t>
      </w:r>
      <w:r w:rsidR="004071D7" w:rsidRPr="00A755C0">
        <w:rPr>
          <w:rFonts w:ascii="Verdana" w:hAnsi="Verdana"/>
          <w:sz w:val="18"/>
          <w:szCs w:val="18"/>
        </w:rPr>
        <w:t>ijke elementen</w:t>
      </w:r>
      <w:r w:rsidRPr="00A755C0">
        <w:rPr>
          <w:rFonts w:ascii="Verdana" w:hAnsi="Verdana"/>
          <w:sz w:val="18"/>
          <w:szCs w:val="18"/>
        </w:rPr>
        <w:t xml:space="preserve"> van het recht </w:t>
      </w:r>
      <w:r w:rsidR="00EC13FC">
        <w:rPr>
          <w:rFonts w:ascii="Verdana" w:hAnsi="Verdana"/>
          <w:sz w:val="18"/>
          <w:szCs w:val="18"/>
        </w:rPr>
        <w:t>op een eerlijk proces. Een mogelijkheid</w:t>
      </w:r>
      <w:r w:rsidRPr="00A755C0">
        <w:rPr>
          <w:rFonts w:ascii="Verdana" w:hAnsi="Verdana"/>
          <w:sz w:val="18"/>
          <w:szCs w:val="18"/>
        </w:rPr>
        <w:t xml:space="preserve"> is om de </w:t>
      </w:r>
      <w:r w:rsidR="004071D7" w:rsidRPr="00A755C0">
        <w:rPr>
          <w:rFonts w:ascii="Verdana" w:hAnsi="Verdana"/>
          <w:sz w:val="18"/>
          <w:szCs w:val="18"/>
        </w:rPr>
        <w:t xml:space="preserve">verscheidene </w:t>
      </w:r>
      <w:r w:rsidRPr="00A755C0">
        <w:rPr>
          <w:rFonts w:ascii="Verdana" w:hAnsi="Verdana"/>
          <w:sz w:val="18"/>
          <w:szCs w:val="18"/>
        </w:rPr>
        <w:t>elementen van een recht op een eerlijk proces gedetailleerd in de Grondwet vast te leggen. De staatscommissie gaf aan dat deze optie, ondanks het mogelijke voordeel van richting geven aan de rechterlijke activiteit, m</w:t>
      </w:r>
      <w:r w:rsidR="004071D7" w:rsidRPr="00A755C0">
        <w:rPr>
          <w:rFonts w:ascii="Verdana" w:hAnsi="Verdana"/>
          <w:sz w:val="18"/>
          <w:szCs w:val="18"/>
        </w:rPr>
        <w:t xml:space="preserve">inder goed past bij </w:t>
      </w:r>
      <w:r w:rsidR="00773BF5">
        <w:rPr>
          <w:rFonts w:ascii="Verdana" w:hAnsi="Verdana"/>
          <w:sz w:val="18"/>
          <w:szCs w:val="18"/>
        </w:rPr>
        <w:t xml:space="preserve">het karakter </w:t>
      </w:r>
      <w:r w:rsidRPr="00A755C0">
        <w:rPr>
          <w:rFonts w:ascii="Verdana" w:hAnsi="Verdana"/>
          <w:sz w:val="18"/>
          <w:szCs w:val="18"/>
        </w:rPr>
        <w:t>van de Grondwet. Een andere optie is het recht op een eerlijk proces zeer algemeen te formuleren zonder enige begrenzing tot een bepaald type rechtsbetrekking of een bepaald type procedure. Tot slot kan worden g</w:t>
      </w:r>
      <w:r w:rsidR="004724A2" w:rsidRPr="00A755C0">
        <w:rPr>
          <w:rFonts w:ascii="Verdana" w:hAnsi="Verdana"/>
          <w:sz w:val="18"/>
          <w:szCs w:val="18"/>
        </w:rPr>
        <w:t xml:space="preserve">ekozen voor een </w:t>
      </w:r>
      <w:r w:rsidRPr="00A755C0">
        <w:rPr>
          <w:rFonts w:ascii="Verdana" w:hAnsi="Verdana"/>
          <w:sz w:val="18"/>
          <w:szCs w:val="18"/>
        </w:rPr>
        <w:t>vorm waarin – naar het</w:t>
      </w:r>
      <w:r w:rsidR="001F79A4" w:rsidRPr="00A755C0">
        <w:rPr>
          <w:rFonts w:ascii="Verdana" w:hAnsi="Verdana"/>
          <w:sz w:val="18"/>
          <w:szCs w:val="18"/>
        </w:rPr>
        <w:t xml:space="preserve"> voorbeeld van </w:t>
      </w:r>
      <w:r w:rsidRPr="00A755C0">
        <w:rPr>
          <w:rFonts w:ascii="Verdana" w:hAnsi="Verdana"/>
          <w:sz w:val="18"/>
          <w:szCs w:val="18"/>
        </w:rPr>
        <w:t xml:space="preserve">verdragsbepalingen – </w:t>
      </w:r>
      <w:r w:rsidR="004724A2" w:rsidRPr="00A755C0">
        <w:rPr>
          <w:rFonts w:ascii="Verdana" w:hAnsi="Verdana"/>
          <w:sz w:val="18"/>
          <w:szCs w:val="18"/>
        </w:rPr>
        <w:t xml:space="preserve">wel </w:t>
      </w:r>
      <w:r w:rsidRPr="00A755C0">
        <w:rPr>
          <w:rFonts w:ascii="Verdana" w:hAnsi="Verdana"/>
          <w:sz w:val="18"/>
          <w:szCs w:val="18"/>
        </w:rPr>
        <w:t>enkele kernelementen van het recht op een eerlijk proces die gelden voor alle type</w:t>
      </w:r>
      <w:r w:rsidR="004724A2" w:rsidRPr="00A755C0">
        <w:rPr>
          <w:rFonts w:ascii="Verdana" w:hAnsi="Verdana"/>
          <w:sz w:val="18"/>
          <w:szCs w:val="18"/>
        </w:rPr>
        <w:t>n</w:t>
      </w:r>
      <w:r w:rsidRPr="00A755C0">
        <w:rPr>
          <w:rFonts w:ascii="Verdana" w:hAnsi="Verdana"/>
          <w:sz w:val="18"/>
          <w:szCs w:val="18"/>
        </w:rPr>
        <w:t xml:space="preserve"> </w:t>
      </w:r>
      <w:r w:rsidR="004724A2" w:rsidRPr="00A755C0">
        <w:rPr>
          <w:rFonts w:ascii="Verdana" w:hAnsi="Verdana"/>
          <w:sz w:val="18"/>
          <w:szCs w:val="18"/>
        </w:rPr>
        <w:t xml:space="preserve">rechterlijke </w:t>
      </w:r>
      <w:r w:rsidRPr="00A755C0">
        <w:rPr>
          <w:rFonts w:ascii="Verdana" w:hAnsi="Verdana"/>
          <w:sz w:val="18"/>
          <w:szCs w:val="18"/>
        </w:rPr>
        <w:t>procedures onderdeel vormen van de bepaling</w:t>
      </w:r>
      <w:r w:rsidR="004071D7" w:rsidRPr="00A755C0">
        <w:rPr>
          <w:rFonts w:ascii="Verdana" w:hAnsi="Verdana"/>
          <w:sz w:val="18"/>
          <w:szCs w:val="18"/>
        </w:rPr>
        <w:t>, maar afzonderlijke deelrechten</w:t>
      </w:r>
      <w:r w:rsidR="00536C3E" w:rsidRPr="00536C3E">
        <w:rPr>
          <w:rFonts w:ascii="Verdana" w:hAnsi="Verdana"/>
          <w:sz w:val="18"/>
          <w:szCs w:val="18"/>
        </w:rPr>
        <w:t xml:space="preserve"> </w:t>
      </w:r>
      <w:r w:rsidR="00536C3E">
        <w:rPr>
          <w:rFonts w:ascii="Verdana" w:hAnsi="Verdana"/>
          <w:sz w:val="18"/>
          <w:szCs w:val="18"/>
        </w:rPr>
        <w:t>voor een bepaald type rechterlijke procedure</w:t>
      </w:r>
      <w:r w:rsidR="004071D7" w:rsidRPr="00A755C0">
        <w:rPr>
          <w:rFonts w:ascii="Verdana" w:hAnsi="Verdana"/>
          <w:sz w:val="18"/>
          <w:szCs w:val="18"/>
        </w:rPr>
        <w:t xml:space="preserve"> daar niet in worden opgenomen</w:t>
      </w:r>
      <w:r w:rsidRPr="00A755C0">
        <w:rPr>
          <w:rFonts w:ascii="Verdana" w:hAnsi="Verdana"/>
          <w:sz w:val="18"/>
          <w:szCs w:val="18"/>
        </w:rPr>
        <w:t xml:space="preserve">. </w:t>
      </w:r>
      <w:r w:rsidR="001053B3">
        <w:rPr>
          <w:rFonts w:ascii="Verdana" w:hAnsi="Verdana"/>
          <w:sz w:val="18"/>
          <w:szCs w:val="18"/>
        </w:rPr>
        <w:t xml:space="preserve">In dit wetsvoorstel is voor </w:t>
      </w:r>
      <w:r w:rsidR="00536C3E">
        <w:rPr>
          <w:rFonts w:ascii="Verdana" w:hAnsi="Verdana"/>
          <w:sz w:val="18"/>
          <w:szCs w:val="18"/>
        </w:rPr>
        <w:t xml:space="preserve">deze laatste optie </w:t>
      </w:r>
      <w:r w:rsidR="001053B3">
        <w:rPr>
          <w:rFonts w:ascii="Verdana" w:hAnsi="Verdana"/>
          <w:sz w:val="18"/>
          <w:szCs w:val="18"/>
        </w:rPr>
        <w:t>gekozen</w:t>
      </w:r>
      <w:r w:rsidR="00536C3E">
        <w:rPr>
          <w:rFonts w:ascii="Verdana" w:hAnsi="Verdana"/>
          <w:sz w:val="18"/>
          <w:szCs w:val="18"/>
        </w:rPr>
        <w:t xml:space="preserve"> door</w:t>
      </w:r>
      <w:r w:rsidR="001053B3">
        <w:rPr>
          <w:rFonts w:ascii="Verdana" w:hAnsi="Verdana"/>
          <w:sz w:val="18"/>
          <w:szCs w:val="18"/>
        </w:rPr>
        <w:t xml:space="preserve"> </w:t>
      </w:r>
      <w:r w:rsidR="00E22224">
        <w:rPr>
          <w:rFonts w:ascii="Verdana" w:hAnsi="Verdana"/>
          <w:sz w:val="18"/>
          <w:szCs w:val="18"/>
        </w:rPr>
        <w:t>de belangrijkste</w:t>
      </w:r>
      <w:r w:rsidR="005457BD" w:rsidRPr="00A755C0">
        <w:rPr>
          <w:rFonts w:ascii="Verdana" w:hAnsi="Verdana"/>
          <w:sz w:val="18"/>
          <w:szCs w:val="18"/>
        </w:rPr>
        <w:t xml:space="preserve"> </w:t>
      </w:r>
      <w:r w:rsidRPr="00A755C0">
        <w:rPr>
          <w:rFonts w:ascii="Verdana" w:hAnsi="Verdana"/>
          <w:sz w:val="18"/>
          <w:szCs w:val="18"/>
        </w:rPr>
        <w:t>algemene noties die gelden voor alle typen rechter</w:t>
      </w:r>
      <w:r w:rsidR="005457BD" w:rsidRPr="00A755C0">
        <w:rPr>
          <w:rFonts w:ascii="Verdana" w:hAnsi="Verdana"/>
          <w:sz w:val="18"/>
          <w:szCs w:val="18"/>
        </w:rPr>
        <w:t>lijke procedures in artikel 17</w:t>
      </w:r>
      <w:r w:rsidR="00F60351">
        <w:rPr>
          <w:rFonts w:ascii="Verdana" w:hAnsi="Verdana"/>
          <w:sz w:val="18"/>
          <w:szCs w:val="18"/>
        </w:rPr>
        <w:t>, eerste lid</w:t>
      </w:r>
      <w:r w:rsidR="005457BD" w:rsidRPr="00A755C0">
        <w:rPr>
          <w:rFonts w:ascii="Verdana" w:hAnsi="Verdana"/>
          <w:sz w:val="18"/>
          <w:szCs w:val="18"/>
        </w:rPr>
        <w:t xml:space="preserve"> van de </w:t>
      </w:r>
      <w:r w:rsidR="00773BF5">
        <w:rPr>
          <w:rFonts w:ascii="Verdana" w:hAnsi="Verdana"/>
          <w:sz w:val="18"/>
          <w:szCs w:val="18"/>
        </w:rPr>
        <w:t>G</w:t>
      </w:r>
      <w:r w:rsidR="005457BD" w:rsidRPr="00A755C0">
        <w:rPr>
          <w:rFonts w:ascii="Verdana" w:hAnsi="Verdana"/>
          <w:sz w:val="18"/>
          <w:szCs w:val="18"/>
        </w:rPr>
        <w:t>rondwet</w:t>
      </w:r>
      <w:r w:rsidRPr="00A755C0">
        <w:rPr>
          <w:rFonts w:ascii="Verdana" w:hAnsi="Verdana"/>
          <w:sz w:val="18"/>
          <w:szCs w:val="18"/>
        </w:rPr>
        <w:t xml:space="preserve"> op te nemen, in het bijzonder de</w:t>
      </w:r>
      <w:r w:rsidR="005457BD" w:rsidRPr="00A755C0">
        <w:rPr>
          <w:rFonts w:ascii="Verdana" w:hAnsi="Verdana"/>
          <w:sz w:val="18"/>
          <w:szCs w:val="18"/>
        </w:rPr>
        <w:t xml:space="preserve"> </w:t>
      </w:r>
      <w:r w:rsidRPr="00A755C0">
        <w:rPr>
          <w:rFonts w:ascii="Verdana" w:hAnsi="Verdana"/>
          <w:sz w:val="18"/>
          <w:szCs w:val="18"/>
        </w:rPr>
        <w:t xml:space="preserve">onafhankelijkheid en onpartijdigheid van de rechter </w:t>
      </w:r>
      <w:r w:rsidR="004071D7" w:rsidRPr="00A755C0">
        <w:rPr>
          <w:rFonts w:ascii="Verdana" w:hAnsi="Verdana"/>
          <w:sz w:val="18"/>
          <w:szCs w:val="18"/>
        </w:rPr>
        <w:t>en de berechting binnen een redelijke termijn</w:t>
      </w:r>
      <w:r w:rsidRPr="00A755C0">
        <w:rPr>
          <w:rFonts w:ascii="Verdana" w:hAnsi="Verdana"/>
          <w:sz w:val="18"/>
          <w:szCs w:val="18"/>
        </w:rPr>
        <w:t>.</w:t>
      </w:r>
      <w:r w:rsidR="001053B3">
        <w:rPr>
          <w:rFonts w:ascii="Verdana" w:hAnsi="Verdana"/>
          <w:sz w:val="18"/>
          <w:szCs w:val="18"/>
        </w:rPr>
        <w:t xml:space="preserve"> Deze noties zijn </w:t>
      </w:r>
      <w:r w:rsidR="00773BF5">
        <w:rPr>
          <w:rFonts w:ascii="Verdana" w:hAnsi="Verdana"/>
          <w:sz w:val="18"/>
          <w:szCs w:val="18"/>
        </w:rPr>
        <w:t xml:space="preserve">reeds bekend en uitgewerkt </w:t>
      </w:r>
      <w:r w:rsidR="001053B3">
        <w:rPr>
          <w:rFonts w:ascii="Verdana" w:hAnsi="Verdana"/>
          <w:sz w:val="18"/>
          <w:szCs w:val="18"/>
        </w:rPr>
        <w:t>in het Nederlandse recht.</w:t>
      </w:r>
      <w:r w:rsidRPr="00A755C0">
        <w:rPr>
          <w:rFonts w:ascii="Verdana" w:hAnsi="Verdana"/>
          <w:i/>
          <w:sz w:val="18"/>
          <w:szCs w:val="18"/>
        </w:rPr>
        <w:t xml:space="preserve"> </w:t>
      </w:r>
    </w:p>
    <w:p w:rsidR="0001692F" w:rsidRDefault="0001692F" w:rsidP="00A755C0">
      <w:pPr>
        <w:pStyle w:val="Geenafstand"/>
        <w:spacing w:line="280" w:lineRule="atLeast"/>
        <w:rPr>
          <w:rFonts w:ascii="Verdana" w:hAnsi="Verdana"/>
          <w:sz w:val="18"/>
          <w:szCs w:val="18"/>
        </w:rPr>
      </w:pPr>
    </w:p>
    <w:p w:rsidR="00BB73E5" w:rsidRDefault="00156206" w:rsidP="00A755C0">
      <w:pPr>
        <w:pStyle w:val="Geenafstand"/>
        <w:spacing w:line="280" w:lineRule="atLeast"/>
        <w:rPr>
          <w:rFonts w:ascii="Verdana" w:hAnsi="Verdana"/>
          <w:sz w:val="18"/>
          <w:szCs w:val="18"/>
        </w:rPr>
      </w:pPr>
      <w:r w:rsidRPr="00A755C0">
        <w:rPr>
          <w:rFonts w:ascii="Verdana" w:hAnsi="Verdana"/>
          <w:sz w:val="18"/>
          <w:szCs w:val="18"/>
        </w:rPr>
        <w:t>Kenmerkend voor een rechter is in het bijzonder dat deze onafhankelijk en onpartijdig van de andere overheidsmachten en de partijen in het</w:t>
      </w:r>
      <w:r w:rsidR="00C6602D" w:rsidRPr="00A755C0">
        <w:rPr>
          <w:rFonts w:ascii="Verdana" w:hAnsi="Verdana"/>
          <w:sz w:val="18"/>
          <w:szCs w:val="18"/>
        </w:rPr>
        <w:t xml:space="preserve"> geschil functioneert. Deze begripp</w:t>
      </w:r>
      <w:r w:rsidRPr="00A755C0">
        <w:rPr>
          <w:rFonts w:ascii="Verdana" w:hAnsi="Verdana"/>
          <w:sz w:val="18"/>
          <w:szCs w:val="18"/>
        </w:rPr>
        <w:t xml:space="preserve">en komen ook terug in het dictum van de </w:t>
      </w:r>
      <w:r w:rsidR="00773BF5">
        <w:rPr>
          <w:rFonts w:ascii="Verdana" w:hAnsi="Verdana"/>
          <w:sz w:val="18"/>
          <w:szCs w:val="18"/>
        </w:rPr>
        <w:t xml:space="preserve">hiervoor vermelde </w:t>
      </w:r>
      <w:r w:rsidRPr="00A755C0">
        <w:rPr>
          <w:rFonts w:ascii="Verdana" w:hAnsi="Verdana"/>
          <w:sz w:val="18"/>
          <w:szCs w:val="18"/>
        </w:rPr>
        <w:t>motie</w:t>
      </w:r>
      <w:r w:rsidR="004071D7" w:rsidRPr="00A755C0">
        <w:rPr>
          <w:rFonts w:ascii="Verdana" w:hAnsi="Verdana"/>
          <w:sz w:val="18"/>
          <w:szCs w:val="18"/>
        </w:rPr>
        <w:t xml:space="preserve"> </w:t>
      </w:r>
      <w:proofErr w:type="spellStart"/>
      <w:r w:rsidR="004071D7" w:rsidRPr="00A755C0">
        <w:rPr>
          <w:rFonts w:ascii="Verdana" w:hAnsi="Verdana"/>
          <w:sz w:val="18"/>
          <w:szCs w:val="18"/>
        </w:rPr>
        <w:t>Lokin</w:t>
      </w:r>
      <w:proofErr w:type="spellEnd"/>
      <w:r w:rsidR="004071D7" w:rsidRPr="00A755C0">
        <w:rPr>
          <w:rFonts w:ascii="Verdana" w:hAnsi="Verdana"/>
          <w:sz w:val="18"/>
          <w:szCs w:val="18"/>
        </w:rPr>
        <w:t>-Sassen c.s.</w:t>
      </w:r>
      <w:r w:rsidRPr="00A755C0">
        <w:rPr>
          <w:rFonts w:ascii="Verdana" w:hAnsi="Verdana" w:cs="Verdana"/>
          <w:sz w:val="18"/>
          <w:szCs w:val="18"/>
        </w:rPr>
        <w:t xml:space="preserve">. </w:t>
      </w:r>
      <w:r w:rsidR="005C5DB5">
        <w:rPr>
          <w:rFonts w:ascii="Verdana" w:hAnsi="Verdana" w:cs="Verdana"/>
          <w:sz w:val="18"/>
          <w:szCs w:val="18"/>
        </w:rPr>
        <w:t>Voorts</w:t>
      </w:r>
      <w:r w:rsidR="005457BD" w:rsidRPr="00A755C0">
        <w:rPr>
          <w:rFonts w:ascii="Verdana" w:hAnsi="Verdana" w:cs="Verdana"/>
          <w:sz w:val="18"/>
          <w:szCs w:val="18"/>
        </w:rPr>
        <w:t xml:space="preserve"> </w:t>
      </w:r>
      <w:r w:rsidR="00C27A7F" w:rsidRPr="00A755C0">
        <w:rPr>
          <w:rFonts w:ascii="Verdana" w:hAnsi="Verdana" w:cs="Verdana"/>
          <w:sz w:val="18"/>
          <w:szCs w:val="18"/>
        </w:rPr>
        <w:t xml:space="preserve">wordt op deze wijze </w:t>
      </w:r>
      <w:r w:rsidR="00841282" w:rsidRPr="00A755C0">
        <w:rPr>
          <w:rFonts w:ascii="Verdana" w:hAnsi="Verdana" w:cs="Verdana"/>
          <w:sz w:val="18"/>
          <w:szCs w:val="18"/>
        </w:rPr>
        <w:t xml:space="preserve">– in aanvulling op de artikelen 116 en 117 Grondwet over de rechtspositie van de rechter – </w:t>
      </w:r>
      <w:r w:rsidR="00C27A7F" w:rsidRPr="00A755C0">
        <w:rPr>
          <w:rFonts w:ascii="Verdana" w:hAnsi="Verdana" w:cs="Verdana"/>
          <w:sz w:val="18"/>
          <w:szCs w:val="18"/>
        </w:rPr>
        <w:t>nader</w:t>
      </w:r>
      <w:r w:rsidR="004071D7" w:rsidRPr="00A755C0">
        <w:rPr>
          <w:rFonts w:ascii="Verdana" w:hAnsi="Verdana" w:cs="Verdana"/>
          <w:sz w:val="18"/>
          <w:szCs w:val="18"/>
        </w:rPr>
        <w:t xml:space="preserve"> uitvoering gegeven aan een</w:t>
      </w:r>
      <w:r w:rsidRPr="00A755C0">
        <w:rPr>
          <w:rFonts w:ascii="Verdana" w:hAnsi="Verdana" w:cs="Verdana"/>
          <w:sz w:val="18"/>
          <w:szCs w:val="18"/>
        </w:rPr>
        <w:t xml:space="preserve"> aanbeveling van</w:t>
      </w:r>
      <w:r w:rsidR="00A231AE">
        <w:rPr>
          <w:rFonts w:ascii="Verdana" w:hAnsi="Verdana" w:cs="Verdana"/>
          <w:sz w:val="18"/>
          <w:szCs w:val="18"/>
        </w:rPr>
        <w:t xml:space="preserve"> het Comité van M</w:t>
      </w:r>
      <w:r w:rsidR="004071D7" w:rsidRPr="00A755C0">
        <w:rPr>
          <w:rFonts w:ascii="Verdana" w:hAnsi="Verdana" w:cs="Verdana"/>
          <w:sz w:val="18"/>
          <w:szCs w:val="18"/>
        </w:rPr>
        <w:t>inisters van</w:t>
      </w:r>
      <w:r w:rsidRPr="00A755C0">
        <w:rPr>
          <w:rFonts w:ascii="Verdana" w:hAnsi="Verdana" w:cs="Verdana"/>
          <w:sz w:val="18"/>
          <w:szCs w:val="18"/>
        </w:rPr>
        <w:t xml:space="preserve"> de Raad van Europa uit </w:t>
      </w:r>
      <w:r w:rsidRPr="00A755C0">
        <w:rPr>
          <w:rFonts w:ascii="Verdana" w:hAnsi="Verdana" w:cs="Verdana"/>
          <w:sz w:val="18"/>
          <w:szCs w:val="18"/>
        </w:rPr>
        <w:lastRenderedPageBreak/>
        <w:t>2010</w:t>
      </w:r>
      <w:r w:rsidR="004071D7" w:rsidRPr="00A755C0">
        <w:rPr>
          <w:rFonts w:ascii="Verdana" w:hAnsi="Verdana" w:cs="Verdana"/>
          <w:sz w:val="18"/>
          <w:szCs w:val="18"/>
        </w:rPr>
        <w:t>, die</w:t>
      </w:r>
      <w:r w:rsidRPr="00A755C0">
        <w:rPr>
          <w:rFonts w:ascii="Verdana" w:hAnsi="Verdana" w:cs="Verdana"/>
          <w:sz w:val="18"/>
          <w:szCs w:val="18"/>
        </w:rPr>
        <w:t xml:space="preserve"> stelt dat de onafhankelijkheid van rechters en de rechterlijke macht in de Grondwet of </w:t>
      </w:r>
      <w:r w:rsidR="00C27A7F" w:rsidRPr="00A755C0">
        <w:rPr>
          <w:rFonts w:ascii="Verdana" w:hAnsi="Verdana" w:cs="Verdana"/>
          <w:sz w:val="18"/>
          <w:szCs w:val="18"/>
        </w:rPr>
        <w:t>op het hoogst mogelijke</w:t>
      </w:r>
      <w:r w:rsidRPr="00A755C0">
        <w:rPr>
          <w:rFonts w:ascii="Verdana" w:hAnsi="Verdana" w:cs="Verdana"/>
          <w:sz w:val="18"/>
          <w:szCs w:val="18"/>
        </w:rPr>
        <w:t xml:space="preserve"> ju</w:t>
      </w:r>
      <w:r w:rsidR="00570D3F">
        <w:rPr>
          <w:rFonts w:ascii="Verdana" w:hAnsi="Verdana" w:cs="Verdana"/>
          <w:sz w:val="18"/>
          <w:szCs w:val="18"/>
        </w:rPr>
        <w:t xml:space="preserve">ridische niveau in een lidstaat </w:t>
      </w:r>
      <w:r w:rsidRPr="00A755C0">
        <w:rPr>
          <w:rFonts w:ascii="Verdana" w:hAnsi="Verdana" w:cs="Verdana"/>
          <w:sz w:val="18"/>
          <w:szCs w:val="18"/>
        </w:rPr>
        <w:t>moet zijn verankerd.</w:t>
      </w:r>
      <w:r w:rsidR="004071D7" w:rsidRPr="00A755C0">
        <w:rPr>
          <w:rStyle w:val="Voetnootmarkering"/>
          <w:rFonts w:ascii="Verdana" w:hAnsi="Verdana" w:cs="Verdana"/>
          <w:sz w:val="18"/>
          <w:szCs w:val="18"/>
        </w:rPr>
        <w:footnoteReference w:id="66"/>
      </w:r>
      <w:r w:rsidR="004071D7" w:rsidRPr="00A755C0">
        <w:rPr>
          <w:rFonts w:ascii="Verdana" w:hAnsi="Verdana"/>
          <w:sz w:val="18"/>
          <w:szCs w:val="18"/>
        </w:rPr>
        <w:t xml:space="preserve"> </w:t>
      </w:r>
    </w:p>
    <w:p w:rsidR="0001692F" w:rsidRDefault="0001692F" w:rsidP="00A755C0">
      <w:pPr>
        <w:pStyle w:val="Geenafstand"/>
        <w:spacing w:line="280" w:lineRule="atLeast"/>
        <w:rPr>
          <w:rFonts w:ascii="Verdana" w:hAnsi="Verdana"/>
          <w:sz w:val="18"/>
          <w:szCs w:val="18"/>
        </w:rPr>
      </w:pPr>
    </w:p>
    <w:p w:rsidR="00BB73E5" w:rsidRDefault="00570D3F" w:rsidP="00A755C0">
      <w:pPr>
        <w:pStyle w:val="Geenafstand"/>
        <w:spacing w:line="280" w:lineRule="atLeast"/>
        <w:rPr>
          <w:rFonts w:ascii="Verdana" w:hAnsi="Verdana"/>
          <w:sz w:val="18"/>
          <w:szCs w:val="18"/>
        </w:rPr>
      </w:pPr>
      <w:r>
        <w:rPr>
          <w:rFonts w:ascii="Verdana" w:hAnsi="Verdana"/>
          <w:sz w:val="18"/>
          <w:szCs w:val="18"/>
        </w:rPr>
        <w:t>B</w:t>
      </w:r>
      <w:r w:rsidR="00C6602D" w:rsidRPr="00A755C0">
        <w:rPr>
          <w:rFonts w:ascii="Verdana" w:hAnsi="Verdana"/>
          <w:sz w:val="18"/>
          <w:szCs w:val="18"/>
        </w:rPr>
        <w:t>erechting binnen een redelijke termijn komt</w:t>
      </w:r>
      <w:r>
        <w:rPr>
          <w:rFonts w:ascii="Verdana" w:hAnsi="Verdana"/>
          <w:sz w:val="18"/>
          <w:szCs w:val="18"/>
        </w:rPr>
        <w:t xml:space="preserve"> net als de onafhankelijkheid en onpartijdigheid</w:t>
      </w:r>
      <w:r w:rsidR="00C6602D" w:rsidRPr="00A755C0">
        <w:rPr>
          <w:rFonts w:ascii="Verdana" w:hAnsi="Verdana"/>
          <w:sz w:val="18"/>
          <w:szCs w:val="18"/>
        </w:rPr>
        <w:t xml:space="preserve"> terug in de kern van alle verdragsbepalingen die het recht op ee</w:t>
      </w:r>
      <w:r w:rsidR="00C27A7F" w:rsidRPr="00A755C0">
        <w:rPr>
          <w:rFonts w:ascii="Verdana" w:hAnsi="Verdana"/>
          <w:sz w:val="18"/>
          <w:szCs w:val="18"/>
        </w:rPr>
        <w:t>n eerlijk proces garanderen</w:t>
      </w:r>
      <w:r w:rsidR="00845BEE">
        <w:rPr>
          <w:rFonts w:ascii="Verdana" w:hAnsi="Verdana"/>
          <w:sz w:val="18"/>
          <w:szCs w:val="18"/>
        </w:rPr>
        <w:t xml:space="preserve"> (artikel 6, eerste lid, EVRM, artikel 47 EU-Handvest</w:t>
      </w:r>
      <w:r w:rsidR="008F275A">
        <w:rPr>
          <w:rFonts w:ascii="Verdana" w:hAnsi="Verdana"/>
          <w:sz w:val="18"/>
          <w:szCs w:val="18"/>
        </w:rPr>
        <w:t xml:space="preserve"> en</w:t>
      </w:r>
      <w:r w:rsidR="00845BEE">
        <w:rPr>
          <w:rFonts w:ascii="Verdana" w:hAnsi="Verdana"/>
          <w:sz w:val="18"/>
          <w:szCs w:val="18"/>
        </w:rPr>
        <w:t xml:space="preserve"> artikel 14, eerste lid, IVBPR)</w:t>
      </w:r>
      <w:r w:rsidR="00C27A7F" w:rsidRPr="00A755C0">
        <w:rPr>
          <w:rFonts w:ascii="Verdana" w:hAnsi="Verdana"/>
          <w:sz w:val="18"/>
          <w:szCs w:val="18"/>
        </w:rPr>
        <w:t xml:space="preserve">. Zonder berechting binnen een redelijk termijn kan niet gesproken worden van een eerlijk proces. </w:t>
      </w:r>
      <w:r w:rsidR="00841282" w:rsidRPr="00A755C0">
        <w:rPr>
          <w:rFonts w:ascii="Verdana" w:hAnsi="Verdana"/>
          <w:sz w:val="18"/>
          <w:szCs w:val="18"/>
        </w:rPr>
        <w:t>De belang</w:t>
      </w:r>
      <w:r>
        <w:rPr>
          <w:rFonts w:ascii="Verdana" w:hAnsi="Verdana"/>
          <w:sz w:val="18"/>
          <w:szCs w:val="18"/>
        </w:rPr>
        <w:t xml:space="preserve">rijkste reden </w:t>
      </w:r>
      <w:r w:rsidR="00BB73E5">
        <w:rPr>
          <w:rFonts w:ascii="Verdana" w:hAnsi="Verdana"/>
          <w:sz w:val="18"/>
          <w:szCs w:val="18"/>
        </w:rPr>
        <w:t xml:space="preserve">voor </w:t>
      </w:r>
      <w:r>
        <w:rPr>
          <w:rFonts w:ascii="Verdana" w:hAnsi="Verdana"/>
          <w:sz w:val="18"/>
          <w:szCs w:val="18"/>
        </w:rPr>
        <w:t xml:space="preserve">de eis van berechting binnen een redelijke termijn </w:t>
      </w:r>
      <w:r w:rsidR="00BB73E5">
        <w:rPr>
          <w:rFonts w:ascii="Verdana" w:hAnsi="Verdana"/>
          <w:sz w:val="18"/>
          <w:szCs w:val="18"/>
        </w:rPr>
        <w:t xml:space="preserve">is dat de mate van </w:t>
      </w:r>
      <w:r w:rsidR="00841282" w:rsidRPr="00A755C0">
        <w:rPr>
          <w:rFonts w:ascii="Verdana" w:hAnsi="Verdana"/>
          <w:sz w:val="18"/>
          <w:szCs w:val="18"/>
        </w:rPr>
        <w:t>onzeke</w:t>
      </w:r>
      <w:r w:rsidR="00A755C0">
        <w:rPr>
          <w:rFonts w:ascii="Verdana" w:hAnsi="Verdana"/>
          <w:sz w:val="18"/>
          <w:szCs w:val="18"/>
        </w:rPr>
        <w:t>rheid waarmee een verdachte en (in mindere mate)</w:t>
      </w:r>
      <w:r w:rsidR="00841282" w:rsidRPr="00A755C0">
        <w:rPr>
          <w:rFonts w:ascii="Verdana" w:hAnsi="Verdana"/>
          <w:sz w:val="18"/>
          <w:szCs w:val="18"/>
        </w:rPr>
        <w:t xml:space="preserve"> een benadeelde partij in een </w:t>
      </w:r>
      <w:r w:rsidR="00917D09">
        <w:rPr>
          <w:rFonts w:ascii="Verdana" w:hAnsi="Verdana"/>
          <w:sz w:val="18"/>
          <w:szCs w:val="18"/>
        </w:rPr>
        <w:t xml:space="preserve">geschil </w:t>
      </w:r>
      <w:r w:rsidR="00841282" w:rsidRPr="00A755C0">
        <w:rPr>
          <w:rFonts w:ascii="Verdana" w:hAnsi="Verdana"/>
          <w:sz w:val="18"/>
          <w:szCs w:val="18"/>
        </w:rPr>
        <w:t xml:space="preserve">moet leven zoveel mogelijk wordt beperkt. </w:t>
      </w:r>
      <w:r w:rsidR="00A755C0">
        <w:rPr>
          <w:rFonts w:ascii="Verdana" w:hAnsi="Verdana"/>
          <w:sz w:val="18"/>
          <w:szCs w:val="18"/>
        </w:rPr>
        <w:t xml:space="preserve">Naast deze functie </w:t>
      </w:r>
      <w:r w:rsidR="00BB73E5">
        <w:rPr>
          <w:rFonts w:ascii="Verdana" w:hAnsi="Verdana"/>
          <w:sz w:val="18"/>
          <w:szCs w:val="18"/>
        </w:rPr>
        <w:t xml:space="preserve">van rechtszekerheid </w:t>
      </w:r>
      <w:r w:rsidR="00A755C0">
        <w:rPr>
          <w:rFonts w:ascii="Verdana" w:hAnsi="Verdana"/>
          <w:sz w:val="18"/>
          <w:szCs w:val="18"/>
        </w:rPr>
        <w:t>is berechting binnen een redelijke t</w:t>
      </w:r>
      <w:r>
        <w:rPr>
          <w:rFonts w:ascii="Verdana" w:hAnsi="Verdana"/>
          <w:sz w:val="18"/>
          <w:szCs w:val="18"/>
        </w:rPr>
        <w:t>ermijn noodzakelijk</w:t>
      </w:r>
      <w:r w:rsidR="00A755C0">
        <w:rPr>
          <w:rFonts w:ascii="Verdana" w:hAnsi="Verdana"/>
          <w:sz w:val="18"/>
          <w:szCs w:val="18"/>
        </w:rPr>
        <w:t xml:space="preserve"> voor de effectiviteit en geloofwaardigheid van </w:t>
      </w:r>
      <w:r w:rsidR="00AD585E">
        <w:rPr>
          <w:rFonts w:ascii="Verdana" w:hAnsi="Verdana"/>
          <w:sz w:val="18"/>
          <w:szCs w:val="18"/>
        </w:rPr>
        <w:t>de rechtspraak</w:t>
      </w:r>
      <w:r w:rsidR="00A755C0">
        <w:rPr>
          <w:rFonts w:ascii="Verdana" w:hAnsi="Verdana"/>
          <w:sz w:val="18"/>
          <w:szCs w:val="18"/>
        </w:rPr>
        <w:t>.</w:t>
      </w:r>
      <w:r w:rsidR="00A755C0">
        <w:rPr>
          <w:rStyle w:val="Voetnootmarkering"/>
          <w:rFonts w:ascii="Verdana" w:hAnsi="Verdana"/>
          <w:sz w:val="18"/>
          <w:szCs w:val="18"/>
        </w:rPr>
        <w:footnoteReference w:id="67"/>
      </w:r>
      <w:r w:rsidR="00BB73E5">
        <w:rPr>
          <w:rFonts w:ascii="Verdana" w:hAnsi="Verdana"/>
          <w:sz w:val="18"/>
          <w:szCs w:val="18"/>
        </w:rPr>
        <w:t xml:space="preserve"> </w:t>
      </w:r>
    </w:p>
    <w:p w:rsidR="0001692F" w:rsidRDefault="0001692F" w:rsidP="00A755C0">
      <w:pPr>
        <w:pStyle w:val="Geenafstand"/>
        <w:spacing w:line="280" w:lineRule="atLeast"/>
        <w:rPr>
          <w:rFonts w:ascii="Verdana" w:hAnsi="Verdana"/>
          <w:sz w:val="18"/>
          <w:szCs w:val="18"/>
        </w:rPr>
      </w:pPr>
    </w:p>
    <w:p w:rsidR="001053B3" w:rsidRDefault="00C27A7F" w:rsidP="00A755C0">
      <w:pPr>
        <w:pStyle w:val="Geenafstand"/>
        <w:spacing w:line="280" w:lineRule="atLeast"/>
        <w:rPr>
          <w:rFonts w:ascii="Verdana" w:hAnsi="Verdana"/>
          <w:sz w:val="18"/>
          <w:szCs w:val="18"/>
        </w:rPr>
      </w:pPr>
      <w:r w:rsidRPr="00A755C0">
        <w:rPr>
          <w:rFonts w:ascii="Verdana" w:hAnsi="Verdana"/>
          <w:sz w:val="18"/>
          <w:szCs w:val="18"/>
        </w:rPr>
        <w:t xml:space="preserve">Deze elementen van </w:t>
      </w:r>
      <w:r w:rsidR="00C6602D" w:rsidRPr="00A755C0">
        <w:rPr>
          <w:rFonts w:ascii="Verdana" w:hAnsi="Verdana"/>
          <w:sz w:val="18"/>
          <w:szCs w:val="18"/>
        </w:rPr>
        <w:t xml:space="preserve">berechting door een onafhankelijke en onpartijdige rechter </w:t>
      </w:r>
      <w:r w:rsidRPr="00A755C0">
        <w:rPr>
          <w:rFonts w:ascii="Verdana" w:hAnsi="Verdana"/>
          <w:sz w:val="18"/>
          <w:szCs w:val="18"/>
        </w:rPr>
        <w:t xml:space="preserve">en </w:t>
      </w:r>
      <w:r w:rsidR="00841282" w:rsidRPr="00A755C0">
        <w:rPr>
          <w:rFonts w:ascii="Verdana" w:hAnsi="Verdana"/>
          <w:sz w:val="18"/>
          <w:szCs w:val="18"/>
        </w:rPr>
        <w:t xml:space="preserve">berechting </w:t>
      </w:r>
      <w:r w:rsidR="00C6602D" w:rsidRPr="00A755C0">
        <w:rPr>
          <w:rFonts w:ascii="Verdana" w:hAnsi="Verdana"/>
          <w:sz w:val="18"/>
          <w:szCs w:val="18"/>
        </w:rPr>
        <w:t>binnen een redelijke termijn zijn aan te merken als beginsel</w:t>
      </w:r>
      <w:r w:rsidRPr="00A755C0">
        <w:rPr>
          <w:rFonts w:ascii="Verdana" w:hAnsi="Verdana"/>
          <w:sz w:val="18"/>
          <w:szCs w:val="18"/>
        </w:rPr>
        <w:t>en</w:t>
      </w:r>
      <w:r w:rsidR="00C6602D" w:rsidRPr="00A755C0">
        <w:rPr>
          <w:rFonts w:ascii="Verdana" w:hAnsi="Verdana"/>
          <w:sz w:val="18"/>
          <w:szCs w:val="18"/>
        </w:rPr>
        <w:t xml:space="preserve"> van behoorlijke rechtspraak.</w:t>
      </w:r>
      <w:r w:rsidRPr="00A755C0">
        <w:rPr>
          <w:rStyle w:val="Voetnootmarkering"/>
          <w:rFonts w:ascii="Verdana" w:hAnsi="Verdana"/>
          <w:sz w:val="18"/>
          <w:szCs w:val="18"/>
        </w:rPr>
        <w:footnoteReference w:id="68"/>
      </w:r>
      <w:r w:rsidR="00BB73E5">
        <w:rPr>
          <w:rFonts w:ascii="Verdana" w:hAnsi="Verdana"/>
          <w:sz w:val="18"/>
          <w:szCs w:val="18"/>
        </w:rPr>
        <w:t xml:space="preserve"> </w:t>
      </w:r>
      <w:r w:rsidR="004071D7" w:rsidRPr="00A755C0">
        <w:rPr>
          <w:rFonts w:ascii="Verdana" w:hAnsi="Verdana" w:cs="Verdana"/>
          <w:sz w:val="18"/>
          <w:szCs w:val="18"/>
        </w:rPr>
        <w:t>C</w:t>
      </w:r>
      <w:r w:rsidR="00156206" w:rsidRPr="00A755C0">
        <w:rPr>
          <w:rFonts w:ascii="Verdana" w:hAnsi="Verdana"/>
          <w:sz w:val="18"/>
          <w:szCs w:val="18"/>
        </w:rPr>
        <w:t>onform het advies van de staatscommissie stel</w:t>
      </w:r>
      <w:r w:rsidR="008C39F7">
        <w:rPr>
          <w:rFonts w:ascii="Verdana" w:hAnsi="Verdana"/>
          <w:sz w:val="18"/>
          <w:szCs w:val="18"/>
        </w:rPr>
        <w:t>t</w:t>
      </w:r>
      <w:r w:rsidR="00156206" w:rsidRPr="00A755C0">
        <w:rPr>
          <w:rFonts w:ascii="Verdana" w:hAnsi="Verdana"/>
          <w:sz w:val="18"/>
          <w:szCs w:val="18"/>
        </w:rPr>
        <w:t xml:space="preserve"> </w:t>
      </w:r>
      <w:r w:rsidR="008C39F7">
        <w:rPr>
          <w:rFonts w:ascii="Verdana" w:hAnsi="Verdana"/>
          <w:sz w:val="18"/>
          <w:szCs w:val="18"/>
        </w:rPr>
        <w:t>het kabinet</w:t>
      </w:r>
      <w:r w:rsidR="00156206" w:rsidRPr="00A755C0">
        <w:rPr>
          <w:rFonts w:ascii="Verdana" w:hAnsi="Verdana"/>
          <w:sz w:val="18"/>
          <w:szCs w:val="18"/>
        </w:rPr>
        <w:t xml:space="preserve"> voor geen specifieke deelrechten voor een bepaald t</w:t>
      </w:r>
      <w:r w:rsidRPr="00A755C0">
        <w:rPr>
          <w:rFonts w:ascii="Verdana" w:hAnsi="Verdana"/>
          <w:sz w:val="18"/>
          <w:szCs w:val="18"/>
        </w:rPr>
        <w:t>ype rechterlijke procedure</w:t>
      </w:r>
      <w:r w:rsidR="005457BD" w:rsidRPr="00A755C0">
        <w:rPr>
          <w:rFonts w:ascii="Verdana" w:hAnsi="Verdana"/>
          <w:sz w:val="18"/>
          <w:szCs w:val="18"/>
        </w:rPr>
        <w:t xml:space="preserve"> in artikel 17 </w:t>
      </w:r>
      <w:r w:rsidR="00156206" w:rsidRPr="00A755C0">
        <w:rPr>
          <w:rFonts w:ascii="Verdana" w:hAnsi="Verdana"/>
          <w:sz w:val="18"/>
          <w:szCs w:val="18"/>
        </w:rPr>
        <w:t xml:space="preserve">Grondwet op </w:t>
      </w:r>
      <w:r w:rsidR="004071D7" w:rsidRPr="00A755C0">
        <w:rPr>
          <w:rFonts w:ascii="Verdana" w:hAnsi="Verdana"/>
          <w:sz w:val="18"/>
          <w:szCs w:val="18"/>
        </w:rPr>
        <w:t>te nemen, zoals specifieke rechten van de verdediging</w:t>
      </w:r>
      <w:r w:rsidR="00536C3E">
        <w:rPr>
          <w:rFonts w:ascii="Verdana" w:hAnsi="Verdana"/>
          <w:sz w:val="18"/>
          <w:szCs w:val="18"/>
        </w:rPr>
        <w:t xml:space="preserve"> in een strafrechtelijke procedure</w:t>
      </w:r>
      <w:r w:rsidR="004071D7" w:rsidRPr="00A755C0">
        <w:rPr>
          <w:rFonts w:ascii="Verdana" w:hAnsi="Verdana"/>
          <w:sz w:val="18"/>
          <w:szCs w:val="18"/>
        </w:rPr>
        <w:t xml:space="preserve">. </w:t>
      </w:r>
      <w:r w:rsidR="000F3C77">
        <w:rPr>
          <w:rFonts w:ascii="Verdana" w:hAnsi="Verdana"/>
          <w:sz w:val="18"/>
          <w:szCs w:val="18"/>
        </w:rPr>
        <w:t>Die rechten zijn al stevig verankerd in het straf(proces)recht.</w:t>
      </w:r>
    </w:p>
    <w:p w:rsidR="00EC13FC" w:rsidRDefault="00EC13FC" w:rsidP="00A755C0">
      <w:pPr>
        <w:pStyle w:val="Geenafstand"/>
        <w:spacing w:line="280" w:lineRule="atLeast"/>
        <w:rPr>
          <w:rFonts w:ascii="Verdana" w:hAnsi="Verdana"/>
          <w:sz w:val="18"/>
          <w:szCs w:val="18"/>
        </w:rPr>
      </w:pPr>
    </w:p>
    <w:p w:rsidR="004071D7" w:rsidRDefault="004071D7" w:rsidP="00A755C0">
      <w:pPr>
        <w:pStyle w:val="Geenafstand"/>
        <w:spacing w:line="280" w:lineRule="atLeast"/>
        <w:rPr>
          <w:rFonts w:ascii="Verdana" w:hAnsi="Verdana"/>
          <w:sz w:val="18"/>
          <w:szCs w:val="18"/>
        </w:rPr>
      </w:pPr>
      <w:r w:rsidRPr="00A755C0">
        <w:rPr>
          <w:rFonts w:ascii="Verdana" w:hAnsi="Verdana"/>
          <w:sz w:val="18"/>
          <w:szCs w:val="18"/>
        </w:rPr>
        <w:t xml:space="preserve">Hierna </w:t>
      </w:r>
      <w:r w:rsidR="008C39F7">
        <w:rPr>
          <w:rFonts w:ascii="Verdana" w:hAnsi="Verdana"/>
          <w:sz w:val="18"/>
          <w:szCs w:val="18"/>
        </w:rPr>
        <w:t xml:space="preserve">wordt </w:t>
      </w:r>
      <w:r w:rsidRPr="00A755C0">
        <w:rPr>
          <w:rFonts w:ascii="Verdana" w:hAnsi="Verdana"/>
          <w:sz w:val="18"/>
          <w:szCs w:val="18"/>
        </w:rPr>
        <w:t>afzonderlijk in</w:t>
      </w:r>
      <w:r w:rsidR="008C39F7">
        <w:rPr>
          <w:rFonts w:ascii="Verdana" w:hAnsi="Verdana"/>
          <w:sz w:val="18"/>
          <w:szCs w:val="18"/>
        </w:rPr>
        <w:t>gegaan</w:t>
      </w:r>
      <w:r w:rsidRPr="00A755C0">
        <w:rPr>
          <w:rFonts w:ascii="Verdana" w:hAnsi="Verdana"/>
          <w:sz w:val="18"/>
          <w:szCs w:val="18"/>
        </w:rPr>
        <w:t xml:space="preserve"> op de elementen van het </w:t>
      </w:r>
      <w:r w:rsidR="008F275A">
        <w:rPr>
          <w:rFonts w:ascii="Verdana" w:hAnsi="Verdana"/>
          <w:sz w:val="18"/>
          <w:szCs w:val="18"/>
        </w:rPr>
        <w:t xml:space="preserve">voorgestelde </w:t>
      </w:r>
      <w:r w:rsidRPr="00A755C0">
        <w:rPr>
          <w:rFonts w:ascii="Verdana" w:hAnsi="Verdana"/>
          <w:sz w:val="18"/>
          <w:szCs w:val="18"/>
        </w:rPr>
        <w:t>recht op een eerlijk proces</w:t>
      </w:r>
      <w:r w:rsidR="00EC13FC">
        <w:rPr>
          <w:rFonts w:ascii="Verdana" w:hAnsi="Verdana"/>
          <w:sz w:val="18"/>
          <w:szCs w:val="18"/>
        </w:rPr>
        <w:t>; op de onafhankelijkheid en onpartijdigheid in paragraaf 7.2</w:t>
      </w:r>
      <w:r w:rsidR="00A2444F">
        <w:rPr>
          <w:rFonts w:ascii="Verdana" w:hAnsi="Verdana"/>
          <w:sz w:val="18"/>
          <w:szCs w:val="18"/>
        </w:rPr>
        <w:t xml:space="preserve"> en</w:t>
      </w:r>
      <w:r w:rsidR="00EC13FC">
        <w:rPr>
          <w:rFonts w:ascii="Verdana" w:hAnsi="Verdana"/>
          <w:sz w:val="18"/>
          <w:szCs w:val="18"/>
        </w:rPr>
        <w:t xml:space="preserve"> op de redelijke termijn in paragraaf 7.3</w:t>
      </w:r>
      <w:r w:rsidRPr="00A755C0">
        <w:rPr>
          <w:rFonts w:ascii="Verdana" w:hAnsi="Verdana"/>
          <w:sz w:val="18"/>
          <w:szCs w:val="18"/>
        </w:rPr>
        <w:t>.</w:t>
      </w:r>
      <w:r w:rsidR="00EC13FC">
        <w:rPr>
          <w:rFonts w:ascii="Verdana" w:hAnsi="Verdana"/>
          <w:sz w:val="18"/>
          <w:szCs w:val="18"/>
        </w:rPr>
        <w:t xml:space="preserve"> Enkele elementen van het recht op een eerlijk proces die niet nadrukkelijk terugkomen in de voorgestelde grondwetsbepalingen worden nader toegelicht in paragraaf 7.</w:t>
      </w:r>
      <w:r w:rsidR="001816C6">
        <w:rPr>
          <w:rFonts w:ascii="Verdana" w:hAnsi="Verdana"/>
          <w:sz w:val="18"/>
          <w:szCs w:val="18"/>
        </w:rPr>
        <w:t>4</w:t>
      </w:r>
      <w:r w:rsidR="00EC13FC">
        <w:rPr>
          <w:rFonts w:ascii="Verdana" w:hAnsi="Verdana"/>
          <w:sz w:val="18"/>
          <w:szCs w:val="18"/>
        </w:rPr>
        <w:t>.</w:t>
      </w:r>
    </w:p>
    <w:p w:rsidR="00A755C0" w:rsidRPr="00A755C0" w:rsidRDefault="00A755C0" w:rsidP="00A755C0">
      <w:pPr>
        <w:pStyle w:val="Geenafstand"/>
        <w:spacing w:line="280" w:lineRule="atLeast"/>
        <w:rPr>
          <w:rFonts w:ascii="Verdana" w:hAnsi="Verdana"/>
          <w:sz w:val="18"/>
          <w:szCs w:val="18"/>
        </w:rPr>
      </w:pPr>
    </w:p>
    <w:p w:rsidR="00690131" w:rsidRPr="004C682C" w:rsidRDefault="00823A6F" w:rsidP="00284432">
      <w:pPr>
        <w:spacing w:line="280" w:lineRule="atLeast"/>
        <w:rPr>
          <w:rFonts w:ascii="Verdana" w:hAnsi="Verdana"/>
          <w:sz w:val="18"/>
          <w:szCs w:val="18"/>
        </w:rPr>
      </w:pPr>
      <w:r>
        <w:rPr>
          <w:rFonts w:ascii="Verdana" w:hAnsi="Verdana"/>
          <w:sz w:val="18"/>
          <w:szCs w:val="18"/>
        </w:rPr>
        <w:t>7</w:t>
      </w:r>
      <w:r w:rsidR="00350500">
        <w:rPr>
          <w:rFonts w:ascii="Verdana" w:hAnsi="Verdana"/>
          <w:sz w:val="18"/>
          <w:szCs w:val="18"/>
        </w:rPr>
        <w:t>.2</w:t>
      </w:r>
      <w:r w:rsidR="004C682C" w:rsidRPr="004C682C">
        <w:rPr>
          <w:rFonts w:ascii="Verdana" w:hAnsi="Verdana"/>
          <w:sz w:val="18"/>
          <w:szCs w:val="18"/>
        </w:rPr>
        <w:tab/>
      </w:r>
      <w:r w:rsidR="00690131" w:rsidRPr="004C682C">
        <w:rPr>
          <w:rFonts w:ascii="Verdana" w:hAnsi="Verdana"/>
          <w:sz w:val="18"/>
          <w:szCs w:val="18"/>
        </w:rPr>
        <w:t xml:space="preserve">Beslissing en berechting door </w:t>
      </w:r>
      <w:r w:rsidR="00A8238D" w:rsidRPr="004C682C">
        <w:rPr>
          <w:rFonts w:ascii="Verdana" w:hAnsi="Verdana"/>
          <w:sz w:val="18"/>
          <w:szCs w:val="18"/>
        </w:rPr>
        <w:t xml:space="preserve">een </w:t>
      </w:r>
      <w:r w:rsidR="00690131" w:rsidRPr="004C682C">
        <w:rPr>
          <w:rFonts w:ascii="Verdana" w:hAnsi="Verdana"/>
          <w:sz w:val="18"/>
          <w:szCs w:val="18"/>
        </w:rPr>
        <w:t>neutrale overheidsinstantie</w:t>
      </w:r>
    </w:p>
    <w:p w:rsidR="00874C83" w:rsidRPr="00B461EC" w:rsidRDefault="00690131" w:rsidP="00AE6880">
      <w:pPr>
        <w:spacing w:line="280" w:lineRule="atLeast"/>
        <w:rPr>
          <w:rFonts w:ascii="Verdana" w:hAnsi="Verdana"/>
          <w:b/>
          <w:sz w:val="18"/>
          <w:szCs w:val="18"/>
        </w:rPr>
      </w:pPr>
      <w:r w:rsidRPr="00B461EC">
        <w:rPr>
          <w:rFonts w:ascii="Verdana" w:hAnsi="Verdana"/>
          <w:sz w:val="18"/>
          <w:szCs w:val="18"/>
        </w:rPr>
        <w:t xml:space="preserve">In een rechtsstaat moeten burgers erop kunnen vertrouwen dat een volstrekt neutrale overheidsinstantie ‘zonder aanzien des </w:t>
      </w:r>
      <w:proofErr w:type="spellStart"/>
      <w:r w:rsidRPr="00B461EC">
        <w:rPr>
          <w:rFonts w:ascii="Verdana" w:hAnsi="Verdana"/>
          <w:sz w:val="18"/>
          <w:szCs w:val="18"/>
        </w:rPr>
        <w:t>persoons</w:t>
      </w:r>
      <w:proofErr w:type="spellEnd"/>
      <w:r w:rsidRPr="00B461EC">
        <w:rPr>
          <w:rFonts w:ascii="Verdana" w:hAnsi="Verdana"/>
          <w:sz w:val="18"/>
          <w:szCs w:val="18"/>
        </w:rPr>
        <w:t>’ geschillen beslist en strafbare feiten berecht. Deze neutraliteit kent twee elementen</w:t>
      </w:r>
      <w:r w:rsidR="000A6B9C" w:rsidRPr="00B461EC">
        <w:rPr>
          <w:rFonts w:ascii="Verdana" w:hAnsi="Verdana"/>
          <w:sz w:val="18"/>
          <w:szCs w:val="18"/>
        </w:rPr>
        <w:t>: de rechterlijke onafhankelijkheid en de rechterlijke onpartijdigheid</w:t>
      </w:r>
      <w:r w:rsidRPr="00B461EC">
        <w:rPr>
          <w:rFonts w:ascii="Verdana" w:hAnsi="Verdana"/>
          <w:sz w:val="18"/>
          <w:szCs w:val="18"/>
        </w:rPr>
        <w:t xml:space="preserve">. </w:t>
      </w:r>
      <w:r w:rsidR="00EC1D73">
        <w:rPr>
          <w:rFonts w:ascii="Verdana" w:hAnsi="Verdana"/>
          <w:sz w:val="18"/>
          <w:szCs w:val="18"/>
        </w:rPr>
        <w:t xml:space="preserve">Het </w:t>
      </w:r>
      <w:r w:rsidRPr="00B461EC">
        <w:rPr>
          <w:rFonts w:ascii="Verdana" w:hAnsi="Verdana"/>
          <w:sz w:val="18"/>
          <w:szCs w:val="18"/>
        </w:rPr>
        <w:t>eerste</w:t>
      </w:r>
      <w:r w:rsidR="000A6B9C" w:rsidRPr="00B461EC">
        <w:rPr>
          <w:rFonts w:ascii="Verdana" w:hAnsi="Verdana"/>
          <w:sz w:val="18"/>
          <w:szCs w:val="18"/>
        </w:rPr>
        <w:t xml:space="preserve"> </w:t>
      </w:r>
      <w:r w:rsidR="00EC1D73">
        <w:rPr>
          <w:rFonts w:ascii="Verdana" w:hAnsi="Verdana"/>
          <w:sz w:val="18"/>
          <w:szCs w:val="18"/>
        </w:rPr>
        <w:t>betreft</w:t>
      </w:r>
      <w:r w:rsidR="000A6B9C" w:rsidRPr="00B461EC">
        <w:rPr>
          <w:rFonts w:ascii="Verdana" w:hAnsi="Verdana"/>
          <w:sz w:val="18"/>
          <w:szCs w:val="18"/>
        </w:rPr>
        <w:t xml:space="preserve"> de </w:t>
      </w:r>
      <w:r w:rsidRPr="00B461EC">
        <w:rPr>
          <w:rFonts w:ascii="Verdana" w:hAnsi="Verdana"/>
          <w:sz w:val="18"/>
          <w:szCs w:val="18"/>
        </w:rPr>
        <w:t>neutraliteit van de rechter ten opzichte van de beide</w:t>
      </w:r>
      <w:r w:rsidR="002E4607" w:rsidRPr="00B461EC">
        <w:rPr>
          <w:rFonts w:ascii="Verdana" w:hAnsi="Verdana"/>
          <w:sz w:val="18"/>
          <w:szCs w:val="18"/>
        </w:rPr>
        <w:t xml:space="preserve"> </w:t>
      </w:r>
      <w:r w:rsidRPr="00B461EC">
        <w:rPr>
          <w:rFonts w:ascii="Verdana" w:hAnsi="Verdana"/>
          <w:sz w:val="18"/>
          <w:szCs w:val="18"/>
        </w:rPr>
        <w:t>andere staatsmachten, de wetgever en het b</w:t>
      </w:r>
      <w:r w:rsidR="000A6B9C" w:rsidRPr="00B461EC">
        <w:rPr>
          <w:rFonts w:ascii="Verdana" w:hAnsi="Verdana"/>
          <w:sz w:val="18"/>
          <w:szCs w:val="18"/>
        </w:rPr>
        <w:t>e</w:t>
      </w:r>
      <w:r w:rsidRPr="00B461EC">
        <w:rPr>
          <w:rFonts w:ascii="Verdana" w:hAnsi="Verdana"/>
          <w:sz w:val="18"/>
          <w:szCs w:val="18"/>
        </w:rPr>
        <w:t xml:space="preserve">stuur. </w:t>
      </w:r>
      <w:r w:rsidR="00EC1D73">
        <w:rPr>
          <w:rFonts w:ascii="Verdana" w:hAnsi="Verdana"/>
          <w:sz w:val="18"/>
          <w:szCs w:val="18"/>
        </w:rPr>
        <w:t xml:space="preserve">Het </w:t>
      </w:r>
      <w:r w:rsidRPr="00B461EC">
        <w:rPr>
          <w:rFonts w:ascii="Verdana" w:hAnsi="Verdana"/>
          <w:sz w:val="18"/>
          <w:szCs w:val="18"/>
        </w:rPr>
        <w:t xml:space="preserve">tweede </w:t>
      </w:r>
      <w:r w:rsidR="000A6B9C" w:rsidRPr="00B461EC">
        <w:rPr>
          <w:rFonts w:ascii="Verdana" w:hAnsi="Verdana"/>
          <w:sz w:val="18"/>
          <w:szCs w:val="18"/>
        </w:rPr>
        <w:t>betreft d</w:t>
      </w:r>
      <w:r w:rsidRPr="00B461EC">
        <w:rPr>
          <w:rFonts w:ascii="Verdana" w:hAnsi="Verdana"/>
          <w:sz w:val="18"/>
          <w:szCs w:val="18"/>
        </w:rPr>
        <w:t>e neutraliteit van de rechter ten opzichte van het concrete geschil of strafbare feit dat hem ter berechting wordt voorgelegd.</w:t>
      </w:r>
      <w:r w:rsidR="002E4607">
        <w:rPr>
          <w:rStyle w:val="Voetnootmarkering"/>
          <w:rFonts w:ascii="Verdana" w:hAnsi="Verdana"/>
          <w:sz w:val="18"/>
          <w:szCs w:val="18"/>
        </w:rPr>
        <w:footnoteReference w:id="69"/>
      </w:r>
      <w:r w:rsidRPr="00B461EC">
        <w:rPr>
          <w:rFonts w:ascii="Verdana" w:hAnsi="Verdana"/>
          <w:sz w:val="18"/>
          <w:szCs w:val="18"/>
        </w:rPr>
        <w:t xml:space="preserve"> </w:t>
      </w:r>
    </w:p>
    <w:p w:rsidR="002E4607" w:rsidRPr="00B461EC" w:rsidRDefault="00823A6F" w:rsidP="00AE6880">
      <w:pPr>
        <w:spacing w:line="280" w:lineRule="atLeast"/>
        <w:rPr>
          <w:rFonts w:ascii="Verdana" w:hAnsi="Verdana"/>
          <w:i/>
          <w:sz w:val="18"/>
          <w:szCs w:val="18"/>
        </w:rPr>
      </w:pPr>
      <w:r>
        <w:rPr>
          <w:rFonts w:ascii="Verdana" w:hAnsi="Verdana"/>
          <w:i/>
          <w:sz w:val="18"/>
          <w:szCs w:val="18"/>
        </w:rPr>
        <w:t>7</w:t>
      </w:r>
      <w:r w:rsidR="00350500">
        <w:rPr>
          <w:rFonts w:ascii="Verdana" w:hAnsi="Verdana"/>
          <w:i/>
          <w:sz w:val="18"/>
          <w:szCs w:val="18"/>
        </w:rPr>
        <w:t>.2</w:t>
      </w:r>
      <w:r w:rsidR="004C682C">
        <w:rPr>
          <w:rFonts w:ascii="Verdana" w:hAnsi="Verdana"/>
          <w:i/>
          <w:sz w:val="18"/>
          <w:szCs w:val="18"/>
        </w:rPr>
        <w:t>.1</w:t>
      </w:r>
      <w:r w:rsidR="004C682C">
        <w:rPr>
          <w:rFonts w:ascii="Verdana" w:hAnsi="Verdana"/>
          <w:i/>
          <w:sz w:val="18"/>
          <w:szCs w:val="18"/>
        </w:rPr>
        <w:tab/>
        <w:t xml:space="preserve"> </w:t>
      </w:r>
      <w:r w:rsidR="00690131" w:rsidRPr="00B461EC">
        <w:rPr>
          <w:rFonts w:ascii="Verdana" w:hAnsi="Verdana"/>
          <w:i/>
          <w:sz w:val="18"/>
          <w:szCs w:val="18"/>
        </w:rPr>
        <w:t>Rechterlijke o</w:t>
      </w:r>
      <w:r w:rsidR="002E0A34" w:rsidRPr="00B461EC">
        <w:rPr>
          <w:rFonts w:ascii="Verdana" w:hAnsi="Verdana"/>
          <w:i/>
          <w:sz w:val="18"/>
          <w:szCs w:val="18"/>
        </w:rPr>
        <w:t>nafhankelijkheid</w:t>
      </w:r>
    </w:p>
    <w:p w:rsidR="001A26DB" w:rsidRDefault="001A26DB" w:rsidP="0043747E">
      <w:pPr>
        <w:pStyle w:val="Geenafstand"/>
        <w:spacing w:line="280" w:lineRule="atLeast"/>
        <w:rPr>
          <w:rFonts w:ascii="Verdana" w:hAnsi="Verdana"/>
          <w:sz w:val="18"/>
          <w:szCs w:val="18"/>
        </w:rPr>
      </w:pPr>
      <w:r>
        <w:rPr>
          <w:rFonts w:ascii="Verdana" w:hAnsi="Verdana"/>
          <w:sz w:val="18"/>
          <w:szCs w:val="18"/>
        </w:rPr>
        <w:t xml:space="preserve">De onafhankelijkheid van de rechter heeft </w:t>
      </w:r>
      <w:r w:rsidR="00867650">
        <w:rPr>
          <w:rFonts w:ascii="Verdana" w:hAnsi="Verdana"/>
          <w:sz w:val="18"/>
          <w:szCs w:val="18"/>
        </w:rPr>
        <w:t xml:space="preserve">voornamelijk </w:t>
      </w:r>
      <w:r>
        <w:rPr>
          <w:rFonts w:ascii="Verdana" w:hAnsi="Verdana"/>
          <w:sz w:val="18"/>
          <w:szCs w:val="18"/>
        </w:rPr>
        <w:t>betrekking op de verhouding tussen de rechter en de andere twee staatsmachten, bestuur en wetgever. Zij kent verschillende elementen</w:t>
      </w:r>
      <w:r w:rsidR="008F275A">
        <w:rPr>
          <w:rFonts w:ascii="Verdana" w:hAnsi="Verdana"/>
          <w:sz w:val="18"/>
          <w:szCs w:val="18"/>
        </w:rPr>
        <w:t>:</w:t>
      </w:r>
      <w:r>
        <w:rPr>
          <w:rFonts w:ascii="Verdana" w:hAnsi="Verdana"/>
          <w:sz w:val="18"/>
          <w:szCs w:val="18"/>
        </w:rPr>
        <w:t xml:space="preserve"> de persoonlijke of rechtspositionele onafhankelijkheid en de zakelijke of functionele onafhankeli</w:t>
      </w:r>
      <w:r w:rsidR="002A7CA8">
        <w:rPr>
          <w:rFonts w:ascii="Verdana" w:hAnsi="Verdana"/>
          <w:sz w:val="18"/>
          <w:szCs w:val="18"/>
        </w:rPr>
        <w:t>jkheid. N</w:t>
      </w:r>
      <w:r>
        <w:rPr>
          <w:rFonts w:ascii="Verdana" w:hAnsi="Verdana"/>
          <w:sz w:val="18"/>
          <w:szCs w:val="18"/>
        </w:rPr>
        <w:t>aast de</w:t>
      </w:r>
      <w:r w:rsidR="002A7CA8">
        <w:rPr>
          <w:rFonts w:ascii="Verdana" w:hAnsi="Verdana"/>
          <w:sz w:val="18"/>
          <w:szCs w:val="18"/>
        </w:rPr>
        <w:t>ze</w:t>
      </w:r>
      <w:r>
        <w:rPr>
          <w:rFonts w:ascii="Verdana" w:hAnsi="Verdana"/>
          <w:sz w:val="18"/>
          <w:szCs w:val="18"/>
        </w:rPr>
        <w:t xml:space="preserve"> </w:t>
      </w:r>
      <w:r w:rsidR="00570D3F">
        <w:rPr>
          <w:rFonts w:ascii="Verdana" w:hAnsi="Verdana"/>
          <w:sz w:val="18"/>
          <w:szCs w:val="18"/>
        </w:rPr>
        <w:t xml:space="preserve">twee elementen van </w:t>
      </w:r>
      <w:r>
        <w:rPr>
          <w:rFonts w:ascii="Verdana" w:hAnsi="Verdana"/>
          <w:sz w:val="18"/>
          <w:szCs w:val="18"/>
        </w:rPr>
        <w:t xml:space="preserve">onafhankelijkheid van de individuele rechter, of de kamer waarin wordt recht gesproken, </w:t>
      </w:r>
      <w:r w:rsidR="002A7CA8">
        <w:rPr>
          <w:rFonts w:ascii="Verdana" w:hAnsi="Verdana"/>
          <w:sz w:val="18"/>
          <w:szCs w:val="18"/>
        </w:rPr>
        <w:t xml:space="preserve">kan </w:t>
      </w:r>
      <w:r>
        <w:rPr>
          <w:rFonts w:ascii="Verdana" w:hAnsi="Verdana"/>
          <w:sz w:val="18"/>
          <w:szCs w:val="18"/>
        </w:rPr>
        <w:t>ook een institutionele onafhankelijkheid van de gerechten of de ge</w:t>
      </w:r>
      <w:r w:rsidR="002A7CA8">
        <w:rPr>
          <w:rFonts w:ascii="Verdana" w:hAnsi="Verdana"/>
          <w:sz w:val="18"/>
          <w:szCs w:val="18"/>
        </w:rPr>
        <w:t>hele rechterlijke organisatie worden onderscheiden</w:t>
      </w:r>
      <w:r w:rsidR="005C5DB5">
        <w:rPr>
          <w:rFonts w:ascii="Verdana" w:hAnsi="Verdana"/>
          <w:sz w:val="18"/>
          <w:szCs w:val="18"/>
        </w:rPr>
        <w:t xml:space="preserve"> ten opzichte van de </w:t>
      </w:r>
      <w:r w:rsidR="00B229AB">
        <w:rPr>
          <w:rFonts w:ascii="Verdana" w:hAnsi="Verdana"/>
          <w:sz w:val="18"/>
          <w:szCs w:val="18"/>
        </w:rPr>
        <w:t xml:space="preserve">beide </w:t>
      </w:r>
      <w:r w:rsidR="005C5DB5">
        <w:rPr>
          <w:rFonts w:ascii="Verdana" w:hAnsi="Verdana"/>
          <w:sz w:val="18"/>
          <w:szCs w:val="18"/>
        </w:rPr>
        <w:t>andere staatsmachten</w:t>
      </w:r>
      <w:r>
        <w:rPr>
          <w:rFonts w:ascii="Verdana" w:hAnsi="Verdana"/>
          <w:sz w:val="18"/>
          <w:szCs w:val="18"/>
        </w:rPr>
        <w:t>.</w:t>
      </w:r>
      <w:r w:rsidR="002A7CA8">
        <w:rPr>
          <w:rStyle w:val="Voetnootmarkering"/>
          <w:rFonts w:ascii="Verdana" w:hAnsi="Verdana"/>
          <w:sz w:val="18"/>
          <w:szCs w:val="18"/>
        </w:rPr>
        <w:footnoteReference w:id="70"/>
      </w:r>
      <w:r>
        <w:rPr>
          <w:rFonts w:ascii="Verdana" w:hAnsi="Verdana"/>
          <w:sz w:val="18"/>
          <w:szCs w:val="18"/>
        </w:rPr>
        <w:t xml:space="preserve"> </w:t>
      </w:r>
    </w:p>
    <w:p w:rsidR="0001692F" w:rsidRDefault="0001692F" w:rsidP="0043747E">
      <w:pPr>
        <w:pStyle w:val="Geenafstand"/>
        <w:spacing w:line="280" w:lineRule="atLeast"/>
        <w:rPr>
          <w:rFonts w:ascii="Verdana" w:hAnsi="Verdana"/>
          <w:sz w:val="18"/>
          <w:szCs w:val="18"/>
        </w:rPr>
      </w:pPr>
    </w:p>
    <w:p w:rsidR="00EA50DE" w:rsidRPr="0043747E" w:rsidRDefault="005457BD" w:rsidP="0043747E">
      <w:pPr>
        <w:pStyle w:val="Geenafstand"/>
        <w:spacing w:line="280" w:lineRule="atLeast"/>
        <w:rPr>
          <w:rFonts w:ascii="Verdana" w:hAnsi="Verdana"/>
          <w:sz w:val="18"/>
          <w:szCs w:val="18"/>
        </w:rPr>
      </w:pPr>
      <w:r w:rsidRPr="0043747E">
        <w:rPr>
          <w:rFonts w:ascii="Verdana" w:hAnsi="Verdana"/>
          <w:sz w:val="18"/>
          <w:szCs w:val="18"/>
        </w:rPr>
        <w:lastRenderedPageBreak/>
        <w:t xml:space="preserve">De </w:t>
      </w:r>
      <w:r w:rsidR="00874C83" w:rsidRPr="0043747E">
        <w:rPr>
          <w:rFonts w:ascii="Verdana" w:hAnsi="Verdana"/>
          <w:sz w:val="18"/>
          <w:szCs w:val="18"/>
        </w:rPr>
        <w:t>grondwetgever heeft van oudsher met name oog gehad voor de persoonlijke onafhankelijkheid. De Grondwet biedt daarvoor ruime waarbor</w:t>
      </w:r>
      <w:r w:rsidR="005C0E0E">
        <w:rPr>
          <w:rFonts w:ascii="Verdana" w:hAnsi="Verdana"/>
          <w:sz w:val="18"/>
          <w:szCs w:val="18"/>
        </w:rPr>
        <w:t>gen. Artikel 117, eerste lid, Grondwet</w:t>
      </w:r>
      <w:r w:rsidR="00874C83" w:rsidRPr="0043747E">
        <w:rPr>
          <w:rFonts w:ascii="Verdana" w:hAnsi="Verdana"/>
          <w:sz w:val="18"/>
          <w:szCs w:val="18"/>
        </w:rPr>
        <w:t>,</w:t>
      </w:r>
      <w:r w:rsidR="00A8238D" w:rsidRPr="0043747E">
        <w:rPr>
          <w:rFonts w:ascii="Verdana" w:hAnsi="Verdana"/>
          <w:sz w:val="18"/>
          <w:szCs w:val="18"/>
        </w:rPr>
        <w:t xml:space="preserve"> garandeert de benoeming voor het leven v</w:t>
      </w:r>
      <w:r w:rsidR="008F275A">
        <w:rPr>
          <w:rFonts w:ascii="Verdana" w:hAnsi="Verdana"/>
          <w:sz w:val="18"/>
          <w:szCs w:val="18"/>
        </w:rPr>
        <w:t>an</w:t>
      </w:r>
      <w:r w:rsidR="00A8238D" w:rsidRPr="0043747E">
        <w:rPr>
          <w:rFonts w:ascii="Verdana" w:hAnsi="Verdana"/>
          <w:sz w:val="18"/>
          <w:szCs w:val="18"/>
        </w:rPr>
        <w:t xml:space="preserve"> leden van de rechterlijke macht met rechtspraak belast. </w:t>
      </w:r>
      <w:r w:rsidR="00874C83" w:rsidRPr="0043747E">
        <w:rPr>
          <w:rFonts w:ascii="Verdana" w:hAnsi="Verdana"/>
          <w:sz w:val="18"/>
          <w:szCs w:val="18"/>
        </w:rPr>
        <w:t>Daarnaast is van belang artikel 117,</w:t>
      </w:r>
      <w:r w:rsidR="00B86753" w:rsidRPr="0043747E">
        <w:rPr>
          <w:rFonts w:ascii="Verdana" w:hAnsi="Verdana"/>
          <w:sz w:val="18"/>
          <w:szCs w:val="18"/>
        </w:rPr>
        <w:t xml:space="preserve"> </w:t>
      </w:r>
      <w:r w:rsidR="00874C83" w:rsidRPr="0043747E">
        <w:rPr>
          <w:rFonts w:ascii="Verdana" w:hAnsi="Verdana"/>
          <w:sz w:val="18"/>
          <w:szCs w:val="18"/>
        </w:rPr>
        <w:t xml:space="preserve">derde lid, Grondwet dat </w:t>
      </w:r>
      <w:r w:rsidR="008F275A">
        <w:rPr>
          <w:rFonts w:ascii="Verdana" w:hAnsi="Verdana"/>
          <w:sz w:val="18"/>
          <w:szCs w:val="18"/>
        </w:rPr>
        <w:t xml:space="preserve">bepaalt dat </w:t>
      </w:r>
      <w:r w:rsidR="00B86753" w:rsidRPr="0043747E">
        <w:rPr>
          <w:rFonts w:ascii="Verdana" w:hAnsi="Verdana"/>
          <w:sz w:val="18"/>
          <w:szCs w:val="18"/>
        </w:rPr>
        <w:t xml:space="preserve">(slechts) een gerecht van de rechterlijke macht bevoegd is deze leden van de rechterlijke macht te schorsen en te ontslaan; schorsing en ontslag door bijvoorbeeld </w:t>
      </w:r>
      <w:r w:rsidR="00874C83" w:rsidRPr="0043747E">
        <w:rPr>
          <w:rFonts w:ascii="Verdana" w:hAnsi="Verdana"/>
          <w:sz w:val="18"/>
          <w:szCs w:val="18"/>
        </w:rPr>
        <w:t xml:space="preserve">de regering of door het parlement zijn </w:t>
      </w:r>
      <w:r w:rsidR="00B86753" w:rsidRPr="0043747E">
        <w:rPr>
          <w:rFonts w:ascii="Verdana" w:hAnsi="Verdana"/>
          <w:sz w:val="18"/>
          <w:szCs w:val="18"/>
        </w:rPr>
        <w:t xml:space="preserve">aldus </w:t>
      </w:r>
      <w:r w:rsidR="00874C83" w:rsidRPr="0043747E">
        <w:rPr>
          <w:rFonts w:ascii="Verdana" w:hAnsi="Verdana"/>
          <w:sz w:val="18"/>
          <w:szCs w:val="18"/>
        </w:rPr>
        <w:t>u</w:t>
      </w:r>
      <w:r w:rsidR="00B86753" w:rsidRPr="0043747E">
        <w:rPr>
          <w:rFonts w:ascii="Verdana" w:hAnsi="Verdana"/>
          <w:sz w:val="18"/>
          <w:szCs w:val="18"/>
        </w:rPr>
        <w:t>i</w:t>
      </w:r>
      <w:r w:rsidR="00874C83" w:rsidRPr="0043747E">
        <w:rPr>
          <w:rFonts w:ascii="Verdana" w:hAnsi="Verdana"/>
          <w:sz w:val="18"/>
          <w:szCs w:val="18"/>
        </w:rPr>
        <w:t>tge</w:t>
      </w:r>
      <w:r w:rsidR="00B86753" w:rsidRPr="0043747E">
        <w:rPr>
          <w:rFonts w:ascii="Verdana" w:hAnsi="Verdana"/>
          <w:sz w:val="18"/>
          <w:szCs w:val="18"/>
        </w:rPr>
        <w:t>s</w:t>
      </w:r>
      <w:r w:rsidR="00570D3F">
        <w:rPr>
          <w:rFonts w:ascii="Verdana" w:hAnsi="Verdana"/>
          <w:sz w:val="18"/>
          <w:szCs w:val="18"/>
        </w:rPr>
        <w:t xml:space="preserve">loten. </w:t>
      </w:r>
      <w:r w:rsidR="00B86753" w:rsidRPr="0043747E">
        <w:rPr>
          <w:rFonts w:ascii="Verdana" w:hAnsi="Verdana"/>
          <w:sz w:val="18"/>
          <w:szCs w:val="18"/>
        </w:rPr>
        <w:t>Voorts vereist artikel 117, vierde lid</w:t>
      </w:r>
      <w:r w:rsidRPr="0043747E">
        <w:rPr>
          <w:rFonts w:ascii="Verdana" w:hAnsi="Verdana"/>
          <w:sz w:val="18"/>
          <w:szCs w:val="18"/>
        </w:rPr>
        <w:t>,</w:t>
      </w:r>
      <w:r w:rsidR="00B86753" w:rsidRPr="0043747E">
        <w:rPr>
          <w:rFonts w:ascii="Verdana" w:hAnsi="Verdana"/>
          <w:sz w:val="18"/>
          <w:szCs w:val="18"/>
        </w:rPr>
        <w:t xml:space="preserve"> Grondwet, een afzonderlijke wettelijke rechtspositieregeling voor rechters. Tot </w:t>
      </w:r>
      <w:r w:rsidRPr="0043747E">
        <w:rPr>
          <w:rFonts w:ascii="Verdana" w:hAnsi="Verdana"/>
          <w:sz w:val="18"/>
          <w:szCs w:val="18"/>
        </w:rPr>
        <w:t xml:space="preserve">slot bepaalt </w:t>
      </w:r>
      <w:r w:rsidR="00C850BE">
        <w:rPr>
          <w:rFonts w:ascii="Verdana" w:hAnsi="Verdana"/>
          <w:sz w:val="18"/>
          <w:szCs w:val="18"/>
        </w:rPr>
        <w:t xml:space="preserve">artikel </w:t>
      </w:r>
      <w:r w:rsidRPr="0043747E">
        <w:rPr>
          <w:rFonts w:ascii="Verdana" w:hAnsi="Verdana"/>
          <w:sz w:val="18"/>
          <w:szCs w:val="18"/>
        </w:rPr>
        <w:t>116, vierde lid, Grondwet</w:t>
      </w:r>
      <w:r w:rsidR="00B86753" w:rsidRPr="0043747E">
        <w:rPr>
          <w:rFonts w:ascii="Verdana" w:hAnsi="Verdana"/>
          <w:sz w:val="18"/>
          <w:szCs w:val="18"/>
        </w:rPr>
        <w:t>, dat het</w:t>
      </w:r>
      <w:r w:rsidR="001A26DB">
        <w:rPr>
          <w:rFonts w:ascii="Verdana" w:hAnsi="Verdana"/>
          <w:sz w:val="18"/>
          <w:szCs w:val="18"/>
        </w:rPr>
        <w:t xml:space="preserve"> (administratief en tuchtrechte</w:t>
      </w:r>
      <w:r w:rsidR="00B86753" w:rsidRPr="0043747E">
        <w:rPr>
          <w:rFonts w:ascii="Verdana" w:hAnsi="Verdana"/>
          <w:sz w:val="18"/>
          <w:szCs w:val="18"/>
        </w:rPr>
        <w:t xml:space="preserve">lijk) toezicht op rechters een interne aangelegenheid van de rechterlijke macht is. </w:t>
      </w:r>
      <w:r w:rsidR="003779BF" w:rsidRPr="0043747E">
        <w:rPr>
          <w:rFonts w:ascii="Verdana" w:hAnsi="Verdana"/>
          <w:sz w:val="18"/>
          <w:szCs w:val="18"/>
        </w:rPr>
        <w:t xml:space="preserve">De </w:t>
      </w:r>
      <w:proofErr w:type="spellStart"/>
      <w:r w:rsidR="003779BF" w:rsidRPr="0043747E">
        <w:rPr>
          <w:rFonts w:ascii="Verdana" w:hAnsi="Verdana"/>
          <w:sz w:val="18"/>
          <w:szCs w:val="18"/>
        </w:rPr>
        <w:t>W</w:t>
      </w:r>
      <w:r w:rsidR="00DE60E0">
        <w:rPr>
          <w:rFonts w:ascii="Verdana" w:hAnsi="Verdana"/>
          <w:sz w:val="18"/>
          <w:szCs w:val="18"/>
        </w:rPr>
        <w:t>rra</w:t>
      </w:r>
      <w:proofErr w:type="spellEnd"/>
      <w:r w:rsidR="003779BF" w:rsidRPr="0043747E">
        <w:rPr>
          <w:rFonts w:ascii="Verdana" w:hAnsi="Verdana"/>
          <w:sz w:val="18"/>
          <w:szCs w:val="18"/>
        </w:rPr>
        <w:t xml:space="preserve"> bevat nadere voors</w:t>
      </w:r>
      <w:r w:rsidR="00EA50DE" w:rsidRPr="0043747E">
        <w:rPr>
          <w:rFonts w:ascii="Verdana" w:hAnsi="Verdana"/>
          <w:sz w:val="18"/>
          <w:szCs w:val="18"/>
        </w:rPr>
        <w:t>c</w:t>
      </w:r>
      <w:r w:rsidR="003779BF" w:rsidRPr="0043747E">
        <w:rPr>
          <w:rFonts w:ascii="Verdana" w:hAnsi="Verdana"/>
          <w:sz w:val="18"/>
          <w:szCs w:val="18"/>
        </w:rPr>
        <w:t>h</w:t>
      </w:r>
      <w:r w:rsidR="00EA50DE" w:rsidRPr="0043747E">
        <w:rPr>
          <w:rFonts w:ascii="Verdana" w:hAnsi="Verdana"/>
          <w:sz w:val="18"/>
          <w:szCs w:val="18"/>
        </w:rPr>
        <w:t>rifte</w:t>
      </w:r>
      <w:r w:rsidR="003779BF" w:rsidRPr="0043747E">
        <w:rPr>
          <w:rFonts w:ascii="Verdana" w:hAnsi="Verdana"/>
          <w:sz w:val="18"/>
          <w:szCs w:val="18"/>
        </w:rPr>
        <w:t>n over benoe</w:t>
      </w:r>
      <w:r w:rsidR="00EA50DE" w:rsidRPr="0043747E">
        <w:rPr>
          <w:rFonts w:ascii="Verdana" w:hAnsi="Verdana"/>
          <w:sz w:val="18"/>
          <w:szCs w:val="18"/>
        </w:rPr>
        <w:t>m</w:t>
      </w:r>
      <w:r w:rsidR="003779BF" w:rsidRPr="0043747E">
        <w:rPr>
          <w:rFonts w:ascii="Verdana" w:hAnsi="Verdana"/>
          <w:sz w:val="18"/>
          <w:szCs w:val="18"/>
        </w:rPr>
        <w:t>ing, schor</w:t>
      </w:r>
      <w:r w:rsidR="00EA50DE" w:rsidRPr="0043747E">
        <w:rPr>
          <w:rFonts w:ascii="Verdana" w:hAnsi="Verdana"/>
          <w:sz w:val="18"/>
          <w:szCs w:val="18"/>
        </w:rPr>
        <w:t>s</w:t>
      </w:r>
      <w:r w:rsidR="003779BF" w:rsidRPr="0043747E">
        <w:rPr>
          <w:rFonts w:ascii="Verdana" w:hAnsi="Verdana"/>
          <w:sz w:val="18"/>
          <w:szCs w:val="18"/>
        </w:rPr>
        <w:t>ing en ont</w:t>
      </w:r>
      <w:r w:rsidR="00EA50DE" w:rsidRPr="0043747E">
        <w:rPr>
          <w:rFonts w:ascii="Verdana" w:hAnsi="Verdana"/>
          <w:sz w:val="18"/>
          <w:szCs w:val="18"/>
        </w:rPr>
        <w:t>s</w:t>
      </w:r>
      <w:r w:rsidR="003779BF" w:rsidRPr="0043747E">
        <w:rPr>
          <w:rFonts w:ascii="Verdana" w:hAnsi="Verdana"/>
          <w:sz w:val="18"/>
          <w:szCs w:val="18"/>
        </w:rPr>
        <w:t>lag alsmede in</w:t>
      </w:r>
      <w:r w:rsidR="00EA50DE" w:rsidRPr="0043747E">
        <w:rPr>
          <w:rFonts w:ascii="Verdana" w:hAnsi="Verdana"/>
          <w:sz w:val="18"/>
          <w:szCs w:val="18"/>
        </w:rPr>
        <w:t>z</w:t>
      </w:r>
      <w:r w:rsidR="003779BF" w:rsidRPr="0043747E">
        <w:rPr>
          <w:rFonts w:ascii="Verdana" w:hAnsi="Verdana"/>
          <w:sz w:val="18"/>
          <w:szCs w:val="18"/>
        </w:rPr>
        <w:t>ake</w:t>
      </w:r>
      <w:r w:rsidR="00EA50DE" w:rsidRPr="0043747E">
        <w:rPr>
          <w:rFonts w:ascii="Verdana" w:hAnsi="Verdana"/>
          <w:sz w:val="18"/>
          <w:szCs w:val="18"/>
        </w:rPr>
        <w:t xml:space="preserve"> </w:t>
      </w:r>
      <w:r w:rsidR="003779BF" w:rsidRPr="0043747E">
        <w:rPr>
          <w:rFonts w:ascii="Verdana" w:hAnsi="Verdana"/>
          <w:sz w:val="18"/>
          <w:szCs w:val="18"/>
        </w:rPr>
        <w:t>het (</w:t>
      </w:r>
      <w:r w:rsidR="001A26DB">
        <w:rPr>
          <w:rFonts w:ascii="Verdana" w:hAnsi="Verdana"/>
          <w:sz w:val="18"/>
          <w:szCs w:val="18"/>
        </w:rPr>
        <w:t>administratief en tuchtrechte</w:t>
      </w:r>
      <w:r w:rsidR="00EA50DE" w:rsidRPr="0043747E">
        <w:rPr>
          <w:rFonts w:ascii="Verdana" w:hAnsi="Verdana"/>
          <w:sz w:val="18"/>
          <w:szCs w:val="18"/>
        </w:rPr>
        <w:t xml:space="preserve">lijke) toezicht op rechters. </w:t>
      </w:r>
    </w:p>
    <w:p w:rsidR="0001692F" w:rsidRDefault="0001692F" w:rsidP="0043747E">
      <w:pPr>
        <w:pStyle w:val="Geenafstand"/>
        <w:spacing w:line="280" w:lineRule="atLeast"/>
        <w:rPr>
          <w:rFonts w:ascii="Verdana" w:hAnsi="Verdana"/>
          <w:sz w:val="18"/>
          <w:szCs w:val="18"/>
        </w:rPr>
      </w:pPr>
    </w:p>
    <w:p w:rsidR="00B86753" w:rsidRPr="00570D3F" w:rsidRDefault="00570D3F" w:rsidP="0043747E">
      <w:pPr>
        <w:pStyle w:val="Geenafstand"/>
        <w:spacing w:line="280" w:lineRule="atLeast"/>
        <w:rPr>
          <w:rFonts w:ascii="Verdana" w:hAnsi="Verdana"/>
          <w:b/>
          <w:sz w:val="18"/>
          <w:szCs w:val="18"/>
        </w:rPr>
      </w:pPr>
      <w:r>
        <w:rPr>
          <w:rFonts w:ascii="Verdana" w:hAnsi="Verdana"/>
          <w:sz w:val="18"/>
          <w:szCs w:val="18"/>
        </w:rPr>
        <w:t>Deze (grond)</w:t>
      </w:r>
      <w:r w:rsidR="00EA50DE" w:rsidRPr="0043747E">
        <w:rPr>
          <w:rFonts w:ascii="Verdana" w:hAnsi="Verdana"/>
          <w:sz w:val="18"/>
          <w:szCs w:val="18"/>
        </w:rPr>
        <w:t>wettelijke onafhankelijkh</w:t>
      </w:r>
      <w:r>
        <w:rPr>
          <w:rFonts w:ascii="Verdana" w:hAnsi="Verdana"/>
          <w:sz w:val="18"/>
          <w:szCs w:val="18"/>
        </w:rPr>
        <w:t>eidswaarborgen gelden voor</w:t>
      </w:r>
      <w:r w:rsidR="00EA50DE" w:rsidRPr="0043747E">
        <w:rPr>
          <w:rFonts w:ascii="Verdana" w:hAnsi="Verdana"/>
          <w:sz w:val="18"/>
          <w:szCs w:val="18"/>
        </w:rPr>
        <w:t xml:space="preserve"> de leden van de rechterlijke macht, met rechtspraak belast. </w:t>
      </w:r>
      <w:r w:rsidR="00A4000B">
        <w:rPr>
          <w:rFonts w:ascii="Verdana" w:hAnsi="Verdana"/>
          <w:sz w:val="18"/>
          <w:szCs w:val="18"/>
        </w:rPr>
        <w:t>D</w:t>
      </w:r>
      <w:r w:rsidR="00EA50DE" w:rsidRPr="0043747E">
        <w:rPr>
          <w:rFonts w:ascii="Verdana" w:hAnsi="Verdana"/>
          <w:sz w:val="18"/>
          <w:szCs w:val="18"/>
        </w:rPr>
        <w:t xml:space="preserve">e Afdeling bestuursrechtspraak van de Raad van State, de Centrale Raad van Beroep en het College van Beroep voor het </w:t>
      </w:r>
      <w:r w:rsidR="008F275A">
        <w:rPr>
          <w:rFonts w:ascii="Verdana" w:hAnsi="Verdana"/>
          <w:sz w:val="18"/>
          <w:szCs w:val="18"/>
        </w:rPr>
        <w:t>b</w:t>
      </w:r>
      <w:r w:rsidR="00EA50DE" w:rsidRPr="0043747E">
        <w:rPr>
          <w:rFonts w:ascii="Verdana" w:hAnsi="Verdana"/>
          <w:sz w:val="18"/>
          <w:szCs w:val="18"/>
        </w:rPr>
        <w:t>edrijfsleven</w:t>
      </w:r>
      <w:r w:rsidR="00A4000B">
        <w:rPr>
          <w:rFonts w:ascii="Verdana" w:hAnsi="Verdana"/>
          <w:sz w:val="18"/>
          <w:szCs w:val="18"/>
        </w:rPr>
        <w:t xml:space="preserve"> maken geen deel uit van de rechterlijke macht</w:t>
      </w:r>
      <w:r w:rsidR="004C2A14">
        <w:rPr>
          <w:rFonts w:ascii="Verdana" w:hAnsi="Verdana"/>
          <w:sz w:val="18"/>
          <w:szCs w:val="18"/>
        </w:rPr>
        <w:t xml:space="preserve"> in de zin van de Wet op de rechterlijke organisatie (Wet RO)</w:t>
      </w:r>
      <w:r w:rsidR="00EA50DE" w:rsidRPr="0043747E">
        <w:rPr>
          <w:rFonts w:ascii="Verdana" w:hAnsi="Verdana"/>
          <w:sz w:val="18"/>
          <w:szCs w:val="18"/>
        </w:rPr>
        <w:t xml:space="preserve">. </w:t>
      </w:r>
      <w:r w:rsidR="00A4000B" w:rsidRPr="00A4000B">
        <w:rPr>
          <w:rFonts w:ascii="Verdana" w:hAnsi="Verdana"/>
          <w:sz w:val="18"/>
          <w:szCs w:val="18"/>
        </w:rPr>
        <w:t xml:space="preserve">De persoonlijke </w:t>
      </w:r>
      <w:r w:rsidRPr="00A4000B">
        <w:rPr>
          <w:rFonts w:ascii="Verdana" w:hAnsi="Verdana"/>
          <w:sz w:val="18"/>
          <w:szCs w:val="18"/>
        </w:rPr>
        <w:t xml:space="preserve">onafhankelijkheid </w:t>
      </w:r>
      <w:r w:rsidR="00A4000B" w:rsidRPr="00A4000B">
        <w:rPr>
          <w:rFonts w:ascii="Verdana" w:hAnsi="Verdana"/>
          <w:sz w:val="18"/>
          <w:szCs w:val="18"/>
        </w:rPr>
        <w:t xml:space="preserve">van hun leden </w:t>
      </w:r>
      <w:r w:rsidRPr="00A4000B">
        <w:rPr>
          <w:rFonts w:ascii="Verdana" w:hAnsi="Verdana"/>
          <w:sz w:val="18"/>
          <w:szCs w:val="18"/>
        </w:rPr>
        <w:t xml:space="preserve">is </w:t>
      </w:r>
      <w:r w:rsidR="00A4000B" w:rsidRPr="00A4000B">
        <w:rPr>
          <w:rFonts w:ascii="Verdana" w:hAnsi="Verdana"/>
          <w:sz w:val="18"/>
          <w:szCs w:val="18"/>
        </w:rPr>
        <w:t xml:space="preserve">op vergelijkbare wijze als voor de </w:t>
      </w:r>
      <w:r w:rsidR="00A4000B">
        <w:rPr>
          <w:rFonts w:ascii="Verdana" w:hAnsi="Verdana"/>
          <w:sz w:val="18"/>
          <w:szCs w:val="18"/>
        </w:rPr>
        <w:t xml:space="preserve">leden van </w:t>
      </w:r>
      <w:r w:rsidR="00A4000B" w:rsidRPr="00A4000B">
        <w:rPr>
          <w:rFonts w:ascii="Verdana" w:hAnsi="Verdana"/>
          <w:sz w:val="18"/>
          <w:szCs w:val="18"/>
        </w:rPr>
        <w:t xml:space="preserve">gerechten die wel tot de rechterlijke macht behoren </w:t>
      </w:r>
      <w:r w:rsidRPr="00A4000B">
        <w:rPr>
          <w:rFonts w:ascii="Verdana" w:hAnsi="Verdana"/>
          <w:sz w:val="18"/>
          <w:szCs w:val="18"/>
        </w:rPr>
        <w:t>in afzonderlijke wetten geregeld.</w:t>
      </w:r>
      <w:r w:rsidR="00C850BE">
        <w:rPr>
          <w:rFonts w:ascii="Verdana" w:hAnsi="Verdana"/>
          <w:sz w:val="18"/>
          <w:szCs w:val="18"/>
        </w:rPr>
        <w:t xml:space="preserve"> Materieel gelden derhalve dezelfde onafhankelijkheidswaarborgen voor rechters die lid zijn van deze colleges als voor leden van de rechterlijke macht.</w:t>
      </w:r>
    </w:p>
    <w:p w:rsidR="0001692F" w:rsidRDefault="0001692F" w:rsidP="0043747E">
      <w:pPr>
        <w:pStyle w:val="Geenafstand"/>
        <w:spacing w:line="280" w:lineRule="atLeast"/>
        <w:rPr>
          <w:rFonts w:ascii="Verdana" w:hAnsi="Verdana"/>
          <w:sz w:val="18"/>
          <w:szCs w:val="18"/>
        </w:rPr>
      </w:pPr>
    </w:p>
    <w:p w:rsidR="00867650" w:rsidRDefault="00EA50DE" w:rsidP="0043747E">
      <w:pPr>
        <w:pStyle w:val="Geenafstand"/>
        <w:spacing w:line="280" w:lineRule="atLeast"/>
        <w:rPr>
          <w:rFonts w:ascii="Verdana" w:hAnsi="Verdana"/>
          <w:sz w:val="18"/>
          <w:szCs w:val="18"/>
        </w:rPr>
      </w:pPr>
      <w:r w:rsidRPr="0043747E">
        <w:rPr>
          <w:rFonts w:ascii="Verdana" w:hAnsi="Verdana"/>
          <w:sz w:val="18"/>
          <w:szCs w:val="18"/>
        </w:rPr>
        <w:t>Artikel 6 EVRM garandeert eveneens de persoonlijke onafhankelijkheid van rechters, maar deze bescherming biedt</w:t>
      </w:r>
      <w:r w:rsidR="00EC0D0E" w:rsidRPr="0043747E">
        <w:rPr>
          <w:rFonts w:ascii="Verdana" w:hAnsi="Verdana"/>
          <w:sz w:val="18"/>
          <w:szCs w:val="18"/>
        </w:rPr>
        <w:t>, blijkens vaste jurisprudentie van het E</w:t>
      </w:r>
      <w:r w:rsidR="00C850BE">
        <w:rPr>
          <w:rFonts w:ascii="Verdana" w:hAnsi="Verdana"/>
          <w:sz w:val="18"/>
          <w:szCs w:val="18"/>
        </w:rPr>
        <w:t>HRM</w:t>
      </w:r>
      <w:r w:rsidR="00EC0D0E" w:rsidRPr="0043747E">
        <w:rPr>
          <w:rFonts w:ascii="Verdana" w:hAnsi="Verdana"/>
          <w:sz w:val="18"/>
          <w:szCs w:val="18"/>
        </w:rPr>
        <w:t>,</w:t>
      </w:r>
      <w:r w:rsidRPr="0043747E">
        <w:rPr>
          <w:rFonts w:ascii="Verdana" w:hAnsi="Verdana"/>
          <w:sz w:val="18"/>
          <w:szCs w:val="18"/>
        </w:rPr>
        <w:t xml:space="preserve"> minder waarborgen dan de Grondwet.</w:t>
      </w:r>
      <w:r w:rsidR="00EC0D0E" w:rsidRPr="0043747E">
        <w:rPr>
          <w:rStyle w:val="Voetnootmarkering"/>
          <w:rFonts w:ascii="Verdana" w:hAnsi="Verdana"/>
          <w:sz w:val="18"/>
          <w:szCs w:val="18"/>
        </w:rPr>
        <w:footnoteReference w:id="71"/>
      </w:r>
      <w:r w:rsidR="00CE73A6" w:rsidRPr="0043747E">
        <w:rPr>
          <w:rFonts w:ascii="Verdana" w:hAnsi="Verdana"/>
          <w:sz w:val="18"/>
          <w:szCs w:val="18"/>
        </w:rPr>
        <w:t xml:space="preserve"> Dat ligt anders met betrekking tot de zakelijke onafhankelijkheid.</w:t>
      </w:r>
      <w:r w:rsidR="0001692F">
        <w:rPr>
          <w:rFonts w:ascii="Verdana" w:hAnsi="Verdana"/>
          <w:sz w:val="18"/>
          <w:szCs w:val="18"/>
        </w:rPr>
        <w:t xml:space="preserve"> </w:t>
      </w:r>
      <w:r w:rsidR="00CE73A6" w:rsidRPr="0043747E">
        <w:rPr>
          <w:rFonts w:ascii="Verdana" w:hAnsi="Verdana"/>
          <w:sz w:val="18"/>
          <w:szCs w:val="18"/>
        </w:rPr>
        <w:t>Onder de zakelijke onafhankelijkheid wordt</w:t>
      </w:r>
      <w:r w:rsidR="00E97B23">
        <w:rPr>
          <w:rFonts w:ascii="Verdana" w:hAnsi="Verdana"/>
          <w:sz w:val="18"/>
          <w:szCs w:val="18"/>
        </w:rPr>
        <w:t xml:space="preserve"> voornamelijk en</w:t>
      </w:r>
      <w:r w:rsidR="00CE73A6" w:rsidRPr="0043747E">
        <w:rPr>
          <w:rFonts w:ascii="Verdana" w:hAnsi="Verdana"/>
          <w:sz w:val="18"/>
          <w:szCs w:val="18"/>
        </w:rPr>
        <w:t xml:space="preserve"> </w:t>
      </w:r>
      <w:r w:rsidR="005D1E8B" w:rsidRPr="0043747E">
        <w:rPr>
          <w:rFonts w:ascii="Verdana" w:hAnsi="Verdana"/>
          <w:sz w:val="18"/>
          <w:szCs w:val="18"/>
        </w:rPr>
        <w:t xml:space="preserve">in essentie </w:t>
      </w:r>
      <w:r w:rsidR="00CE73A6" w:rsidRPr="0043747E">
        <w:rPr>
          <w:rFonts w:ascii="Verdana" w:hAnsi="Verdana"/>
          <w:sz w:val="18"/>
          <w:szCs w:val="18"/>
        </w:rPr>
        <w:t xml:space="preserve">verstaan de beslissingsvrijheid van de rechter </w:t>
      </w:r>
      <w:r w:rsidR="00A4000B">
        <w:rPr>
          <w:rFonts w:ascii="Verdana" w:hAnsi="Verdana"/>
          <w:sz w:val="18"/>
          <w:szCs w:val="18"/>
        </w:rPr>
        <w:t xml:space="preserve">bij de uitoefening van zijn functie </w:t>
      </w:r>
      <w:r w:rsidR="00CE73A6" w:rsidRPr="0043747E">
        <w:rPr>
          <w:rFonts w:ascii="Verdana" w:hAnsi="Verdana"/>
          <w:sz w:val="18"/>
          <w:szCs w:val="18"/>
        </w:rPr>
        <w:t xml:space="preserve">tegenover de beide andere staatsmachten. Dit aspect van de rechterlijke onafhankelijkheid </w:t>
      </w:r>
      <w:r w:rsidR="005D54B2">
        <w:rPr>
          <w:rFonts w:ascii="Verdana" w:hAnsi="Verdana"/>
          <w:sz w:val="18"/>
          <w:szCs w:val="18"/>
        </w:rPr>
        <w:t xml:space="preserve">is </w:t>
      </w:r>
      <w:r w:rsidR="00CE73A6" w:rsidRPr="0043747E">
        <w:rPr>
          <w:rFonts w:ascii="Verdana" w:hAnsi="Verdana"/>
          <w:sz w:val="18"/>
          <w:szCs w:val="18"/>
        </w:rPr>
        <w:t xml:space="preserve">niet </w:t>
      </w:r>
      <w:r w:rsidR="005D54B2">
        <w:rPr>
          <w:rFonts w:ascii="Verdana" w:hAnsi="Verdana"/>
          <w:sz w:val="18"/>
          <w:szCs w:val="18"/>
        </w:rPr>
        <w:t xml:space="preserve">in de Grondwet </w:t>
      </w:r>
      <w:r w:rsidR="00CE73A6" w:rsidRPr="0043747E">
        <w:rPr>
          <w:rFonts w:ascii="Verdana" w:hAnsi="Verdana"/>
          <w:sz w:val="18"/>
          <w:szCs w:val="18"/>
        </w:rPr>
        <w:t xml:space="preserve">verankerd. </w:t>
      </w:r>
      <w:r w:rsidR="005D1E8B" w:rsidRPr="0043747E">
        <w:rPr>
          <w:rFonts w:ascii="Verdana" w:hAnsi="Verdana"/>
          <w:sz w:val="18"/>
          <w:szCs w:val="18"/>
        </w:rPr>
        <w:t>Het</w:t>
      </w:r>
      <w:r w:rsidR="00CE73A6" w:rsidRPr="0043747E">
        <w:rPr>
          <w:rFonts w:ascii="Verdana" w:hAnsi="Verdana"/>
          <w:sz w:val="18"/>
          <w:szCs w:val="18"/>
        </w:rPr>
        <w:t xml:space="preserve"> is wel af te leiden </w:t>
      </w:r>
      <w:r w:rsidR="005D1E8B" w:rsidRPr="0043747E">
        <w:rPr>
          <w:rFonts w:ascii="Verdana" w:hAnsi="Verdana"/>
          <w:sz w:val="18"/>
          <w:szCs w:val="18"/>
        </w:rPr>
        <w:t>uit</w:t>
      </w:r>
      <w:r w:rsidR="00CE73A6" w:rsidRPr="0043747E">
        <w:rPr>
          <w:rFonts w:ascii="Verdana" w:hAnsi="Verdana"/>
          <w:sz w:val="18"/>
          <w:szCs w:val="18"/>
        </w:rPr>
        <w:t xml:space="preserve"> artikel 6 EVRM en uit een aantal voorschriften van de Wet RO. </w:t>
      </w:r>
      <w:r w:rsidR="005D1E8B" w:rsidRPr="0043747E">
        <w:rPr>
          <w:rFonts w:ascii="Verdana" w:hAnsi="Verdana"/>
          <w:sz w:val="18"/>
          <w:szCs w:val="18"/>
        </w:rPr>
        <w:t xml:space="preserve">De bepalingen uit de Wet RO zijn gericht tot </w:t>
      </w:r>
      <w:r w:rsidR="00175DE1" w:rsidRPr="0043747E">
        <w:rPr>
          <w:rFonts w:ascii="Verdana" w:hAnsi="Verdana"/>
          <w:sz w:val="18"/>
          <w:szCs w:val="18"/>
        </w:rPr>
        <w:t>bepaalde</w:t>
      </w:r>
      <w:r w:rsidR="00A4000B">
        <w:rPr>
          <w:rFonts w:ascii="Verdana" w:hAnsi="Verdana"/>
          <w:sz w:val="18"/>
          <w:szCs w:val="18"/>
        </w:rPr>
        <w:t xml:space="preserve"> bestuurlijke</w:t>
      </w:r>
      <w:r w:rsidR="005D1E8B" w:rsidRPr="0043747E">
        <w:rPr>
          <w:rFonts w:ascii="Verdana" w:hAnsi="Verdana"/>
          <w:sz w:val="18"/>
          <w:szCs w:val="18"/>
        </w:rPr>
        <w:t xml:space="preserve"> ambten van de recht</w:t>
      </w:r>
      <w:r w:rsidR="00175DE1" w:rsidRPr="0043747E">
        <w:rPr>
          <w:rFonts w:ascii="Verdana" w:hAnsi="Verdana"/>
          <w:sz w:val="18"/>
          <w:szCs w:val="18"/>
        </w:rPr>
        <w:t>e</w:t>
      </w:r>
      <w:r w:rsidR="005D1E8B" w:rsidRPr="0043747E">
        <w:rPr>
          <w:rFonts w:ascii="Verdana" w:hAnsi="Verdana"/>
          <w:sz w:val="18"/>
          <w:szCs w:val="18"/>
        </w:rPr>
        <w:t>rlij</w:t>
      </w:r>
      <w:r w:rsidR="00175DE1" w:rsidRPr="0043747E">
        <w:rPr>
          <w:rFonts w:ascii="Verdana" w:hAnsi="Verdana"/>
          <w:sz w:val="18"/>
          <w:szCs w:val="18"/>
        </w:rPr>
        <w:t xml:space="preserve">ke </w:t>
      </w:r>
      <w:r w:rsidR="005D1E8B" w:rsidRPr="0043747E">
        <w:rPr>
          <w:rFonts w:ascii="Verdana" w:hAnsi="Verdana"/>
          <w:sz w:val="18"/>
          <w:szCs w:val="18"/>
        </w:rPr>
        <w:t>organ</w:t>
      </w:r>
      <w:r w:rsidR="00175DE1" w:rsidRPr="0043747E">
        <w:rPr>
          <w:rFonts w:ascii="Verdana" w:hAnsi="Verdana"/>
          <w:sz w:val="18"/>
          <w:szCs w:val="18"/>
        </w:rPr>
        <w:t>isatie</w:t>
      </w:r>
      <w:r w:rsidR="005D1E8B" w:rsidRPr="0043747E">
        <w:rPr>
          <w:rFonts w:ascii="Verdana" w:hAnsi="Verdana"/>
          <w:sz w:val="18"/>
          <w:szCs w:val="18"/>
        </w:rPr>
        <w:t>, in het bi</w:t>
      </w:r>
      <w:r w:rsidR="00175DE1" w:rsidRPr="0043747E">
        <w:rPr>
          <w:rFonts w:ascii="Verdana" w:hAnsi="Verdana"/>
          <w:sz w:val="18"/>
          <w:szCs w:val="18"/>
        </w:rPr>
        <w:t>jz</w:t>
      </w:r>
      <w:r w:rsidR="005D1E8B" w:rsidRPr="0043747E">
        <w:rPr>
          <w:rFonts w:ascii="Verdana" w:hAnsi="Verdana"/>
          <w:sz w:val="18"/>
          <w:szCs w:val="18"/>
        </w:rPr>
        <w:t>on</w:t>
      </w:r>
      <w:r w:rsidR="00175DE1" w:rsidRPr="0043747E">
        <w:rPr>
          <w:rFonts w:ascii="Verdana" w:hAnsi="Verdana"/>
          <w:sz w:val="18"/>
          <w:szCs w:val="18"/>
        </w:rPr>
        <w:t>d</w:t>
      </w:r>
      <w:r w:rsidR="005D1E8B" w:rsidRPr="0043747E">
        <w:rPr>
          <w:rFonts w:ascii="Verdana" w:hAnsi="Verdana"/>
          <w:sz w:val="18"/>
          <w:szCs w:val="18"/>
        </w:rPr>
        <w:t>er het bestuur van</w:t>
      </w:r>
      <w:r w:rsidR="00175DE1" w:rsidRPr="0043747E">
        <w:rPr>
          <w:rFonts w:ascii="Verdana" w:hAnsi="Verdana"/>
          <w:sz w:val="18"/>
          <w:szCs w:val="18"/>
        </w:rPr>
        <w:t xml:space="preserve"> een gerecht (</w:t>
      </w:r>
      <w:r w:rsidR="005C0E0E">
        <w:rPr>
          <w:rFonts w:ascii="Verdana" w:hAnsi="Verdana"/>
          <w:sz w:val="18"/>
          <w:szCs w:val="18"/>
        </w:rPr>
        <w:t>artikel</w:t>
      </w:r>
      <w:r w:rsidR="008F275A">
        <w:rPr>
          <w:rFonts w:ascii="Verdana" w:hAnsi="Verdana"/>
          <w:sz w:val="18"/>
          <w:szCs w:val="18"/>
        </w:rPr>
        <w:t>en</w:t>
      </w:r>
      <w:r w:rsidR="00175DE1" w:rsidRPr="0043747E">
        <w:rPr>
          <w:rFonts w:ascii="Verdana" w:hAnsi="Verdana"/>
          <w:sz w:val="18"/>
          <w:szCs w:val="18"/>
        </w:rPr>
        <w:t xml:space="preserve"> 23 en 24 Wet RO), de Raad voor de rechtspraak (</w:t>
      </w:r>
      <w:r w:rsidR="005C0E0E">
        <w:rPr>
          <w:rFonts w:ascii="Verdana" w:hAnsi="Verdana"/>
          <w:sz w:val="18"/>
          <w:szCs w:val="18"/>
        </w:rPr>
        <w:t>artikel</w:t>
      </w:r>
      <w:r w:rsidR="00175DE1" w:rsidRPr="0043747E">
        <w:rPr>
          <w:rFonts w:ascii="Verdana" w:hAnsi="Verdana"/>
          <w:sz w:val="18"/>
          <w:szCs w:val="18"/>
        </w:rPr>
        <w:t xml:space="preserve"> 96 Wet RO) en de minister van Veiligheid en Justitie (</w:t>
      </w:r>
      <w:r w:rsidR="005C0E0E">
        <w:rPr>
          <w:rFonts w:ascii="Verdana" w:hAnsi="Verdana"/>
          <w:sz w:val="18"/>
          <w:szCs w:val="18"/>
        </w:rPr>
        <w:t>artikel</w:t>
      </w:r>
      <w:r w:rsidR="00175DE1" w:rsidRPr="0043747E">
        <w:rPr>
          <w:rFonts w:ascii="Verdana" w:hAnsi="Verdana"/>
          <w:sz w:val="18"/>
          <w:szCs w:val="18"/>
        </w:rPr>
        <w:t xml:space="preserve"> 109 Wet RO).</w:t>
      </w:r>
      <w:r w:rsidR="005D1E8B" w:rsidRPr="0043747E">
        <w:rPr>
          <w:rFonts w:ascii="Verdana" w:hAnsi="Verdana"/>
          <w:sz w:val="18"/>
          <w:szCs w:val="18"/>
        </w:rPr>
        <w:t xml:space="preserve"> </w:t>
      </w:r>
      <w:r w:rsidR="00C850BE">
        <w:rPr>
          <w:rFonts w:ascii="Verdana" w:hAnsi="Verdana"/>
          <w:sz w:val="18"/>
          <w:szCs w:val="18"/>
        </w:rPr>
        <w:t xml:space="preserve">Deze bepalingen behelzen </w:t>
      </w:r>
      <w:r w:rsidR="005F5C9F" w:rsidRPr="0043747E">
        <w:rPr>
          <w:rFonts w:ascii="Verdana" w:hAnsi="Verdana"/>
          <w:sz w:val="18"/>
          <w:szCs w:val="18"/>
        </w:rPr>
        <w:t>een verbod voor deze ambten om zich te begeven op het terrein van de uitoefening van rechtspraakbevoegdheden van de rechter (de zogenoemde onafhankelijkheidsexcepties).</w:t>
      </w:r>
      <w:r w:rsidR="00CE73A6" w:rsidRPr="0043747E">
        <w:rPr>
          <w:rFonts w:ascii="Verdana" w:hAnsi="Verdana"/>
          <w:sz w:val="18"/>
          <w:szCs w:val="18"/>
        </w:rPr>
        <w:t xml:space="preserve"> </w:t>
      </w:r>
    </w:p>
    <w:p w:rsidR="00867650" w:rsidRDefault="00867650" w:rsidP="0043747E">
      <w:pPr>
        <w:pStyle w:val="Geenafstand"/>
        <w:spacing w:line="280" w:lineRule="atLeast"/>
        <w:rPr>
          <w:rFonts w:ascii="Verdana" w:hAnsi="Verdana"/>
          <w:sz w:val="18"/>
          <w:szCs w:val="18"/>
        </w:rPr>
      </w:pPr>
    </w:p>
    <w:p w:rsidR="00CE73A6" w:rsidRPr="0043747E" w:rsidRDefault="007C1190" w:rsidP="0043747E">
      <w:pPr>
        <w:pStyle w:val="Geenafstand"/>
        <w:spacing w:line="280" w:lineRule="atLeast"/>
        <w:rPr>
          <w:rFonts w:ascii="Verdana" w:hAnsi="Verdana"/>
          <w:sz w:val="18"/>
          <w:szCs w:val="18"/>
        </w:rPr>
      </w:pPr>
      <w:r>
        <w:rPr>
          <w:rFonts w:ascii="Verdana" w:hAnsi="Verdana"/>
          <w:sz w:val="18"/>
          <w:szCs w:val="18"/>
        </w:rPr>
        <w:t xml:space="preserve">De Raad voor de rechtspraak </w:t>
      </w:r>
      <w:r w:rsidR="001A2D28">
        <w:rPr>
          <w:rFonts w:ascii="Verdana" w:hAnsi="Verdana"/>
          <w:sz w:val="18"/>
          <w:szCs w:val="18"/>
        </w:rPr>
        <w:t>vraag</w:t>
      </w:r>
      <w:r w:rsidR="000E0A50">
        <w:rPr>
          <w:rFonts w:ascii="Verdana" w:hAnsi="Verdana"/>
          <w:sz w:val="18"/>
          <w:szCs w:val="18"/>
        </w:rPr>
        <w:t xml:space="preserve">t </w:t>
      </w:r>
      <w:r w:rsidR="00867650">
        <w:rPr>
          <w:rFonts w:ascii="Verdana" w:hAnsi="Verdana"/>
          <w:sz w:val="18"/>
          <w:szCs w:val="18"/>
        </w:rPr>
        <w:t>in aanvulling op</w:t>
      </w:r>
      <w:r w:rsidR="00F7634B">
        <w:rPr>
          <w:rFonts w:ascii="Verdana" w:hAnsi="Verdana"/>
          <w:sz w:val="18"/>
          <w:szCs w:val="18"/>
        </w:rPr>
        <w:t xml:space="preserve"> deze elementen van onafhankelijkheid</w:t>
      </w:r>
      <w:r w:rsidR="00867650">
        <w:rPr>
          <w:rFonts w:ascii="Verdana" w:hAnsi="Verdana"/>
          <w:sz w:val="18"/>
          <w:szCs w:val="18"/>
        </w:rPr>
        <w:t xml:space="preserve"> </w:t>
      </w:r>
      <w:r w:rsidR="000E0A50">
        <w:rPr>
          <w:rFonts w:ascii="Verdana" w:hAnsi="Verdana"/>
          <w:sz w:val="18"/>
          <w:szCs w:val="18"/>
        </w:rPr>
        <w:t xml:space="preserve">in zijn advies </w:t>
      </w:r>
      <w:r w:rsidR="00867650">
        <w:rPr>
          <w:rFonts w:ascii="Verdana" w:hAnsi="Verdana"/>
          <w:sz w:val="18"/>
          <w:szCs w:val="18"/>
        </w:rPr>
        <w:t>aa</w:t>
      </w:r>
      <w:r w:rsidR="001A2D28">
        <w:rPr>
          <w:rFonts w:ascii="Verdana" w:hAnsi="Verdana"/>
          <w:sz w:val="18"/>
          <w:szCs w:val="18"/>
        </w:rPr>
        <w:t xml:space="preserve">ndacht </w:t>
      </w:r>
      <w:r w:rsidR="00867650">
        <w:rPr>
          <w:rFonts w:ascii="Verdana" w:hAnsi="Verdana"/>
          <w:sz w:val="18"/>
          <w:szCs w:val="18"/>
        </w:rPr>
        <w:t xml:space="preserve">voor </w:t>
      </w:r>
      <w:r>
        <w:rPr>
          <w:rFonts w:ascii="Verdana" w:hAnsi="Verdana"/>
          <w:sz w:val="18"/>
          <w:szCs w:val="18"/>
        </w:rPr>
        <w:t>de noodzakelijke ona</w:t>
      </w:r>
      <w:r w:rsidR="000E0A50">
        <w:rPr>
          <w:rFonts w:ascii="Verdana" w:hAnsi="Verdana"/>
          <w:sz w:val="18"/>
          <w:szCs w:val="18"/>
        </w:rPr>
        <w:t>fhankelijkheid van de individue</w:t>
      </w:r>
      <w:r>
        <w:rPr>
          <w:rFonts w:ascii="Verdana" w:hAnsi="Verdana"/>
          <w:sz w:val="18"/>
          <w:szCs w:val="18"/>
        </w:rPr>
        <w:t>l</w:t>
      </w:r>
      <w:r w:rsidR="000E0A50">
        <w:rPr>
          <w:rFonts w:ascii="Verdana" w:hAnsi="Verdana"/>
          <w:sz w:val="18"/>
          <w:szCs w:val="18"/>
        </w:rPr>
        <w:t>e</w:t>
      </w:r>
      <w:r>
        <w:rPr>
          <w:rFonts w:ascii="Verdana" w:hAnsi="Verdana"/>
          <w:sz w:val="18"/>
          <w:szCs w:val="18"/>
        </w:rPr>
        <w:t xml:space="preserve"> rechter in zijn</w:t>
      </w:r>
      <w:r w:rsidR="00867650">
        <w:rPr>
          <w:rFonts w:ascii="Verdana" w:hAnsi="Verdana"/>
          <w:sz w:val="18"/>
          <w:szCs w:val="18"/>
        </w:rPr>
        <w:t xml:space="preserve"> eigen organisatie</w:t>
      </w:r>
      <w:r w:rsidR="004F47A7">
        <w:rPr>
          <w:rFonts w:ascii="Verdana" w:hAnsi="Verdana"/>
          <w:sz w:val="18"/>
          <w:szCs w:val="18"/>
        </w:rPr>
        <w:t xml:space="preserve">. De </w:t>
      </w:r>
      <w:r w:rsidR="0028560A">
        <w:rPr>
          <w:rFonts w:ascii="Verdana" w:hAnsi="Verdana"/>
          <w:sz w:val="18"/>
          <w:szCs w:val="18"/>
        </w:rPr>
        <w:t>Rvdr</w:t>
      </w:r>
      <w:r w:rsidR="004F47A7">
        <w:rPr>
          <w:rFonts w:ascii="Verdana" w:hAnsi="Verdana"/>
          <w:sz w:val="18"/>
          <w:szCs w:val="18"/>
        </w:rPr>
        <w:t xml:space="preserve"> beveelt aan om aan te sluiten bij de rechterscode die is opgesteld door de NVvR</w:t>
      </w:r>
      <w:r w:rsidR="001A2D28">
        <w:rPr>
          <w:rFonts w:ascii="Verdana" w:hAnsi="Verdana"/>
          <w:sz w:val="18"/>
          <w:szCs w:val="18"/>
        </w:rPr>
        <w:t xml:space="preserve"> als </w:t>
      </w:r>
      <w:r w:rsidR="004F47A7">
        <w:rPr>
          <w:rFonts w:ascii="Verdana" w:hAnsi="Verdana"/>
          <w:sz w:val="18"/>
          <w:szCs w:val="18"/>
        </w:rPr>
        <w:t>referentiekader voor het rechterlijk handelen waarnaar rechters zich kunnen richten bij de uitoefening van hun werkzaamheden. Par. 2.2. van de rechterscode stelt dat de rechter in zijn rechterlijk handelen autonoom is ten opzichte van de organisatie waarbinnen hij werkt en de collega’s met wie hij samenwer</w:t>
      </w:r>
      <w:r w:rsidR="001A2D28">
        <w:rPr>
          <w:rFonts w:ascii="Verdana" w:hAnsi="Verdana"/>
          <w:sz w:val="18"/>
          <w:szCs w:val="18"/>
        </w:rPr>
        <w:t xml:space="preserve">kt. Die autonomie staat </w:t>
      </w:r>
      <w:r w:rsidR="004F47A7">
        <w:rPr>
          <w:rFonts w:ascii="Verdana" w:hAnsi="Verdana"/>
          <w:sz w:val="18"/>
          <w:szCs w:val="18"/>
        </w:rPr>
        <w:t xml:space="preserve">niet in de weg aan inhoudelijke samenwerking met rechters uit een oogpunt van rechtseenheid. De </w:t>
      </w:r>
      <w:r w:rsidR="0028560A">
        <w:rPr>
          <w:rFonts w:ascii="Verdana" w:hAnsi="Verdana"/>
          <w:sz w:val="18"/>
          <w:szCs w:val="18"/>
        </w:rPr>
        <w:t>Rvdr</w:t>
      </w:r>
      <w:r w:rsidR="004F47A7">
        <w:rPr>
          <w:rFonts w:ascii="Verdana" w:hAnsi="Verdana"/>
          <w:sz w:val="18"/>
          <w:szCs w:val="18"/>
        </w:rPr>
        <w:t xml:space="preserve"> </w:t>
      </w:r>
      <w:r w:rsidR="001A2D28">
        <w:rPr>
          <w:rFonts w:ascii="Verdana" w:hAnsi="Verdana"/>
          <w:sz w:val="18"/>
          <w:szCs w:val="18"/>
        </w:rPr>
        <w:t>doelt</w:t>
      </w:r>
      <w:r w:rsidR="00867650">
        <w:rPr>
          <w:rFonts w:ascii="Verdana" w:hAnsi="Verdana"/>
          <w:sz w:val="18"/>
          <w:szCs w:val="18"/>
        </w:rPr>
        <w:t xml:space="preserve"> op</w:t>
      </w:r>
      <w:r>
        <w:rPr>
          <w:rFonts w:ascii="Verdana" w:hAnsi="Verdana"/>
          <w:sz w:val="18"/>
          <w:szCs w:val="18"/>
        </w:rPr>
        <w:t xml:space="preserve"> de individuele rechte</w:t>
      </w:r>
      <w:r w:rsidR="00867650">
        <w:rPr>
          <w:rFonts w:ascii="Verdana" w:hAnsi="Verdana"/>
          <w:sz w:val="18"/>
          <w:szCs w:val="18"/>
        </w:rPr>
        <w:t>rlijke oordeelsvorming</w:t>
      </w:r>
      <w:r w:rsidR="0054603F">
        <w:rPr>
          <w:rFonts w:ascii="Verdana" w:hAnsi="Verdana"/>
          <w:sz w:val="18"/>
          <w:szCs w:val="18"/>
        </w:rPr>
        <w:t>.</w:t>
      </w:r>
      <w:r w:rsidR="00867650">
        <w:rPr>
          <w:rFonts w:ascii="Verdana" w:hAnsi="Verdana"/>
          <w:sz w:val="18"/>
          <w:szCs w:val="18"/>
        </w:rPr>
        <w:t xml:space="preserve"> </w:t>
      </w:r>
      <w:r w:rsidR="00B34050">
        <w:rPr>
          <w:rFonts w:ascii="Verdana" w:hAnsi="Verdana"/>
          <w:sz w:val="18"/>
          <w:szCs w:val="18"/>
        </w:rPr>
        <w:t>D</w:t>
      </w:r>
      <w:r w:rsidR="0054603F">
        <w:rPr>
          <w:rFonts w:ascii="Verdana" w:hAnsi="Verdana"/>
          <w:sz w:val="18"/>
          <w:szCs w:val="18"/>
        </w:rPr>
        <w:t xml:space="preserve">eze vorm van zakelijke </w:t>
      </w:r>
      <w:r w:rsidR="00B34050">
        <w:rPr>
          <w:rFonts w:ascii="Verdana" w:hAnsi="Verdana"/>
          <w:sz w:val="18"/>
          <w:szCs w:val="18"/>
        </w:rPr>
        <w:t xml:space="preserve">onafhankelijkheid </w:t>
      </w:r>
      <w:r w:rsidR="0054603F">
        <w:rPr>
          <w:rFonts w:ascii="Verdana" w:hAnsi="Verdana"/>
          <w:sz w:val="18"/>
          <w:szCs w:val="18"/>
        </w:rPr>
        <w:t xml:space="preserve">gaat </w:t>
      </w:r>
      <w:r w:rsidR="00B34050">
        <w:rPr>
          <w:rFonts w:ascii="Verdana" w:hAnsi="Verdana"/>
          <w:sz w:val="18"/>
          <w:szCs w:val="18"/>
        </w:rPr>
        <w:t xml:space="preserve">niet </w:t>
      </w:r>
      <w:r w:rsidR="0054603F">
        <w:rPr>
          <w:rFonts w:ascii="Verdana" w:hAnsi="Verdana"/>
          <w:sz w:val="18"/>
          <w:szCs w:val="18"/>
        </w:rPr>
        <w:t xml:space="preserve">over de relatie van de rechter tot de andere staatsmachten, maar </w:t>
      </w:r>
      <w:r w:rsidR="00B34050">
        <w:rPr>
          <w:rFonts w:ascii="Verdana" w:hAnsi="Verdana"/>
          <w:sz w:val="18"/>
          <w:szCs w:val="18"/>
        </w:rPr>
        <w:t xml:space="preserve">betreft </w:t>
      </w:r>
      <w:r w:rsidR="0054603F">
        <w:rPr>
          <w:rFonts w:ascii="Verdana" w:hAnsi="Verdana"/>
          <w:sz w:val="18"/>
          <w:szCs w:val="18"/>
        </w:rPr>
        <w:t>de relatie tot andere rechters</w:t>
      </w:r>
      <w:r w:rsidR="003E3AB3">
        <w:rPr>
          <w:rFonts w:ascii="Verdana" w:hAnsi="Verdana"/>
          <w:sz w:val="18"/>
          <w:szCs w:val="18"/>
        </w:rPr>
        <w:t xml:space="preserve">. </w:t>
      </w:r>
      <w:r w:rsidR="00867650">
        <w:rPr>
          <w:rFonts w:ascii="Verdana" w:hAnsi="Verdana"/>
          <w:sz w:val="18"/>
          <w:szCs w:val="18"/>
        </w:rPr>
        <w:t>Uit de jurisprudentie van he</w:t>
      </w:r>
      <w:r>
        <w:rPr>
          <w:rFonts w:ascii="Verdana" w:hAnsi="Verdana"/>
          <w:sz w:val="18"/>
          <w:szCs w:val="18"/>
        </w:rPr>
        <w:t>t EHRM volgt dat individu</w:t>
      </w:r>
      <w:r w:rsidR="00B34050">
        <w:rPr>
          <w:rFonts w:ascii="Verdana" w:hAnsi="Verdana"/>
          <w:sz w:val="18"/>
          <w:szCs w:val="18"/>
        </w:rPr>
        <w:t xml:space="preserve">ele rechters bij de </w:t>
      </w:r>
      <w:r>
        <w:rPr>
          <w:rFonts w:ascii="Verdana" w:hAnsi="Verdana"/>
          <w:sz w:val="18"/>
          <w:szCs w:val="18"/>
        </w:rPr>
        <w:t xml:space="preserve">oordeelsvorming ook verschoond </w:t>
      </w:r>
      <w:r>
        <w:rPr>
          <w:rFonts w:ascii="Verdana" w:hAnsi="Verdana"/>
          <w:sz w:val="18"/>
          <w:szCs w:val="18"/>
        </w:rPr>
        <w:lastRenderedPageBreak/>
        <w:t xml:space="preserve">moeten blijven van </w:t>
      </w:r>
      <w:r w:rsidR="00867650">
        <w:rPr>
          <w:rFonts w:ascii="Verdana" w:hAnsi="Verdana"/>
          <w:sz w:val="18"/>
          <w:szCs w:val="18"/>
        </w:rPr>
        <w:t>aanwijzingen of uitgeoefende druk</w:t>
      </w:r>
      <w:r>
        <w:rPr>
          <w:rFonts w:ascii="Verdana" w:hAnsi="Verdana"/>
          <w:sz w:val="18"/>
          <w:szCs w:val="18"/>
        </w:rPr>
        <w:t xml:space="preserve"> van collega-rechters en leidinggevenden.</w:t>
      </w:r>
      <w:r w:rsidR="00867650">
        <w:rPr>
          <w:rStyle w:val="Voetnootmarkering"/>
          <w:rFonts w:ascii="Verdana" w:hAnsi="Verdana"/>
          <w:sz w:val="18"/>
          <w:szCs w:val="18"/>
        </w:rPr>
        <w:footnoteReference w:id="72"/>
      </w:r>
      <w:r>
        <w:rPr>
          <w:rFonts w:ascii="Verdana" w:hAnsi="Verdana"/>
          <w:sz w:val="18"/>
          <w:szCs w:val="18"/>
        </w:rPr>
        <w:t xml:space="preserve"> </w:t>
      </w:r>
      <w:r w:rsidR="00B34050">
        <w:rPr>
          <w:rFonts w:ascii="Verdana" w:hAnsi="Verdana"/>
          <w:sz w:val="18"/>
          <w:szCs w:val="18"/>
        </w:rPr>
        <w:t>Indien zich een situatie voordoet waarbij sprake is van dergelijke druk op de individuele oordeelsvorming binnen de rechterlijke organisatie kan sprake zijn van</w:t>
      </w:r>
      <w:r w:rsidR="00F7634B">
        <w:rPr>
          <w:rFonts w:ascii="Verdana" w:hAnsi="Verdana"/>
          <w:sz w:val="18"/>
          <w:szCs w:val="18"/>
        </w:rPr>
        <w:t xml:space="preserve"> een schijn van a</w:t>
      </w:r>
      <w:r w:rsidR="00B34050">
        <w:rPr>
          <w:rFonts w:ascii="Verdana" w:hAnsi="Verdana"/>
          <w:sz w:val="18"/>
          <w:szCs w:val="18"/>
        </w:rPr>
        <w:t xml:space="preserve">fhankelijkheid </w:t>
      </w:r>
      <w:r w:rsidR="00F7634B">
        <w:rPr>
          <w:rFonts w:ascii="Verdana" w:hAnsi="Verdana"/>
          <w:sz w:val="18"/>
          <w:szCs w:val="18"/>
        </w:rPr>
        <w:t xml:space="preserve">van de rechter. </w:t>
      </w:r>
    </w:p>
    <w:p w:rsidR="0043747E" w:rsidRDefault="0043747E" w:rsidP="0043747E">
      <w:pPr>
        <w:pStyle w:val="Geenafstand"/>
        <w:spacing w:line="280" w:lineRule="atLeast"/>
        <w:rPr>
          <w:rFonts w:ascii="Verdana" w:hAnsi="Verdana"/>
          <w:sz w:val="18"/>
          <w:szCs w:val="18"/>
        </w:rPr>
      </w:pPr>
    </w:p>
    <w:p w:rsidR="0043747E" w:rsidRDefault="00EC13FC" w:rsidP="0043747E">
      <w:pPr>
        <w:pStyle w:val="Geenafstand"/>
        <w:spacing w:line="280" w:lineRule="atLeast"/>
        <w:rPr>
          <w:rFonts w:ascii="Verdana" w:hAnsi="Verdana"/>
          <w:sz w:val="18"/>
          <w:szCs w:val="18"/>
        </w:rPr>
      </w:pPr>
      <w:r>
        <w:rPr>
          <w:rFonts w:ascii="Verdana" w:hAnsi="Verdana"/>
          <w:sz w:val="18"/>
          <w:szCs w:val="18"/>
        </w:rPr>
        <w:t>In de literatuur wordt ten</w:t>
      </w:r>
      <w:r w:rsidR="00225B90">
        <w:rPr>
          <w:rFonts w:ascii="Verdana" w:hAnsi="Verdana"/>
          <w:sz w:val="18"/>
          <w:szCs w:val="18"/>
        </w:rPr>
        <w:t xml:space="preserve"> slotte ook </w:t>
      </w:r>
      <w:r w:rsidR="0011593C">
        <w:rPr>
          <w:rFonts w:ascii="Verdana" w:hAnsi="Verdana"/>
          <w:sz w:val="18"/>
          <w:szCs w:val="18"/>
        </w:rPr>
        <w:t>een</w:t>
      </w:r>
      <w:r>
        <w:rPr>
          <w:rFonts w:ascii="Verdana" w:hAnsi="Verdana"/>
          <w:sz w:val="18"/>
          <w:szCs w:val="18"/>
        </w:rPr>
        <w:t xml:space="preserve"> </w:t>
      </w:r>
      <w:r w:rsidR="008466ED" w:rsidRPr="0043747E">
        <w:rPr>
          <w:rFonts w:ascii="Verdana" w:hAnsi="Verdana"/>
          <w:sz w:val="18"/>
          <w:szCs w:val="18"/>
        </w:rPr>
        <w:t>institutionel</w:t>
      </w:r>
      <w:r>
        <w:rPr>
          <w:rFonts w:ascii="Verdana" w:hAnsi="Verdana"/>
          <w:sz w:val="18"/>
          <w:szCs w:val="18"/>
        </w:rPr>
        <w:t>e onafhankelijkheid</w:t>
      </w:r>
      <w:r w:rsidR="00690131" w:rsidRPr="0043747E">
        <w:rPr>
          <w:rFonts w:ascii="Verdana" w:hAnsi="Verdana"/>
          <w:sz w:val="18"/>
          <w:szCs w:val="18"/>
        </w:rPr>
        <w:t xml:space="preserve"> </w:t>
      </w:r>
      <w:r>
        <w:rPr>
          <w:rFonts w:ascii="Verdana" w:hAnsi="Verdana"/>
          <w:sz w:val="18"/>
          <w:szCs w:val="18"/>
        </w:rPr>
        <w:t xml:space="preserve">van de rechterlijke </w:t>
      </w:r>
      <w:r w:rsidR="0011593C">
        <w:rPr>
          <w:rFonts w:ascii="Verdana" w:hAnsi="Verdana"/>
          <w:sz w:val="18"/>
          <w:szCs w:val="18"/>
        </w:rPr>
        <w:t>organisatie als staatsinstelling</w:t>
      </w:r>
      <w:r w:rsidR="00225B90">
        <w:rPr>
          <w:rFonts w:ascii="Verdana" w:hAnsi="Verdana"/>
          <w:sz w:val="18"/>
          <w:szCs w:val="18"/>
        </w:rPr>
        <w:t xml:space="preserve"> onderscheiden</w:t>
      </w:r>
      <w:r>
        <w:rPr>
          <w:rFonts w:ascii="Verdana" w:hAnsi="Verdana"/>
          <w:sz w:val="18"/>
          <w:szCs w:val="18"/>
        </w:rPr>
        <w:t xml:space="preserve">. </w:t>
      </w:r>
      <w:r w:rsidR="0011593C">
        <w:rPr>
          <w:rFonts w:ascii="Verdana" w:hAnsi="Verdana"/>
          <w:sz w:val="18"/>
          <w:szCs w:val="18"/>
        </w:rPr>
        <w:t>Voor het waarborgen hiervan is noodzakelijk dat de overheidsorganisatie waarvan de afzonderlijke rechters deel uitmaken een onafhankelijke positie inneemt tegenover de beide andere staatsmachten.</w:t>
      </w:r>
      <w:r w:rsidR="0011593C">
        <w:rPr>
          <w:rStyle w:val="Voetnootmarkering"/>
          <w:rFonts w:ascii="Verdana" w:hAnsi="Verdana"/>
          <w:sz w:val="18"/>
          <w:szCs w:val="18"/>
        </w:rPr>
        <w:footnoteReference w:id="73"/>
      </w:r>
      <w:r w:rsidR="0011593C">
        <w:rPr>
          <w:rFonts w:ascii="Verdana" w:hAnsi="Verdana"/>
          <w:sz w:val="18"/>
          <w:szCs w:val="18"/>
        </w:rPr>
        <w:t xml:space="preserve"> </w:t>
      </w:r>
      <w:r>
        <w:rPr>
          <w:rFonts w:ascii="Verdana" w:hAnsi="Verdana"/>
          <w:sz w:val="18"/>
          <w:szCs w:val="18"/>
        </w:rPr>
        <w:t xml:space="preserve">De institutionele onafhankelijkheid vloeit </w:t>
      </w:r>
      <w:r w:rsidR="0011593C">
        <w:rPr>
          <w:rFonts w:ascii="Verdana" w:hAnsi="Verdana"/>
          <w:sz w:val="18"/>
          <w:szCs w:val="18"/>
        </w:rPr>
        <w:t xml:space="preserve">voort </w:t>
      </w:r>
      <w:r>
        <w:rPr>
          <w:rFonts w:ascii="Verdana" w:hAnsi="Verdana"/>
          <w:sz w:val="18"/>
          <w:szCs w:val="18"/>
        </w:rPr>
        <w:t>uit het beginsel</w:t>
      </w:r>
      <w:r w:rsidR="0011593C">
        <w:rPr>
          <w:rFonts w:ascii="Verdana" w:hAnsi="Verdana"/>
          <w:sz w:val="18"/>
          <w:szCs w:val="18"/>
        </w:rPr>
        <w:t xml:space="preserve"> van de machtenscheiding en het algemene stelsel van bevoegdheidsverdeling tussen de machten in de Grondwet en wetgeving. Z</w:t>
      </w:r>
      <w:r w:rsidR="00225B90">
        <w:rPr>
          <w:rFonts w:ascii="Verdana" w:hAnsi="Verdana"/>
          <w:sz w:val="18"/>
          <w:szCs w:val="18"/>
        </w:rPr>
        <w:t>ij is niet absoluut, omdat wetgev</w:t>
      </w:r>
      <w:r w:rsidR="0011593C">
        <w:rPr>
          <w:rFonts w:ascii="Verdana" w:hAnsi="Verdana"/>
          <w:sz w:val="18"/>
          <w:szCs w:val="18"/>
        </w:rPr>
        <w:t>er en bestuur op het terrein van de rechterlijke organisatie wel bevoegdheden uitoefenen</w:t>
      </w:r>
      <w:r w:rsidR="00225B90">
        <w:rPr>
          <w:rFonts w:ascii="Verdana" w:hAnsi="Verdana"/>
          <w:sz w:val="18"/>
          <w:szCs w:val="18"/>
        </w:rPr>
        <w:t xml:space="preserve">, zoals het bepalen van de inrichting, samenstelling en bevoegdheid van de rechterlijke macht door de wetgever. </w:t>
      </w:r>
      <w:r w:rsidR="00190A77">
        <w:rPr>
          <w:rFonts w:ascii="Verdana" w:hAnsi="Verdana"/>
          <w:sz w:val="18"/>
          <w:szCs w:val="18"/>
        </w:rPr>
        <w:t xml:space="preserve">Zoals toegelicht in paragraaf 4.1 heeft </w:t>
      </w:r>
      <w:r w:rsidR="00F7634B">
        <w:rPr>
          <w:rFonts w:ascii="Verdana" w:hAnsi="Verdana"/>
          <w:sz w:val="18"/>
          <w:szCs w:val="18"/>
        </w:rPr>
        <w:t xml:space="preserve">het </w:t>
      </w:r>
      <w:r w:rsidR="00225B90">
        <w:rPr>
          <w:rFonts w:ascii="Verdana" w:hAnsi="Verdana"/>
          <w:sz w:val="18"/>
          <w:szCs w:val="18"/>
        </w:rPr>
        <w:t xml:space="preserve">voorgestelde </w:t>
      </w:r>
      <w:r w:rsidR="0011593C">
        <w:rPr>
          <w:rFonts w:ascii="Verdana" w:hAnsi="Verdana"/>
          <w:sz w:val="18"/>
          <w:szCs w:val="18"/>
        </w:rPr>
        <w:t>artikel 17</w:t>
      </w:r>
      <w:r w:rsidR="00F7634B">
        <w:rPr>
          <w:rFonts w:ascii="Verdana" w:hAnsi="Verdana"/>
          <w:sz w:val="18"/>
          <w:szCs w:val="18"/>
        </w:rPr>
        <w:t>, eerste lid, Grondwet</w:t>
      </w:r>
      <w:r w:rsidR="00190A77">
        <w:rPr>
          <w:rFonts w:ascii="Verdana" w:hAnsi="Verdana"/>
          <w:sz w:val="18"/>
          <w:szCs w:val="18"/>
        </w:rPr>
        <w:t xml:space="preserve"> een</w:t>
      </w:r>
      <w:r w:rsidR="00225B90">
        <w:rPr>
          <w:rFonts w:ascii="Verdana" w:hAnsi="Verdana"/>
          <w:sz w:val="18"/>
          <w:szCs w:val="18"/>
        </w:rPr>
        <w:t xml:space="preserve"> grondrechtelijke invalshoek, </w:t>
      </w:r>
      <w:r w:rsidR="004C2A14">
        <w:rPr>
          <w:rFonts w:ascii="Verdana" w:hAnsi="Verdana"/>
          <w:sz w:val="18"/>
          <w:szCs w:val="18"/>
        </w:rPr>
        <w:t>die</w:t>
      </w:r>
      <w:r w:rsidR="00190A77">
        <w:rPr>
          <w:rFonts w:ascii="Verdana" w:hAnsi="Verdana"/>
          <w:sz w:val="18"/>
          <w:szCs w:val="18"/>
        </w:rPr>
        <w:t xml:space="preserve"> </w:t>
      </w:r>
      <w:r w:rsidR="00225B90">
        <w:rPr>
          <w:rFonts w:ascii="Verdana" w:hAnsi="Verdana"/>
          <w:sz w:val="18"/>
          <w:szCs w:val="18"/>
        </w:rPr>
        <w:t xml:space="preserve">het recht van de burger op behandeling van zijn zaak door een onafhankelijke (en onpartijdige) individuele rechter of rechterlijk college centraal </w:t>
      </w:r>
      <w:r w:rsidR="004C2A14">
        <w:rPr>
          <w:rFonts w:ascii="Verdana" w:hAnsi="Verdana"/>
          <w:sz w:val="18"/>
          <w:szCs w:val="18"/>
        </w:rPr>
        <w:t>stelt</w:t>
      </w:r>
      <w:r w:rsidR="00225B90">
        <w:rPr>
          <w:rFonts w:ascii="Verdana" w:hAnsi="Verdana"/>
          <w:sz w:val="18"/>
          <w:szCs w:val="18"/>
        </w:rPr>
        <w:t>.</w:t>
      </w:r>
    </w:p>
    <w:p w:rsidR="0043747E" w:rsidRPr="0043747E" w:rsidRDefault="0043747E" w:rsidP="0043747E">
      <w:pPr>
        <w:pStyle w:val="Geenafstand"/>
        <w:spacing w:line="280" w:lineRule="atLeast"/>
        <w:rPr>
          <w:rFonts w:ascii="Verdana" w:hAnsi="Verdana"/>
          <w:sz w:val="18"/>
          <w:szCs w:val="18"/>
        </w:rPr>
      </w:pPr>
    </w:p>
    <w:p w:rsidR="00B86753" w:rsidRPr="00B461EC" w:rsidRDefault="00823A6F" w:rsidP="00284432">
      <w:pPr>
        <w:spacing w:line="280" w:lineRule="atLeast"/>
        <w:rPr>
          <w:rFonts w:ascii="Verdana" w:hAnsi="Verdana"/>
          <w:b/>
          <w:sz w:val="18"/>
          <w:szCs w:val="18"/>
        </w:rPr>
      </w:pPr>
      <w:r>
        <w:rPr>
          <w:rFonts w:ascii="Verdana" w:hAnsi="Verdana"/>
          <w:i/>
          <w:sz w:val="18"/>
          <w:szCs w:val="18"/>
        </w:rPr>
        <w:t>7</w:t>
      </w:r>
      <w:r w:rsidR="00350500">
        <w:rPr>
          <w:rFonts w:ascii="Verdana" w:hAnsi="Verdana"/>
          <w:i/>
          <w:sz w:val="18"/>
          <w:szCs w:val="18"/>
        </w:rPr>
        <w:t>.2</w:t>
      </w:r>
      <w:r w:rsidR="004C682C">
        <w:rPr>
          <w:rFonts w:ascii="Verdana" w:hAnsi="Verdana"/>
          <w:i/>
          <w:sz w:val="18"/>
          <w:szCs w:val="18"/>
        </w:rPr>
        <w:t>.2</w:t>
      </w:r>
      <w:r w:rsidR="004C682C">
        <w:rPr>
          <w:rFonts w:ascii="Verdana" w:hAnsi="Verdana"/>
          <w:i/>
          <w:sz w:val="18"/>
          <w:szCs w:val="18"/>
        </w:rPr>
        <w:tab/>
      </w:r>
      <w:r w:rsidR="00690131" w:rsidRPr="00B461EC">
        <w:rPr>
          <w:rFonts w:ascii="Verdana" w:hAnsi="Verdana"/>
          <w:i/>
          <w:sz w:val="18"/>
          <w:szCs w:val="18"/>
        </w:rPr>
        <w:t>Rechterlijke o</w:t>
      </w:r>
      <w:r w:rsidR="002E0A34" w:rsidRPr="00B461EC">
        <w:rPr>
          <w:rFonts w:ascii="Verdana" w:hAnsi="Verdana"/>
          <w:i/>
          <w:sz w:val="18"/>
          <w:szCs w:val="18"/>
        </w:rPr>
        <w:t>n</w:t>
      </w:r>
      <w:r w:rsidR="008466ED" w:rsidRPr="00B461EC">
        <w:rPr>
          <w:rFonts w:ascii="Verdana" w:hAnsi="Verdana"/>
          <w:i/>
          <w:sz w:val="18"/>
          <w:szCs w:val="18"/>
        </w:rPr>
        <w:t>partijdigh</w:t>
      </w:r>
      <w:r w:rsidR="002E0A34" w:rsidRPr="00B461EC">
        <w:rPr>
          <w:rFonts w:ascii="Verdana" w:hAnsi="Verdana"/>
          <w:i/>
          <w:sz w:val="18"/>
          <w:szCs w:val="18"/>
        </w:rPr>
        <w:t>e</w:t>
      </w:r>
      <w:r w:rsidR="008466ED" w:rsidRPr="00B461EC">
        <w:rPr>
          <w:rFonts w:ascii="Verdana" w:hAnsi="Verdana"/>
          <w:i/>
          <w:sz w:val="18"/>
          <w:szCs w:val="18"/>
        </w:rPr>
        <w:t>id</w:t>
      </w:r>
      <w:r w:rsidR="008466ED" w:rsidRPr="00B461EC">
        <w:rPr>
          <w:rFonts w:ascii="Verdana" w:hAnsi="Verdana"/>
          <w:b/>
          <w:sz w:val="18"/>
          <w:szCs w:val="18"/>
        </w:rPr>
        <w:t xml:space="preserve"> </w:t>
      </w:r>
    </w:p>
    <w:p w:rsidR="00E40E95" w:rsidRDefault="009D6BC5" w:rsidP="00284432">
      <w:pPr>
        <w:spacing w:line="280" w:lineRule="atLeast"/>
        <w:rPr>
          <w:rFonts w:ascii="Verdana" w:hAnsi="Verdana"/>
          <w:sz w:val="18"/>
          <w:szCs w:val="18"/>
        </w:rPr>
      </w:pPr>
      <w:r w:rsidRPr="00B461EC">
        <w:rPr>
          <w:rFonts w:ascii="Verdana" w:hAnsi="Verdana"/>
          <w:sz w:val="18"/>
          <w:szCs w:val="18"/>
        </w:rPr>
        <w:t xml:space="preserve">De rechter dient behalve onafhankelijk ook onpartijdig te zijn. </w:t>
      </w:r>
      <w:r w:rsidR="00DC6B9A">
        <w:rPr>
          <w:rFonts w:ascii="Verdana" w:hAnsi="Verdana"/>
          <w:sz w:val="18"/>
          <w:szCs w:val="18"/>
        </w:rPr>
        <w:t>De rechter</w:t>
      </w:r>
      <w:r w:rsidR="008D565A">
        <w:rPr>
          <w:rFonts w:ascii="Verdana" w:hAnsi="Verdana"/>
          <w:sz w:val="18"/>
          <w:szCs w:val="18"/>
        </w:rPr>
        <w:t xml:space="preserve"> mag </w:t>
      </w:r>
      <w:r w:rsidR="00DC6B9A">
        <w:rPr>
          <w:rFonts w:ascii="Verdana" w:hAnsi="Verdana"/>
          <w:sz w:val="18"/>
          <w:szCs w:val="18"/>
        </w:rPr>
        <w:t>geen belang hebben bij de uitkomst van een zaak</w:t>
      </w:r>
      <w:r w:rsidR="0073756C">
        <w:rPr>
          <w:rFonts w:ascii="Verdana" w:hAnsi="Verdana"/>
          <w:sz w:val="18"/>
          <w:szCs w:val="18"/>
        </w:rPr>
        <w:t xml:space="preserve"> en dient neutraal te zijn</w:t>
      </w:r>
      <w:r w:rsidR="00DC6B9A">
        <w:rPr>
          <w:rFonts w:ascii="Verdana" w:hAnsi="Verdana"/>
          <w:sz w:val="18"/>
          <w:szCs w:val="18"/>
        </w:rPr>
        <w:t xml:space="preserve">. </w:t>
      </w:r>
      <w:r w:rsidRPr="00B461EC">
        <w:rPr>
          <w:rFonts w:ascii="Verdana" w:hAnsi="Verdana"/>
          <w:sz w:val="18"/>
          <w:szCs w:val="18"/>
        </w:rPr>
        <w:t xml:space="preserve">Referentiepunt </w:t>
      </w:r>
      <w:r w:rsidR="00DC6B9A">
        <w:rPr>
          <w:rFonts w:ascii="Verdana" w:hAnsi="Verdana"/>
          <w:sz w:val="18"/>
          <w:szCs w:val="18"/>
        </w:rPr>
        <w:t>bij de waardering van de onpartijdigheid</w:t>
      </w:r>
      <w:r w:rsidR="008A7C6F" w:rsidRPr="00B461EC">
        <w:rPr>
          <w:rFonts w:ascii="Verdana" w:hAnsi="Verdana"/>
          <w:sz w:val="18"/>
          <w:szCs w:val="18"/>
        </w:rPr>
        <w:t xml:space="preserve"> is </w:t>
      </w:r>
      <w:r w:rsidRPr="00B461EC">
        <w:rPr>
          <w:rFonts w:ascii="Verdana" w:hAnsi="Verdana"/>
          <w:sz w:val="18"/>
          <w:szCs w:val="18"/>
        </w:rPr>
        <w:t>de rechter en zijn verhouding tot de partijen en de overige procesdeelnemers enerzijds, en het onderwerp van de zaak anderzijds.</w:t>
      </w:r>
      <w:r>
        <w:rPr>
          <w:rStyle w:val="Voetnootmarkering"/>
          <w:rFonts w:ascii="Verdana" w:hAnsi="Verdana"/>
          <w:sz w:val="18"/>
          <w:szCs w:val="18"/>
        </w:rPr>
        <w:footnoteReference w:id="74"/>
      </w:r>
      <w:r w:rsidR="00DC6B9A">
        <w:rPr>
          <w:rFonts w:ascii="Verdana" w:hAnsi="Verdana"/>
          <w:sz w:val="18"/>
          <w:szCs w:val="18"/>
        </w:rPr>
        <w:t xml:space="preserve"> </w:t>
      </w:r>
      <w:r w:rsidR="008A7C6F" w:rsidRPr="00B461EC">
        <w:rPr>
          <w:rFonts w:ascii="Verdana" w:hAnsi="Verdana"/>
          <w:sz w:val="18"/>
          <w:szCs w:val="18"/>
        </w:rPr>
        <w:t xml:space="preserve">De </w:t>
      </w:r>
      <w:r w:rsidR="00A4000B">
        <w:rPr>
          <w:rFonts w:ascii="Verdana" w:hAnsi="Verdana"/>
          <w:sz w:val="18"/>
          <w:szCs w:val="18"/>
        </w:rPr>
        <w:t xml:space="preserve">huidige </w:t>
      </w:r>
      <w:r w:rsidR="008A7C6F" w:rsidRPr="00B461EC">
        <w:rPr>
          <w:rFonts w:ascii="Verdana" w:hAnsi="Verdana"/>
          <w:sz w:val="18"/>
          <w:szCs w:val="18"/>
        </w:rPr>
        <w:t xml:space="preserve">Grondwet noemt dit element van de neutraliteit van de rechter nergens met zoveel woorden. Dit is in artikel 6 EVRM wel het geval. Het EHRM onderscheidt bij de uitleg van die bepaling de subjectieve en objectieve onpartijdigheid van de rechterlijke instantie. </w:t>
      </w:r>
      <w:r w:rsidR="00E40E95" w:rsidRPr="00B461EC">
        <w:rPr>
          <w:rFonts w:ascii="Verdana" w:hAnsi="Verdana"/>
          <w:sz w:val="18"/>
          <w:szCs w:val="18"/>
        </w:rPr>
        <w:t>De subjectieve onpartijdigheid hee</w:t>
      </w:r>
      <w:r w:rsidR="00C76D7F" w:rsidRPr="00B461EC">
        <w:rPr>
          <w:rFonts w:ascii="Verdana" w:hAnsi="Verdana"/>
          <w:sz w:val="18"/>
          <w:szCs w:val="18"/>
        </w:rPr>
        <w:t>f</w:t>
      </w:r>
      <w:r w:rsidR="00E40E95" w:rsidRPr="00B461EC">
        <w:rPr>
          <w:rFonts w:ascii="Verdana" w:hAnsi="Verdana"/>
          <w:sz w:val="18"/>
          <w:szCs w:val="18"/>
        </w:rPr>
        <w:t xml:space="preserve">t betrekking op </w:t>
      </w:r>
      <w:r w:rsidR="008F275A">
        <w:rPr>
          <w:rFonts w:ascii="Verdana" w:hAnsi="Verdana"/>
          <w:sz w:val="18"/>
          <w:szCs w:val="18"/>
        </w:rPr>
        <w:t xml:space="preserve">de </w:t>
      </w:r>
      <w:r w:rsidR="00E40E95" w:rsidRPr="00B461EC">
        <w:rPr>
          <w:rFonts w:ascii="Verdana" w:hAnsi="Verdana"/>
          <w:sz w:val="18"/>
          <w:szCs w:val="18"/>
        </w:rPr>
        <w:t>persoonlijke instelling en overtuiging van een individuele rechter</w:t>
      </w:r>
      <w:r w:rsidR="00DC6B9A">
        <w:rPr>
          <w:rFonts w:ascii="Verdana" w:hAnsi="Verdana"/>
          <w:sz w:val="18"/>
          <w:szCs w:val="18"/>
        </w:rPr>
        <w:t xml:space="preserve"> in </w:t>
      </w:r>
      <w:r w:rsidR="00E40E95" w:rsidRPr="00B461EC">
        <w:rPr>
          <w:rFonts w:ascii="Verdana" w:hAnsi="Verdana"/>
          <w:sz w:val="18"/>
          <w:szCs w:val="18"/>
        </w:rPr>
        <w:t xml:space="preserve">een bepaalde zaak. </w:t>
      </w:r>
      <w:r w:rsidR="00C76D7F" w:rsidRPr="00B461EC">
        <w:rPr>
          <w:rFonts w:ascii="Verdana" w:hAnsi="Verdana"/>
          <w:sz w:val="18"/>
          <w:szCs w:val="18"/>
        </w:rPr>
        <w:t>D</w:t>
      </w:r>
      <w:r w:rsidR="00DC6B9A">
        <w:rPr>
          <w:rFonts w:ascii="Verdana" w:hAnsi="Verdana"/>
          <w:sz w:val="18"/>
          <w:szCs w:val="18"/>
        </w:rPr>
        <w:t>at een rechter daadwerkelijk vooringenomen is</w:t>
      </w:r>
      <w:r w:rsidR="008C39F7">
        <w:rPr>
          <w:rFonts w:ascii="Verdana" w:hAnsi="Verdana"/>
          <w:sz w:val="18"/>
          <w:szCs w:val="18"/>
        </w:rPr>
        <w:t>,</w:t>
      </w:r>
      <w:r w:rsidR="00DC6B9A">
        <w:rPr>
          <w:rFonts w:ascii="Verdana" w:hAnsi="Verdana"/>
          <w:sz w:val="18"/>
          <w:szCs w:val="18"/>
        </w:rPr>
        <w:t xml:space="preserve"> wordt niet snel aangenomen. De subjectieve onpartijdigheid</w:t>
      </w:r>
      <w:r w:rsidR="00C76D7F" w:rsidRPr="00B461EC">
        <w:rPr>
          <w:rFonts w:ascii="Verdana" w:hAnsi="Verdana"/>
          <w:sz w:val="18"/>
          <w:szCs w:val="18"/>
        </w:rPr>
        <w:t xml:space="preserve"> wordt geacht </w:t>
      </w:r>
      <w:r w:rsidR="0052029D">
        <w:rPr>
          <w:rFonts w:ascii="Verdana" w:hAnsi="Verdana"/>
          <w:sz w:val="18"/>
          <w:szCs w:val="18"/>
        </w:rPr>
        <w:t>aanwezig te zijn, totdat het tegendeel is bewezen</w:t>
      </w:r>
      <w:r w:rsidR="00C76D7F" w:rsidRPr="00B461EC">
        <w:rPr>
          <w:rFonts w:ascii="Verdana" w:hAnsi="Verdana"/>
          <w:sz w:val="18"/>
          <w:szCs w:val="18"/>
        </w:rPr>
        <w:t xml:space="preserve">. </w:t>
      </w:r>
      <w:r w:rsidR="009F5988" w:rsidRPr="00B461EC">
        <w:rPr>
          <w:rFonts w:ascii="Verdana" w:hAnsi="Verdana"/>
          <w:sz w:val="18"/>
          <w:szCs w:val="18"/>
        </w:rPr>
        <w:t>De objectieve onpartijdigheid</w:t>
      </w:r>
      <w:r w:rsidR="00735C46">
        <w:rPr>
          <w:rFonts w:ascii="Verdana" w:hAnsi="Verdana"/>
          <w:sz w:val="18"/>
          <w:szCs w:val="18"/>
        </w:rPr>
        <w:t xml:space="preserve"> houd</w:t>
      </w:r>
      <w:r w:rsidR="0052029D">
        <w:rPr>
          <w:rFonts w:ascii="Verdana" w:hAnsi="Verdana"/>
          <w:sz w:val="18"/>
          <w:szCs w:val="18"/>
        </w:rPr>
        <w:t xml:space="preserve">t </w:t>
      </w:r>
      <w:r w:rsidR="00735C46">
        <w:rPr>
          <w:rFonts w:ascii="Verdana" w:hAnsi="Verdana"/>
          <w:sz w:val="18"/>
          <w:szCs w:val="18"/>
        </w:rPr>
        <w:t xml:space="preserve">in </w:t>
      </w:r>
      <w:r w:rsidR="0052029D">
        <w:rPr>
          <w:rFonts w:ascii="Verdana" w:hAnsi="Verdana"/>
          <w:sz w:val="18"/>
          <w:szCs w:val="18"/>
        </w:rPr>
        <w:t>dat een rechterlijke instantie ook geen schijn van partijdigheid mag hebben</w:t>
      </w:r>
      <w:r w:rsidR="008D565A">
        <w:rPr>
          <w:rFonts w:ascii="Verdana" w:hAnsi="Verdana"/>
          <w:sz w:val="18"/>
          <w:szCs w:val="18"/>
        </w:rPr>
        <w:t>, omdat het vertrouwen van burgers in de rechtspraak van groot belang is</w:t>
      </w:r>
      <w:r w:rsidR="0052029D">
        <w:rPr>
          <w:rFonts w:ascii="Verdana" w:hAnsi="Verdana"/>
          <w:sz w:val="18"/>
          <w:szCs w:val="18"/>
        </w:rPr>
        <w:t>. Welke indruk procespartij</w:t>
      </w:r>
      <w:r w:rsidR="00EA4FB4">
        <w:rPr>
          <w:rFonts w:ascii="Verdana" w:hAnsi="Verdana"/>
          <w:sz w:val="18"/>
          <w:szCs w:val="18"/>
        </w:rPr>
        <w:t xml:space="preserve">en hebben </w:t>
      </w:r>
      <w:r w:rsidR="008F275A">
        <w:rPr>
          <w:rFonts w:ascii="Verdana" w:hAnsi="Verdana"/>
          <w:sz w:val="18"/>
          <w:szCs w:val="18"/>
        </w:rPr>
        <w:t>van</w:t>
      </w:r>
      <w:r w:rsidR="00EA4FB4">
        <w:rPr>
          <w:rFonts w:ascii="Verdana" w:hAnsi="Verdana"/>
          <w:sz w:val="18"/>
          <w:szCs w:val="18"/>
        </w:rPr>
        <w:t xml:space="preserve"> </w:t>
      </w:r>
      <w:r w:rsidR="0052029D">
        <w:rPr>
          <w:rFonts w:ascii="Verdana" w:hAnsi="Verdana"/>
          <w:sz w:val="18"/>
          <w:szCs w:val="18"/>
        </w:rPr>
        <w:t>de onpartijdigheid</w:t>
      </w:r>
      <w:r w:rsidR="00EA4FB4">
        <w:rPr>
          <w:rFonts w:ascii="Verdana" w:hAnsi="Verdana"/>
          <w:sz w:val="18"/>
          <w:szCs w:val="18"/>
        </w:rPr>
        <w:t xml:space="preserve"> van een rechterlijke instantie </w:t>
      </w:r>
      <w:r w:rsidR="0052029D">
        <w:rPr>
          <w:rFonts w:ascii="Verdana" w:hAnsi="Verdana"/>
          <w:sz w:val="18"/>
          <w:szCs w:val="18"/>
        </w:rPr>
        <w:t>is niet doorslaggevend</w:t>
      </w:r>
      <w:r w:rsidR="008F275A">
        <w:rPr>
          <w:rFonts w:ascii="Verdana" w:hAnsi="Verdana"/>
          <w:sz w:val="18"/>
          <w:szCs w:val="18"/>
        </w:rPr>
        <w:t>:</w:t>
      </w:r>
      <w:r w:rsidR="0052029D">
        <w:rPr>
          <w:rFonts w:ascii="Verdana" w:hAnsi="Verdana"/>
          <w:sz w:val="18"/>
          <w:szCs w:val="18"/>
        </w:rPr>
        <w:t xml:space="preserve"> </w:t>
      </w:r>
      <w:r w:rsidR="00EA4FB4">
        <w:rPr>
          <w:rFonts w:ascii="Verdana" w:hAnsi="Verdana"/>
          <w:sz w:val="18"/>
          <w:szCs w:val="18"/>
        </w:rPr>
        <w:t xml:space="preserve">de twijfel aan de onpartijdigheid moet objectief gerechtvaardigd zijn. Of daarvan sprake is hangt af van de concrete omstandigheden van </w:t>
      </w:r>
      <w:r w:rsidR="00735C46">
        <w:rPr>
          <w:rFonts w:ascii="Verdana" w:hAnsi="Verdana"/>
          <w:sz w:val="18"/>
          <w:szCs w:val="18"/>
        </w:rPr>
        <w:t>het geval. Omstandigheden waaronder</w:t>
      </w:r>
      <w:r w:rsidR="00EA4FB4">
        <w:rPr>
          <w:rFonts w:ascii="Verdana" w:hAnsi="Verdana"/>
          <w:sz w:val="18"/>
          <w:szCs w:val="18"/>
        </w:rPr>
        <w:t xml:space="preserve"> het EHRM </w:t>
      </w:r>
      <w:r w:rsidR="008D565A">
        <w:rPr>
          <w:rFonts w:ascii="Verdana" w:hAnsi="Verdana"/>
          <w:sz w:val="18"/>
          <w:szCs w:val="18"/>
        </w:rPr>
        <w:t xml:space="preserve">een </w:t>
      </w:r>
      <w:r w:rsidR="00EA4FB4">
        <w:rPr>
          <w:rFonts w:ascii="Verdana" w:hAnsi="Verdana"/>
          <w:sz w:val="18"/>
          <w:szCs w:val="18"/>
        </w:rPr>
        <w:t>schending van het vereiste van de objectieve onpartijdigheid heeft aangenomen zijn onder meer de gelijktijdige vervulling van andere (niet-rech</w:t>
      </w:r>
      <w:r w:rsidR="008D565A">
        <w:rPr>
          <w:rFonts w:ascii="Verdana" w:hAnsi="Verdana"/>
          <w:sz w:val="18"/>
          <w:szCs w:val="18"/>
        </w:rPr>
        <w:t>terlijke) functies door een rechter</w:t>
      </w:r>
      <w:r w:rsidR="00EA4FB4">
        <w:rPr>
          <w:rFonts w:ascii="Verdana" w:hAnsi="Verdana"/>
          <w:sz w:val="18"/>
          <w:szCs w:val="18"/>
        </w:rPr>
        <w:t xml:space="preserve">, </w:t>
      </w:r>
      <w:r w:rsidR="00735C46">
        <w:rPr>
          <w:rFonts w:ascii="Verdana" w:hAnsi="Verdana"/>
          <w:sz w:val="18"/>
          <w:szCs w:val="18"/>
        </w:rPr>
        <w:t>het bestaan van familiebanden tussen rechter en procespartijen</w:t>
      </w:r>
      <w:r w:rsidR="00954763">
        <w:rPr>
          <w:rFonts w:ascii="Verdana" w:hAnsi="Verdana"/>
          <w:sz w:val="18"/>
          <w:szCs w:val="18"/>
        </w:rPr>
        <w:t xml:space="preserve">, </w:t>
      </w:r>
      <w:r w:rsidR="00EA4FB4">
        <w:rPr>
          <w:rFonts w:ascii="Verdana" w:hAnsi="Verdana"/>
          <w:sz w:val="18"/>
          <w:szCs w:val="18"/>
        </w:rPr>
        <w:t>het lidmaatschap van een bepaalde vereniging</w:t>
      </w:r>
      <w:r w:rsidR="00DC6B9A">
        <w:rPr>
          <w:rFonts w:ascii="Verdana" w:hAnsi="Verdana"/>
          <w:sz w:val="18"/>
          <w:szCs w:val="18"/>
        </w:rPr>
        <w:t xml:space="preserve"> of politieke partij die </w:t>
      </w:r>
      <w:r w:rsidR="008D67EC">
        <w:rPr>
          <w:rFonts w:ascii="Verdana" w:hAnsi="Verdana"/>
          <w:sz w:val="18"/>
          <w:szCs w:val="18"/>
        </w:rPr>
        <w:t>op de een of andere wijze betrokken was bij de zaak</w:t>
      </w:r>
      <w:r w:rsidR="00954763">
        <w:rPr>
          <w:rFonts w:ascii="Verdana" w:hAnsi="Verdana"/>
          <w:sz w:val="18"/>
          <w:szCs w:val="18"/>
        </w:rPr>
        <w:t>,</w:t>
      </w:r>
      <w:r w:rsidR="00954763" w:rsidRPr="00954763">
        <w:rPr>
          <w:rFonts w:ascii="Verdana" w:hAnsi="Verdana"/>
          <w:sz w:val="18"/>
          <w:szCs w:val="18"/>
        </w:rPr>
        <w:t xml:space="preserve"> </w:t>
      </w:r>
      <w:r w:rsidR="00954763">
        <w:rPr>
          <w:rFonts w:ascii="Verdana" w:hAnsi="Verdana"/>
          <w:sz w:val="18"/>
          <w:szCs w:val="18"/>
        </w:rPr>
        <w:t>of eerdere betrokkenheid van een rechter in dezelfde of aanverwante zaken.</w:t>
      </w:r>
      <w:r w:rsidR="00954763">
        <w:rPr>
          <w:rStyle w:val="Voetnootmarkering"/>
          <w:rFonts w:ascii="Verdana" w:hAnsi="Verdana"/>
          <w:sz w:val="18"/>
          <w:szCs w:val="18"/>
        </w:rPr>
        <w:footnoteReference w:id="75"/>
      </w:r>
      <w:r w:rsidR="005C7C73">
        <w:rPr>
          <w:rFonts w:ascii="Verdana" w:hAnsi="Verdana"/>
          <w:sz w:val="18"/>
          <w:szCs w:val="18"/>
        </w:rPr>
        <w:t xml:space="preserve"> </w:t>
      </w:r>
      <w:r w:rsidR="00601F37">
        <w:rPr>
          <w:rFonts w:ascii="Verdana" w:hAnsi="Verdana"/>
          <w:sz w:val="18"/>
          <w:szCs w:val="18"/>
        </w:rPr>
        <w:t>Een combinatie van wetgevingsadvisering en rechtspraak is niet strijdig met het vereiste van objectieve onpartijdigheid</w:t>
      </w:r>
      <w:r w:rsidR="00A55501">
        <w:rPr>
          <w:rFonts w:ascii="Verdana" w:hAnsi="Verdana"/>
          <w:sz w:val="18"/>
          <w:szCs w:val="18"/>
        </w:rPr>
        <w:t xml:space="preserve"> zolang er geen sprake is van een </w:t>
      </w:r>
      <w:r w:rsidR="00A55501">
        <w:rPr>
          <w:rFonts w:ascii="Verdana" w:hAnsi="Verdana"/>
          <w:sz w:val="18"/>
          <w:szCs w:val="18"/>
        </w:rPr>
        <w:lastRenderedPageBreak/>
        <w:t>oordeel over ‘dezelfde zaak’, waarvoor meer nodig is dan</w:t>
      </w:r>
      <w:r w:rsidR="0013082A">
        <w:rPr>
          <w:rFonts w:ascii="Verdana" w:hAnsi="Verdana"/>
          <w:sz w:val="18"/>
          <w:szCs w:val="18"/>
        </w:rPr>
        <w:t xml:space="preserve"> enige </w:t>
      </w:r>
      <w:r w:rsidR="00A55501">
        <w:rPr>
          <w:rFonts w:ascii="Verdana" w:hAnsi="Verdana"/>
          <w:sz w:val="18"/>
          <w:szCs w:val="18"/>
        </w:rPr>
        <w:t>samenhang tussen de aan de orde zijnde rechtsvragen, door dezelfde leden van een instantie.</w:t>
      </w:r>
      <w:r w:rsidR="005C7C73">
        <w:rPr>
          <w:rStyle w:val="Voetnootmarkering"/>
          <w:rFonts w:ascii="Verdana" w:hAnsi="Verdana"/>
          <w:sz w:val="18"/>
          <w:szCs w:val="18"/>
        </w:rPr>
        <w:footnoteReference w:id="76"/>
      </w:r>
    </w:p>
    <w:p w:rsidR="00735C46" w:rsidRDefault="00735C46" w:rsidP="00284432">
      <w:pPr>
        <w:spacing w:line="280" w:lineRule="atLeast"/>
        <w:rPr>
          <w:rFonts w:ascii="Verdana" w:hAnsi="Verdana"/>
          <w:sz w:val="18"/>
          <w:szCs w:val="18"/>
        </w:rPr>
      </w:pPr>
      <w:r w:rsidRPr="00B461EC">
        <w:rPr>
          <w:rFonts w:ascii="Verdana" w:hAnsi="Verdana"/>
          <w:sz w:val="18"/>
          <w:szCs w:val="18"/>
        </w:rPr>
        <w:t>In de Nederlandse regelgeving</w:t>
      </w:r>
      <w:r>
        <w:rPr>
          <w:rFonts w:ascii="Verdana" w:hAnsi="Verdana"/>
          <w:sz w:val="18"/>
          <w:szCs w:val="18"/>
        </w:rPr>
        <w:t xml:space="preserve"> wordt de rechterlijke onpartijdigheid vooral gewaarborgd door</w:t>
      </w:r>
      <w:r w:rsidRPr="00B461EC">
        <w:rPr>
          <w:rFonts w:ascii="Verdana" w:hAnsi="Verdana"/>
          <w:sz w:val="18"/>
          <w:szCs w:val="18"/>
        </w:rPr>
        <w:t xml:space="preserve"> de voorschriften inzake de verschoning en wraking van rechters</w:t>
      </w:r>
      <w:r>
        <w:rPr>
          <w:rFonts w:ascii="Verdana" w:hAnsi="Verdana"/>
          <w:sz w:val="18"/>
          <w:szCs w:val="18"/>
        </w:rPr>
        <w:t xml:space="preserve"> in het civiele, straf- en bestuursprocesrecht (respectievelijk in de artikelen 36-39 Rv, 512-515 Sv en 8:15-8:18 </w:t>
      </w:r>
      <w:proofErr w:type="spellStart"/>
      <w:r>
        <w:rPr>
          <w:rFonts w:ascii="Verdana" w:hAnsi="Verdana"/>
          <w:sz w:val="18"/>
          <w:szCs w:val="18"/>
        </w:rPr>
        <w:t>Awb</w:t>
      </w:r>
      <w:proofErr w:type="spellEnd"/>
      <w:r>
        <w:rPr>
          <w:rFonts w:ascii="Verdana" w:hAnsi="Verdana"/>
          <w:sz w:val="18"/>
          <w:szCs w:val="18"/>
        </w:rPr>
        <w:t>)</w:t>
      </w:r>
      <w:r w:rsidRPr="00B461EC">
        <w:rPr>
          <w:rFonts w:ascii="Verdana" w:hAnsi="Verdana"/>
          <w:sz w:val="18"/>
          <w:szCs w:val="18"/>
        </w:rPr>
        <w:t>. Voorts hebben enkele wettelijke voorschriften impliciet betrekking op de rechterlijke onpartijdigheid</w:t>
      </w:r>
      <w:r>
        <w:rPr>
          <w:rFonts w:ascii="Verdana" w:hAnsi="Verdana"/>
          <w:sz w:val="18"/>
          <w:szCs w:val="18"/>
        </w:rPr>
        <w:t>, bijvoorbeeld artikel</w:t>
      </w:r>
      <w:r w:rsidRPr="0073756C">
        <w:rPr>
          <w:rFonts w:ascii="Verdana" w:hAnsi="Verdana"/>
          <w:sz w:val="18"/>
          <w:szCs w:val="18"/>
        </w:rPr>
        <w:t xml:space="preserve"> 12 Wet RO</w:t>
      </w:r>
      <w:r>
        <w:rPr>
          <w:rFonts w:ascii="Verdana" w:hAnsi="Verdana"/>
          <w:sz w:val="18"/>
          <w:szCs w:val="18"/>
        </w:rPr>
        <w:t xml:space="preserve"> over het verbod op contact met partijen, artikel</w:t>
      </w:r>
      <w:r w:rsidRPr="0073756C">
        <w:rPr>
          <w:rFonts w:ascii="Verdana" w:hAnsi="Verdana"/>
          <w:sz w:val="18"/>
          <w:szCs w:val="18"/>
        </w:rPr>
        <w:t xml:space="preserve"> 5g </w:t>
      </w:r>
      <w:proofErr w:type="spellStart"/>
      <w:r w:rsidRPr="0073756C">
        <w:rPr>
          <w:rFonts w:ascii="Verdana" w:hAnsi="Verdana"/>
          <w:sz w:val="18"/>
          <w:szCs w:val="18"/>
        </w:rPr>
        <w:t>Wrra</w:t>
      </w:r>
      <w:proofErr w:type="spellEnd"/>
      <w:r>
        <w:rPr>
          <w:rFonts w:ascii="Verdana" w:hAnsi="Verdana"/>
          <w:sz w:val="18"/>
          <w:szCs w:val="18"/>
        </w:rPr>
        <w:t xml:space="preserve"> over het afleggen van de eed </w:t>
      </w:r>
      <w:r w:rsidRPr="0073756C">
        <w:rPr>
          <w:rFonts w:ascii="Verdana" w:hAnsi="Verdana"/>
          <w:sz w:val="18"/>
          <w:szCs w:val="18"/>
        </w:rPr>
        <w:t xml:space="preserve">en </w:t>
      </w:r>
      <w:r w:rsidR="005C0E0E">
        <w:rPr>
          <w:rFonts w:ascii="Verdana" w:hAnsi="Verdana"/>
          <w:sz w:val="18"/>
          <w:szCs w:val="18"/>
        </w:rPr>
        <w:t>artikel</w:t>
      </w:r>
      <w:r w:rsidRPr="0073756C">
        <w:rPr>
          <w:rFonts w:ascii="Verdana" w:hAnsi="Verdana"/>
          <w:sz w:val="18"/>
          <w:szCs w:val="18"/>
        </w:rPr>
        <w:t xml:space="preserve"> 44 </w:t>
      </w:r>
      <w:proofErr w:type="spellStart"/>
      <w:r w:rsidRPr="0073756C">
        <w:rPr>
          <w:rFonts w:ascii="Verdana" w:hAnsi="Verdana"/>
          <w:sz w:val="18"/>
          <w:szCs w:val="18"/>
        </w:rPr>
        <w:t>Wrra</w:t>
      </w:r>
      <w:proofErr w:type="spellEnd"/>
      <w:r>
        <w:rPr>
          <w:rFonts w:ascii="Verdana" w:hAnsi="Verdana"/>
          <w:sz w:val="18"/>
          <w:szCs w:val="18"/>
        </w:rPr>
        <w:t xml:space="preserve"> over onverenigbare nevenfuncties</w:t>
      </w:r>
      <w:r w:rsidRPr="0073756C">
        <w:rPr>
          <w:rFonts w:ascii="Verdana" w:hAnsi="Verdana"/>
          <w:sz w:val="18"/>
          <w:szCs w:val="18"/>
        </w:rPr>
        <w:t>.</w:t>
      </w:r>
    </w:p>
    <w:p w:rsidR="004C682C" w:rsidRPr="00D91ECC" w:rsidRDefault="00823A6F" w:rsidP="00D91ECC">
      <w:pPr>
        <w:pStyle w:val="Geenafstand"/>
        <w:spacing w:line="280" w:lineRule="atLeast"/>
        <w:rPr>
          <w:rFonts w:ascii="Verdana" w:hAnsi="Verdana"/>
          <w:sz w:val="18"/>
          <w:szCs w:val="18"/>
        </w:rPr>
      </w:pPr>
      <w:r>
        <w:rPr>
          <w:rFonts w:ascii="Verdana" w:hAnsi="Verdana"/>
          <w:sz w:val="18"/>
          <w:szCs w:val="18"/>
        </w:rPr>
        <w:t>7</w:t>
      </w:r>
      <w:r w:rsidR="00D91ECC">
        <w:rPr>
          <w:rFonts w:ascii="Verdana" w:hAnsi="Verdana"/>
          <w:sz w:val="18"/>
          <w:szCs w:val="18"/>
        </w:rPr>
        <w:t xml:space="preserve">.3 </w:t>
      </w:r>
      <w:r w:rsidR="00D91ECC">
        <w:rPr>
          <w:rFonts w:ascii="Verdana" w:hAnsi="Verdana"/>
          <w:sz w:val="18"/>
          <w:szCs w:val="18"/>
        </w:rPr>
        <w:tab/>
      </w:r>
      <w:r w:rsidR="004C682C" w:rsidRPr="00D91ECC">
        <w:rPr>
          <w:rFonts w:ascii="Verdana" w:hAnsi="Verdana"/>
          <w:sz w:val="18"/>
          <w:szCs w:val="18"/>
        </w:rPr>
        <w:t>Redelijke termijn</w:t>
      </w:r>
    </w:p>
    <w:p w:rsidR="00D91ECC" w:rsidRDefault="00D91ECC" w:rsidP="00D91ECC">
      <w:pPr>
        <w:pStyle w:val="Geenafstand"/>
        <w:spacing w:line="280" w:lineRule="atLeast"/>
        <w:rPr>
          <w:rFonts w:ascii="Verdana" w:hAnsi="Verdana"/>
          <w:sz w:val="18"/>
          <w:szCs w:val="18"/>
        </w:rPr>
      </w:pPr>
    </w:p>
    <w:p w:rsidR="00BF0CF3" w:rsidRDefault="00845BEE" w:rsidP="00D91ECC">
      <w:pPr>
        <w:pStyle w:val="Geenafstand"/>
        <w:spacing w:line="280" w:lineRule="atLeast"/>
        <w:rPr>
          <w:rFonts w:ascii="Verdana" w:hAnsi="Verdana"/>
          <w:sz w:val="18"/>
          <w:szCs w:val="18"/>
        </w:rPr>
      </w:pPr>
      <w:r>
        <w:rPr>
          <w:rFonts w:ascii="Verdana" w:hAnsi="Verdana"/>
          <w:sz w:val="18"/>
          <w:szCs w:val="18"/>
        </w:rPr>
        <w:t>Zoals hiervoor uiteengezet is b</w:t>
      </w:r>
      <w:r w:rsidR="00156206" w:rsidRPr="00D91ECC">
        <w:rPr>
          <w:rFonts w:ascii="Verdana" w:hAnsi="Verdana"/>
          <w:sz w:val="18"/>
          <w:szCs w:val="18"/>
        </w:rPr>
        <w:t xml:space="preserve">erechting </w:t>
      </w:r>
      <w:r>
        <w:rPr>
          <w:rFonts w:ascii="Verdana" w:hAnsi="Verdana"/>
          <w:sz w:val="18"/>
          <w:szCs w:val="18"/>
        </w:rPr>
        <w:t xml:space="preserve">binnen een redelijke termijn </w:t>
      </w:r>
      <w:r w:rsidR="00156206" w:rsidRPr="00D91ECC">
        <w:rPr>
          <w:rFonts w:ascii="Verdana" w:hAnsi="Verdana"/>
          <w:sz w:val="18"/>
          <w:szCs w:val="18"/>
        </w:rPr>
        <w:t>een essentieel onderdeel van het r</w:t>
      </w:r>
      <w:r>
        <w:rPr>
          <w:rFonts w:ascii="Verdana" w:hAnsi="Verdana"/>
          <w:sz w:val="18"/>
          <w:szCs w:val="18"/>
        </w:rPr>
        <w:t>echt op een eerlijk proces. E</w:t>
      </w:r>
      <w:r w:rsidR="00156206" w:rsidRPr="00D91ECC">
        <w:rPr>
          <w:rFonts w:ascii="Verdana" w:hAnsi="Verdana"/>
          <w:sz w:val="18"/>
          <w:szCs w:val="18"/>
        </w:rPr>
        <w:t>r is feitelijk geen eerli</w:t>
      </w:r>
      <w:r>
        <w:rPr>
          <w:rFonts w:ascii="Verdana" w:hAnsi="Verdana"/>
          <w:sz w:val="18"/>
          <w:szCs w:val="18"/>
        </w:rPr>
        <w:t>jk proces als een rechterlijke</w:t>
      </w:r>
      <w:r w:rsidR="00156206" w:rsidRPr="00D91ECC">
        <w:rPr>
          <w:rFonts w:ascii="Verdana" w:hAnsi="Verdana"/>
          <w:sz w:val="18"/>
          <w:szCs w:val="18"/>
        </w:rPr>
        <w:t xml:space="preserve"> procedure </w:t>
      </w:r>
      <w:r w:rsidR="009354D1">
        <w:rPr>
          <w:rFonts w:ascii="Verdana" w:hAnsi="Verdana"/>
          <w:sz w:val="18"/>
          <w:szCs w:val="18"/>
        </w:rPr>
        <w:t>buitensporig</w:t>
      </w:r>
      <w:r>
        <w:rPr>
          <w:rFonts w:ascii="Verdana" w:hAnsi="Verdana"/>
          <w:sz w:val="18"/>
          <w:szCs w:val="18"/>
        </w:rPr>
        <w:t xml:space="preserve"> lang duurt</w:t>
      </w:r>
      <w:r w:rsidR="00156206" w:rsidRPr="00D91ECC">
        <w:rPr>
          <w:rFonts w:ascii="Verdana" w:hAnsi="Verdana"/>
          <w:sz w:val="18"/>
          <w:szCs w:val="18"/>
        </w:rPr>
        <w:t xml:space="preserve">. </w:t>
      </w:r>
      <w:r>
        <w:rPr>
          <w:rFonts w:ascii="Verdana" w:hAnsi="Verdana"/>
          <w:sz w:val="18"/>
          <w:szCs w:val="18"/>
        </w:rPr>
        <w:t>De berechting binnen een redelijke termijn is een eigenschap van een goede rechtsbedeling, waarbij een evenwicht moet worden gevonden tussen de kwaliteit van de procesvoering en de snelheid van de berechting.</w:t>
      </w:r>
      <w:r>
        <w:rPr>
          <w:rStyle w:val="Voetnootmarkering"/>
          <w:rFonts w:ascii="Verdana" w:hAnsi="Verdana"/>
          <w:sz w:val="18"/>
          <w:szCs w:val="18"/>
        </w:rPr>
        <w:footnoteReference w:id="77"/>
      </w:r>
      <w:r>
        <w:rPr>
          <w:rFonts w:ascii="Verdana" w:hAnsi="Verdana"/>
          <w:sz w:val="18"/>
          <w:szCs w:val="18"/>
        </w:rPr>
        <w:t xml:space="preserve"> Grondwettelijke verankering van de</w:t>
      </w:r>
      <w:r w:rsidR="00156206" w:rsidRPr="00D91ECC">
        <w:rPr>
          <w:rFonts w:ascii="Verdana" w:hAnsi="Verdana"/>
          <w:sz w:val="18"/>
          <w:szCs w:val="18"/>
        </w:rPr>
        <w:t xml:space="preserve">ze notie heeft organisatorische implicaties, in die zin dat </w:t>
      </w:r>
      <w:r w:rsidR="00B65D69">
        <w:rPr>
          <w:rFonts w:ascii="Verdana" w:hAnsi="Verdana"/>
          <w:sz w:val="18"/>
          <w:szCs w:val="18"/>
        </w:rPr>
        <w:t xml:space="preserve">de rechtspraak </w:t>
      </w:r>
      <w:r w:rsidR="00156206" w:rsidRPr="00D91ECC">
        <w:rPr>
          <w:rFonts w:ascii="Verdana" w:hAnsi="Verdana"/>
          <w:sz w:val="18"/>
          <w:szCs w:val="18"/>
        </w:rPr>
        <w:t xml:space="preserve">zo moet zijn georganiseerd dat berechting binnen een redelijke termijn daadwerkelijk mogelijk is. </w:t>
      </w:r>
      <w:r w:rsidR="0043747E">
        <w:rPr>
          <w:rFonts w:ascii="Verdana" w:hAnsi="Verdana"/>
          <w:sz w:val="18"/>
          <w:szCs w:val="18"/>
        </w:rPr>
        <w:t>De</w:t>
      </w:r>
      <w:r w:rsidR="000A553F">
        <w:rPr>
          <w:rFonts w:ascii="Verdana" w:hAnsi="Verdana"/>
          <w:sz w:val="18"/>
          <w:szCs w:val="18"/>
        </w:rPr>
        <w:t xml:space="preserve"> termijnen </w:t>
      </w:r>
      <w:r w:rsidR="0043747E">
        <w:rPr>
          <w:rFonts w:ascii="Verdana" w:hAnsi="Verdana"/>
          <w:sz w:val="18"/>
          <w:szCs w:val="18"/>
        </w:rPr>
        <w:t xml:space="preserve">voor afzonderlijke fasen in een juridische procedure, bijvoorbeeld voor het indienen van processtukken, </w:t>
      </w:r>
      <w:r w:rsidR="000A553F">
        <w:rPr>
          <w:rFonts w:ascii="Verdana" w:hAnsi="Verdana"/>
          <w:sz w:val="18"/>
          <w:szCs w:val="18"/>
        </w:rPr>
        <w:t>zijn</w:t>
      </w:r>
      <w:r w:rsidR="00B65D69">
        <w:rPr>
          <w:rFonts w:ascii="Verdana" w:hAnsi="Verdana"/>
          <w:sz w:val="18"/>
          <w:szCs w:val="18"/>
        </w:rPr>
        <w:t xml:space="preserve"> verankerd in het procesrecht. </w:t>
      </w:r>
    </w:p>
    <w:p w:rsidR="00BF0CF3" w:rsidRDefault="00BF0CF3" w:rsidP="00D91ECC">
      <w:pPr>
        <w:pStyle w:val="Geenafstand"/>
        <w:spacing w:line="280" w:lineRule="atLeast"/>
        <w:rPr>
          <w:rFonts w:ascii="Verdana" w:hAnsi="Verdana"/>
          <w:sz w:val="18"/>
          <w:szCs w:val="18"/>
        </w:rPr>
      </w:pPr>
    </w:p>
    <w:p w:rsidR="00A03FEC" w:rsidRDefault="00845BEE" w:rsidP="00D91ECC">
      <w:pPr>
        <w:pStyle w:val="Geenafstand"/>
        <w:spacing w:line="280" w:lineRule="atLeast"/>
        <w:rPr>
          <w:rFonts w:ascii="Verdana" w:hAnsi="Verdana"/>
          <w:sz w:val="18"/>
          <w:szCs w:val="18"/>
        </w:rPr>
      </w:pPr>
      <w:r>
        <w:rPr>
          <w:rFonts w:ascii="Verdana" w:hAnsi="Verdana"/>
          <w:sz w:val="18"/>
          <w:szCs w:val="18"/>
        </w:rPr>
        <w:t>Wat een redelijke termijn is</w:t>
      </w:r>
      <w:r w:rsidR="0025121C">
        <w:rPr>
          <w:rFonts w:ascii="Verdana" w:hAnsi="Verdana"/>
          <w:sz w:val="18"/>
          <w:szCs w:val="18"/>
        </w:rPr>
        <w:t>,</w:t>
      </w:r>
      <w:r>
        <w:rPr>
          <w:rFonts w:ascii="Verdana" w:hAnsi="Verdana"/>
          <w:sz w:val="18"/>
          <w:szCs w:val="18"/>
        </w:rPr>
        <w:t xml:space="preserve"> </w:t>
      </w:r>
      <w:r w:rsidR="009354D1">
        <w:rPr>
          <w:rFonts w:ascii="Verdana" w:hAnsi="Verdana"/>
          <w:sz w:val="18"/>
          <w:szCs w:val="18"/>
        </w:rPr>
        <w:t xml:space="preserve">is contextafhankelijk en </w:t>
      </w:r>
      <w:r>
        <w:rPr>
          <w:rFonts w:ascii="Verdana" w:hAnsi="Verdana"/>
          <w:sz w:val="18"/>
          <w:szCs w:val="18"/>
        </w:rPr>
        <w:t xml:space="preserve">blijft </w:t>
      </w:r>
      <w:r w:rsidR="009B343D">
        <w:rPr>
          <w:rFonts w:ascii="Verdana" w:hAnsi="Verdana"/>
          <w:sz w:val="18"/>
          <w:szCs w:val="18"/>
        </w:rPr>
        <w:t xml:space="preserve">ook met opname van deze notie in de Grondwet </w:t>
      </w:r>
      <w:r w:rsidR="009354D1">
        <w:rPr>
          <w:rFonts w:ascii="Verdana" w:hAnsi="Verdana"/>
          <w:sz w:val="18"/>
          <w:szCs w:val="18"/>
        </w:rPr>
        <w:t xml:space="preserve">daarom </w:t>
      </w:r>
      <w:r>
        <w:rPr>
          <w:rFonts w:ascii="Verdana" w:hAnsi="Verdana"/>
          <w:sz w:val="18"/>
          <w:szCs w:val="18"/>
        </w:rPr>
        <w:t xml:space="preserve">in hoofdzaak aan de rechter. </w:t>
      </w:r>
      <w:r w:rsidR="00B65D69">
        <w:rPr>
          <w:rFonts w:ascii="Verdana" w:hAnsi="Verdana"/>
          <w:sz w:val="18"/>
          <w:szCs w:val="18"/>
        </w:rPr>
        <w:t xml:space="preserve">Uit vaste </w:t>
      </w:r>
      <w:r w:rsidR="00156206" w:rsidRPr="00D91ECC">
        <w:rPr>
          <w:rFonts w:ascii="Verdana" w:hAnsi="Verdana"/>
          <w:sz w:val="18"/>
          <w:szCs w:val="18"/>
        </w:rPr>
        <w:t>jur</w:t>
      </w:r>
      <w:r w:rsidR="00B65D69">
        <w:rPr>
          <w:rFonts w:ascii="Verdana" w:hAnsi="Verdana"/>
          <w:sz w:val="18"/>
          <w:szCs w:val="18"/>
        </w:rPr>
        <w:t>isprudentie blijkt bijvoorbeeld dat naarmate de belangen groter zijn,</w:t>
      </w:r>
      <w:r w:rsidR="00156206" w:rsidRPr="00D91ECC">
        <w:rPr>
          <w:rFonts w:ascii="Verdana" w:hAnsi="Verdana"/>
          <w:sz w:val="18"/>
          <w:szCs w:val="18"/>
        </w:rPr>
        <w:t xml:space="preserve"> een zaak sneller </w:t>
      </w:r>
      <w:r w:rsidR="00B65D69">
        <w:rPr>
          <w:rFonts w:ascii="Verdana" w:hAnsi="Verdana"/>
          <w:sz w:val="18"/>
          <w:szCs w:val="18"/>
        </w:rPr>
        <w:t xml:space="preserve">moet </w:t>
      </w:r>
      <w:r w:rsidR="00156206" w:rsidRPr="00D91ECC">
        <w:rPr>
          <w:rFonts w:ascii="Verdana" w:hAnsi="Verdana"/>
          <w:sz w:val="18"/>
          <w:szCs w:val="18"/>
        </w:rPr>
        <w:t>worden afgedaan.</w:t>
      </w:r>
      <w:r w:rsidR="0043747E">
        <w:rPr>
          <w:rFonts w:ascii="Verdana" w:hAnsi="Verdana"/>
          <w:sz w:val="18"/>
          <w:szCs w:val="18"/>
        </w:rPr>
        <w:t xml:space="preserve"> </w:t>
      </w:r>
      <w:r w:rsidR="00BF0CF3">
        <w:rPr>
          <w:rFonts w:ascii="Verdana" w:hAnsi="Verdana"/>
          <w:sz w:val="18"/>
          <w:szCs w:val="18"/>
        </w:rPr>
        <w:t xml:space="preserve">De redelijkheid van de duur van een (straf)zaak is afhankelijk van onder meer de </w:t>
      </w:r>
      <w:r w:rsidR="009354D1">
        <w:rPr>
          <w:rFonts w:ascii="Verdana" w:hAnsi="Verdana"/>
          <w:sz w:val="18"/>
          <w:szCs w:val="18"/>
        </w:rPr>
        <w:t>complexiteit</w:t>
      </w:r>
      <w:r w:rsidR="00BF0CF3">
        <w:rPr>
          <w:rFonts w:ascii="Verdana" w:hAnsi="Verdana"/>
          <w:sz w:val="18"/>
          <w:szCs w:val="18"/>
        </w:rPr>
        <w:t xml:space="preserve"> van de zaak, de invloed van de verdachte en/of zijn raadsman op het procesverloop en de wijze waarop de zaak door de bevoegde autoriteiten i</w:t>
      </w:r>
      <w:r w:rsidR="0017114E">
        <w:rPr>
          <w:rFonts w:ascii="Verdana" w:hAnsi="Verdana"/>
          <w:sz w:val="18"/>
          <w:szCs w:val="18"/>
        </w:rPr>
        <w:t>s</w:t>
      </w:r>
      <w:r w:rsidR="00BF0CF3">
        <w:rPr>
          <w:rFonts w:ascii="Verdana" w:hAnsi="Verdana"/>
          <w:sz w:val="18"/>
          <w:szCs w:val="18"/>
        </w:rPr>
        <w:t xml:space="preserve"> behandeld.</w:t>
      </w:r>
      <w:r w:rsidR="00BF0CF3">
        <w:rPr>
          <w:rStyle w:val="Voetnootmarkering"/>
          <w:rFonts w:ascii="Verdana" w:hAnsi="Verdana"/>
          <w:sz w:val="18"/>
          <w:szCs w:val="18"/>
        </w:rPr>
        <w:footnoteReference w:id="78"/>
      </w:r>
      <w:r w:rsidR="00BF0CF3">
        <w:rPr>
          <w:rFonts w:ascii="Verdana" w:hAnsi="Verdana"/>
          <w:sz w:val="18"/>
          <w:szCs w:val="18"/>
        </w:rPr>
        <w:t xml:space="preserve"> </w:t>
      </w:r>
      <w:r w:rsidR="00124E40">
        <w:rPr>
          <w:rFonts w:ascii="Verdana" w:hAnsi="Verdana"/>
          <w:sz w:val="18"/>
          <w:szCs w:val="18"/>
        </w:rPr>
        <w:t>Ook kan een burger de schade die hij lijdt door overschrijding van de redelijke termijn vergoed krijgen.</w:t>
      </w:r>
      <w:r w:rsidR="00124E40">
        <w:rPr>
          <w:rStyle w:val="Voetnootmarkering"/>
          <w:rFonts w:ascii="Verdana" w:hAnsi="Verdana"/>
          <w:sz w:val="18"/>
          <w:szCs w:val="18"/>
        </w:rPr>
        <w:footnoteReference w:id="79"/>
      </w:r>
      <w:r w:rsidR="00124E40">
        <w:rPr>
          <w:rFonts w:ascii="Verdana" w:hAnsi="Verdana"/>
          <w:sz w:val="18"/>
          <w:szCs w:val="18"/>
        </w:rPr>
        <w:t xml:space="preserve"> Overschrijding van de redelijke termijn kan bovendien worden aangemerkt als een onrechtmatige daad, die kan leiden tot vergoeding van de immateriële schade</w:t>
      </w:r>
      <w:r w:rsidR="000F3C77">
        <w:rPr>
          <w:rFonts w:ascii="Verdana" w:hAnsi="Verdana"/>
          <w:sz w:val="18"/>
          <w:szCs w:val="18"/>
        </w:rPr>
        <w:t>.</w:t>
      </w:r>
      <w:r w:rsidR="00124E40">
        <w:rPr>
          <w:rFonts w:ascii="Verdana" w:hAnsi="Verdana"/>
          <w:sz w:val="18"/>
          <w:szCs w:val="18"/>
        </w:rPr>
        <w:t xml:space="preserve"> </w:t>
      </w:r>
      <w:r w:rsidR="000F3C77">
        <w:rPr>
          <w:rFonts w:ascii="Verdana" w:hAnsi="Verdana"/>
          <w:sz w:val="18"/>
          <w:szCs w:val="18"/>
        </w:rPr>
        <w:t>I</w:t>
      </w:r>
      <w:r w:rsidR="00124E40">
        <w:rPr>
          <w:rFonts w:ascii="Verdana" w:hAnsi="Verdana"/>
          <w:sz w:val="18"/>
          <w:szCs w:val="18"/>
        </w:rPr>
        <w:t xml:space="preserve">n het geval van </w:t>
      </w:r>
      <w:r w:rsidR="000F3C77">
        <w:rPr>
          <w:rFonts w:ascii="Verdana" w:hAnsi="Verdana"/>
          <w:sz w:val="18"/>
          <w:szCs w:val="18"/>
        </w:rPr>
        <w:t xml:space="preserve">een </w:t>
      </w:r>
      <w:r w:rsidR="00124E40">
        <w:rPr>
          <w:rFonts w:ascii="Verdana" w:hAnsi="Verdana"/>
          <w:sz w:val="18"/>
          <w:szCs w:val="18"/>
        </w:rPr>
        <w:t>strafza</w:t>
      </w:r>
      <w:r w:rsidR="000F3C77">
        <w:rPr>
          <w:rFonts w:ascii="Verdana" w:hAnsi="Verdana"/>
          <w:sz w:val="18"/>
          <w:szCs w:val="18"/>
        </w:rPr>
        <w:t>a</w:t>
      </w:r>
      <w:r w:rsidR="00124E40">
        <w:rPr>
          <w:rFonts w:ascii="Verdana" w:hAnsi="Verdana"/>
          <w:sz w:val="18"/>
          <w:szCs w:val="18"/>
        </w:rPr>
        <w:t>k</w:t>
      </w:r>
      <w:r w:rsidR="000F3C77">
        <w:rPr>
          <w:rFonts w:ascii="Verdana" w:hAnsi="Verdana"/>
          <w:sz w:val="18"/>
          <w:szCs w:val="18"/>
        </w:rPr>
        <w:t xml:space="preserve"> kan overschrijding van de redelijke termijn leiden</w:t>
      </w:r>
      <w:r w:rsidR="00124E40">
        <w:rPr>
          <w:rFonts w:ascii="Verdana" w:hAnsi="Verdana"/>
          <w:sz w:val="18"/>
          <w:szCs w:val="18"/>
        </w:rPr>
        <w:t xml:space="preserve"> tot strafvermindering.</w:t>
      </w:r>
    </w:p>
    <w:p w:rsidR="00A03FEC" w:rsidRDefault="00A03FEC" w:rsidP="00D91ECC">
      <w:pPr>
        <w:pStyle w:val="Geenafstand"/>
        <w:spacing w:line="280" w:lineRule="atLeast"/>
        <w:rPr>
          <w:rFonts w:ascii="Verdana" w:hAnsi="Verdana"/>
          <w:sz w:val="18"/>
          <w:szCs w:val="18"/>
        </w:rPr>
      </w:pPr>
    </w:p>
    <w:p w:rsidR="0043747E" w:rsidRDefault="000227D8" w:rsidP="00D91ECC">
      <w:pPr>
        <w:pStyle w:val="Geenafstand"/>
        <w:spacing w:line="280" w:lineRule="atLeast"/>
        <w:rPr>
          <w:rFonts w:ascii="Verdana" w:hAnsi="Verdana"/>
          <w:sz w:val="18"/>
          <w:szCs w:val="18"/>
        </w:rPr>
      </w:pPr>
      <w:r>
        <w:rPr>
          <w:rFonts w:ascii="Verdana" w:hAnsi="Verdana"/>
          <w:sz w:val="18"/>
          <w:szCs w:val="18"/>
        </w:rPr>
        <w:t>De Grondwet bevat reeds een bepaling over berechting binnen een redelijke termijn in verband met de lengte van het voorarrest. Artikel 15, derde lid, Grondwet bepaalt dat de berechting van hem aan wie met het oog daarop zijn vrijheid is ontnomen, binnen een redelijke termijn plaatsvindt. Deze bepaling bevat een waarborg tegen een onevenredig lang voorarrest. Wat een redelijke termijn is, is volgens de grondwetgever van 1983 in abstracto moeilijk aan te geven en derhalve niet (grond)wettelijk vastgelegd.</w:t>
      </w:r>
      <w:r>
        <w:rPr>
          <w:rStyle w:val="Voetnootmarkering"/>
          <w:rFonts w:ascii="Verdana" w:hAnsi="Verdana"/>
          <w:sz w:val="18"/>
          <w:szCs w:val="18"/>
        </w:rPr>
        <w:footnoteReference w:id="80"/>
      </w:r>
      <w:r>
        <w:rPr>
          <w:rFonts w:ascii="Verdana" w:hAnsi="Verdana"/>
          <w:sz w:val="18"/>
          <w:szCs w:val="18"/>
        </w:rPr>
        <w:t xml:space="preserve"> Daarbij zal onder meer een rol spelen de tijd die nodig is om het gerechtelijk onderzoek te voltooien.</w:t>
      </w:r>
    </w:p>
    <w:p w:rsidR="000227D8" w:rsidRDefault="000227D8" w:rsidP="00D91ECC">
      <w:pPr>
        <w:pStyle w:val="Geenafstand"/>
        <w:spacing w:line="280" w:lineRule="atLeast"/>
        <w:rPr>
          <w:rFonts w:ascii="Verdana" w:hAnsi="Verdana"/>
          <w:sz w:val="18"/>
          <w:szCs w:val="18"/>
        </w:rPr>
      </w:pPr>
    </w:p>
    <w:p w:rsidR="00B17F15" w:rsidRDefault="000A553F" w:rsidP="000A553F">
      <w:pPr>
        <w:pStyle w:val="Geenafstand"/>
        <w:spacing w:line="280" w:lineRule="atLeast"/>
        <w:rPr>
          <w:rFonts w:ascii="Verdana" w:hAnsi="Verdana"/>
          <w:sz w:val="18"/>
          <w:szCs w:val="18"/>
        </w:rPr>
      </w:pPr>
      <w:r>
        <w:rPr>
          <w:rFonts w:ascii="Verdana" w:hAnsi="Verdana"/>
          <w:sz w:val="18"/>
          <w:szCs w:val="18"/>
        </w:rPr>
        <w:t xml:space="preserve">De hoofdlijnen van de </w:t>
      </w:r>
      <w:r w:rsidR="0011593C">
        <w:rPr>
          <w:rFonts w:ascii="Verdana" w:hAnsi="Verdana"/>
          <w:sz w:val="18"/>
          <w:szCs w:val="18"/>
        </w:rPr>
        <w:t xml:space="preserve">huidige uitleg van berechting binnen een redelijke termijn in de </w:t>
      </w:r>
      <w:r w:rsidR="00BF0CF3">
        <w:rPr>
          <w:rFonts w:ascii="Verdana" w:hAnsi="Verdana"/>
          <w:sz w:val="18"/>
          <w:szCs w:val="18"/>
        </w:rPr>
        <w:t xml:space="preserve">Nederlandse </w:t>
      </w:r>
      <w:r>
        <w:rPr>
          <w:rFonts w:ascii="Verdana" w:hAnsi="Verdana"/>
          <w:sz w:val="18"/>
          <w:szCs w:val="18"/>
        </w:rPr>
        <w:t xml:space="preserve">jurisprudentie </w:t>
      </w:r>
      <w:r w:rsidR="009B343D">
        <w:rPr>
          <w:rFonts w:ascii="Verdana" w:hAnsi="Verdana"/>
          <w:sz w:val="18"/>
          <w:szCs w:val="18"/>
        </w:rPr>
        <w:t>kunnen als volgt worden samengevat.</w:t>
      </w:r>
      <w:r w:rsidR="00BF0CF3">
        <w:rPr>
          <w:rFonts w:ascii="Verdana" w:hAnsi="Verdana"/>
          <w:sz w:val="18"/>
          <w:szCs w:val="18"/>
        </w:rPr>
        <w:t xml:space="preserve"> </w:t>
      </w:r>
      <w:r w:rsidR="00DE11B3">
        <w:rPr>
          <w:rFonts w:ascii="Verdana" w:hAnsi="Verdana"/>
          <w:sz w:val="18"/>
          <w:szCs w:val="18"/>
        </w:rPr>
        <w:t xml:space="preserve">De </w:t>
      </w:r>
      <w:r w:rsidR="0035323F">
        <w:rPr>
          <w:rFonts w:ascii="Verdana" w:hAnsi="Verdana"/>
          <w:sz w:val="18"/>
          <w:szCs w:val="18"/>
        </w:rPr>
        <w:t xml:space="preserve">Hoge Raad </w:t>
      </w:r>
      <w:r w:rsidR="009354D1">
        <w:rPr>
          <w:rFonts w:ascii="Verdana" w:hAnsi="Verdana"/>
          <w:sz w:val="18"/>
          <w:szCs w:val="18"/>
        </w:rPr>
        <w:t>heeft in 2008</w:t>
      </w:r>
      <w:r w:rsidR="00E22224">
        <w:rPr>
          <w:rFonts w:ascii="Verdana" w:hAnsi="Verdana"/>
          <w:sz w:val="18"/>
          <w:szCs w:val="18"/>
        </w:rPr>
        <w:t xml:space="preserve"> </w:t>
      </w:r>
      <w:r w:rsidR="008F275A">
        <w:rPr>
          <w:rFonts w:ascii="Verdana" w:hAnsi="Verdana"/>
          <w:sz w:val="18"/>
          <w:szCs w:val="18"/>
        </w:rPr>
        <w:t xml:space="preserve">in </w:t>
      </w:r>
      <w:r w:rsidR="00E22224">
        <w:rPr>
          <w:rFonts w:ascii="Verdana" w:hAnsi="Verdana"/>
          <w:sz w:val="18"/>
          <w:szCs w:val="18"/>
        </w:rPr>
        <w:t xml:space="preserve">een uitspraak </w:t>
      </w:r>
      <w:r w:rsidR="009942E3">
        <w:rPr>
          <w:rFonts w:ascii="Verdana" w:hAnsi="Verdana"/>
          <w:sz w:val="18"/>
          <w:szCs w:val="18"/>
        </w:rPr>
        <w:t>geformuleerd hoe de Hoge Raad omgaat met een</w:t>
      </w:r>
      <w:r w:rsidR="00BF0CF3">
        <w:rPr>
          <w:rFonts w:ascii="Verdana" w:hAnsi="Verdana"/>
          <w:sz w:val="18"/>
          <w:szCs w:val="18"/>
        </w:rPr>
        <w:t xml:space="preserve"> overschrijding van de redelijke termijn in </w:t>
      </w:r>
      <w:r w:rsidR="00BF0CF3">
        <w:rPr>
          <w:rFonts w:ascii="Verdana" w:hAnsi="Verdana"/>
          <w:sz w:val="18"/>
          <w:szCs w:val="18"/>
        </w:rPr>
        <w:lastRenderedPageBreak/>
        <w:t>strafzaken en het rechtsgevolg dat daaraan moet</w:t>
      </w:r>
      <w:r w:rsidR="000B162D">
        <w:rPr>
          <w:rFonts w:ascii="Verdana" w:hAnsi="Verdana"/>
          <w:sz w:val="18"/>
          <w:szCs w:val="18"/>
        </w:rPr>
        <w:t xml:space="preserve"> worden verbonden</w:t>
      </w:r>
      <w:r w:rsidR="00BF0CF3">
        <w:rPr>
          <w:rFonts w:ascii="Verdana" w:hAnsi="Verdana"/>
          <w:sz w:val="18"/>
          <w:szCs w:val="18"/>
        </w:rPr>
        <w:t>.</w:t>
      </w:r>
      <w:r w:rsidR="00BF0CF3">
        <w:rPr>
          <w:rStyle w:val="Voetnootmarkering"/>
          <w:rFonts w:ascii="Verdana" w:hAnsi="Verdana"/>
          <w:sz w:val="18"/>
          <w:szCs w:val="18"/>
        </w:rPr>
        <w:footnoteReference w:id="81"/>
      </w:r>
      <w:r w:rsidR="00BF0CF3">
        <w:rPr>
          <w:rFonts w:ascii="Verdana" w:hAnsi="Verdana"/>
          <w:sz w:val="18"/>
          <w:szCs w:val="18"/>
        </w:rPr>
        <w:t xml:space="preserve"> De r</w:t>
      </w:r>
      <w:r w:rsidR="0035323F">
        <w:rPr>
          <w:rFonts w:ascii="Verdana" w:hAnsi="Verdana"/>
          <w:sz w:val="18"/>
          <w:szCs w:val="18"/>
        </w:rPr>
        <w:t xml:space="preserve">edelijke termijn mag </w:t>
      </w:r>
      <w:r w:rsidR="000906AF">
        <w:rPr>
          <w:rFonts w:ascii="Verdana" w:hAnsi="Verdana"/>
          <w:sz w:val="18"/>
          <w:szCs w:val="18"/>
        </w:rPr>
        <w:t xml:space="preserve">in elke aanleg </w:t>
      </w:r>
      <w:r w:rsidR="00BF0CF3">
        <w:rPr>
          <w:rFonts w:ascii="Verdana" w:hAnsi="Verdana"/>
          <w:sz w:val="18"/>
          <w:szCs w:val="18"/>
        </w:rPr>
        <w:t xml:space="preserve">een </w:t>
      </w:r>
      <w:r w:rsidR="000906AF">
        <w:rPr>
          <w:rFonts w:ascii="Verdana" w:hAnsi="Verdana"/>
          <w:sz w:val="18"/>
          <w:szCs w:val="18"/>
        </w:rPr>
        <w:t xml:space="preserve">maximum van </w:t>
      </w:r>
      <w:r w:rsidR="008F275A">
        <w:rPr>
          <w:rFonts w:ascii="Verdana" w:hAnsi="Verdana"/>
          <w:sz w:val="18"/>
          <w:szCs w:val="18"/>
        </w:rPr>
        <w:t>twee</w:t>
      </w:r>
      <w:r w:rsidR="000906AF">
        <w:rPr>
          <w:rFonts w:ascii="Verdana" w:hAnsi="Verdana"/>
          <w:sz w:val="18"/>
          <w:szCs w:val="18"/>
        </w:rPr>
        <w:t xml:space="preserve"> jaar </w:t>
      </w:r>
      <w:r w:rsidR="0035323F">
        <w:rPr>
          <w:rFonts w:ascii="Verdana" w:hAnsi="Verdana"/>
          <w:sz w:val="18"/>
          <w:szCs w:val="18"/>
        </w:rPr>
        <w:t xml:space="preserve">hebben, behoudens bijzondere omstandigheden. </w:t>
      </w:r>
      <w:r w:rsidR="00101459">
        <w:rPr>
          <w:rFonts w:ascii="Verdana" w:hAnsi="Verdana"/>
          <w:sz w:val="18"/>
          <w:szCs w:val="18"/>
        </w:rPr>
        <w:t>Voor</w:t>
      </w:r>
      <w:r w:rsidR="0035323F">
        <w:rPr>
          <w:rFonts w:ascii="Verdana" w:hAnsi="Verdana"/>
          <w:sz w:val="18"/>
          <w:szCs w:val="18"/>
        </w:rPr>
        <w:t xml:space="preserve"> jeugdige personen</w:t>
      </w:r>
      <w:r w:rsidR="000B162D">
        <w:rPr>
          <w:rFonts w:ascii="Verdana" w:hAnsi="Verdana"/>
          <w:sz w:val="18"/>
          <w:szCs w:val="18"/>
        </w:rPr>
        <w:t>,</w:t>
      </w:r>
      <w:r w:rsidR="0035323F">
        <w:rPr>
          <w:rFonts w:ascii="Verdana" w:hAnsi="Verdana"/>
          <w:sz w:val="18"/>
          <w:szCs w:val="18"/>
        </w:rPr>
        <w:t xml:space="preserve"> of indien de verdachte in voorlopige hechtenis verkeert</w:t>
      </w:r>
      <w:r w:rsidR="00101459">
        <w:rPr>
          <w:rFonts w:ascii="Verdana" w:hAnsi="Verdana"/>
          <w:sz w:val="18"/>
          <w:szCs w:val="18"/>
        </w:rPr>
        <w:t xml:space="preserve"> geld</w:t>
      </w:r>
      <w:r w:rsidR="000906AF">
        <w:rPr>
          <w:rFonts w:ascii="Verdana" w:hAnsi="Verdana"/>
          <w:sz w:val="18"/>
          <w:szCs w:val="18"/>
        </w:rPr>
        <w:t>t een maximum van 16 maanden per</w:t>
      </w:r>
      <w:r w:rsidR="00101459">
        <w:rPr>
          <w:rFonts w:ascii="Verdana" w:hAnsi="Verdana"/>
          <w:sz w:val="18"/>
          <w:szCs w:val="18"/>
        </w:rPr>
        <w:t xml:space="preserve"> aanleg</w:t>
      </w:r>
      <w:r w:rsidR="0035323F">
        <w:rPr>
          <w:rFonts w:ascii="Verdana" w:hAnsi="Verdana"/>
          <w:sz w:val="18"/>
          <w:szCs w:val="18"/>
        </w:rPr>
        <w:t xml:space="preserve">. </w:t>
      </w:r>
      <w:r w:rsidR="00124E40">
        <w:rPr>
          <w:rFonts w:ascii="Verdana" w:hAnsi="Verdana"/>
          <w:sz w:val="18"/>
          <w:szCs w:val="18"/>
        </w:rPr>
        <w:t xml:space="preserve">Uitgangspunt is </w:t>
      </w:r>
      <w:r w:rsidR="00101459">
        <w:rPr>
          <w:rFonts w:ascii="Verdana" w:hAnsi="Verdana"/>
          <w:sz w:val="18"/>
          <w:szCs w:val="18"/>
        </w:rPr>
        <w:t xml:space="preserve">dat overschrijding van de redelijke termijn leidt tot </w:t>
      </w:r>
      <w:r w:rsidR="00124E40">
        <w:rPr>
          <w:rFonts w:ascii="Verdana" w:hAnsi="Verdana"/>
          <w:sz w:val="18"/>
          <w:szCs w:val="18"/>
        </w:rPr>
        <w:t>vermindering</w:t>
      </w:r>
      <w:r w:rsidR="00101459">
        <w:rPr>
          <w:rFonts w:ascii="Verdana" w:hAnsi="Verdana"/>
          <w:sz w:val="18"/>
          <w:szCs w:val="18"/>
        </w:rPr>
        <w:t xml:space="preserve"> van de opgelegde </w:t>
      </w:r>
      <w:r w:rsidR="000906AF">
        <w:rPr>
          <w:rFonts w:ascii="Verdana" w:hAnsi="Verdana"/>
          <w:sz w:val="18"/>
          <w:szCs w:val="18"/>
        </w:rPr>
        <w:t>geld</w:t>
      </w:r>
      <w:r w:rsidR="00101459">
        <w:rPr>
          <w:rFonts w:ascii="Verdana" w:hAnsi="Verdana"/>
          <w:sz w:val="18"/>
          <w:szCs w:val="18"/>
        </w:rPr>
        <w:t>boete of vrijheidsstraf en n</w:t>
      </w:r>
      <w:r w:rsidR="000F3C77">
        <w:rPr>
          <w:rFonts w:ascii="Verdana" w:hAnsi="Verdana"/>
          <w:sz w:val="18"/>
          <w:szCs w:val="18"/>
        </w:rPr>
        <w:t>iet</w:t>
      </w:r>
      <w:r w:rsidR="00101459">
        <w:rPr>
          <w:rFonts w:ascii="Verdana" w:hAnsi="Verdana"/>
          <w:sz w:val="18"/>
          <w:szCs w:val="18"/>
        </w:rPr>
        <w:t xml:space="preserve"> tot de niet-ontvankelijkverklaring van het openbaar ministerie</w:t>
      </w:r>
      <w:r w:rsidR="000906AF">
        <w:rPr>
          <w:rFonts w:ascii="Verdana" w:hAnsi="Verdana"/>
          <w:sz w:val="18"/>
          <w:szCs w:val="18"/>
        </w:rPr>
        <w:t>.</w:t>
      </w:r>
      <w:r w:rsidR="000B162D">
        <w:rPr>
          <w:rFonts w:ascii="Verdana" w:hAnsi="Verdana"/>
          <w:sz w:val="18"/>
          <w:szCs w:val="18"/>
        </w:rPr>
        <w:t xml:space="preserve"> De mate waari</w:t>
      </w:r>
      <w:r w:rsidR="00864284">
        <w:rPr>
          <w:rFonts w:ascii="Verdana" w:hAnsi="Verdana"/>
          <w:sz w:val="18"/>
          <w:szCs w:val="18"/>
        </w:rPr>
        <w:t>n een verdachte wordt gecompens</w:t>
      </w:r>
      <w:r w:rsidR="000B162D">
        <w:rPr>
          <w:rFonts w:ascii="Verdana" w:hAnsi="Verdana"/>
          <w:sz w:val="18"/>
          <w:szCs w:val="18"/>
        </w:rPr>
        <w:t xml:space="preserve">eerd hangt </w:t>
      </w:r>
      <w:r w:rsidR="000F3C77">
        <w:rPr>
          <w:rFonts w:ascii="Verdana" w:hAnsi="Verdana"/>
          <w:sz w:val="18"/>
          <w:szCs w:val="18"/>
        </w:rPr>
        <w:t xml:space="preserve">niet alleen </w:t>
      </w:r>
      <w:r w:rsidR="000B162D">
        <w:rPr>
          <w:rFonts w:ascii="Verdana" w:hAnsi="Verdana"/>
          <w:sz w:val="18"/>
          <w:szCs w:val="18"/>
        </w:rPr>
        <w:t>af van de duur van de overschrijding</w:t>
      </w:r>
      <w:r w:rsidR="000F3C77">
        <w:rPr>
          <w:rFonts w:ascii="Verdana" w:hAnsi="Verdana"/>
          <w:sz w:val="18"/>
          <w:szCs w:val="18"/>
        </w:rPr>
        <w:t>, maar ook van andere factoren zoals de invloed van de verdachte en/of zijn raadsman op het procesverloop</w:t>
      </w:r>
      <w:r w:rsidR="000B162D">
        <w:rPr>
          <w:rFonts w:ascii="Verdana" w:hAnsi="Verdana"/>
          <w:sz w:val="18"/>
          <w:szCs w:val="18"/>
        </w:rPr>
        <w:t xml:space="preserve">. </w:t>
      </w:r>
      <w:r w:rsidR="000F3C77">
        <w:rPr>
          <w:rFonts w:ascii="Verdana" w:hAnsi="Verdana"/>
          <w:sz w:val="18"/>
          <w:szCs w:val="18"/>
        </w:rPr>
        <w:t xml:space="preserve">Onder bepaalde omstandigheden </w:t>
      </w:r>
      <w:r w:rsidR="000B162D">
        <w:rPr>
          <w:rFonts w:ascii="Verdana" w:hAnsi="Verdana"/>
          <w:sz w:val="18"/>
          <w:szCs w:val="18"/>
        </w:rPr>
        <w:t>kan de rechter na afweging van alle daartoe in aanmerking te nemen belangen en omstandigheden</w:t>
      </w:r>
      <w:r w:rsidR="00864284">
        <w:rPr>
          <w:rFonts w:ascii="Verdana" w:hAnsi="Verdana"/>
          <w:sz w:val="18"/>
          <w:szCs w:val="18"/>
        </w:rPr>
        <w:t>, waaronder de mate van de overschrijding van de redelijke termijn, volstaan met de enkele vaststelling dat inbreuk is gemaakt op artikel 6 EVRM.</w:t>
      </w:r>
      <w:r w:rsidR="000B162D">
        <w:rPr>
          <w:rFonts w:ascii="Verdana" w:hAnsi="Verdana"/>
          <w:sz w:val="18"/>
          <w:szCs w:val="18"/>
        </w:rPr>
        <w:t xml:space="preserve"> </w:t>
      </w:r>
    </w:p>
    <w:p w:rsidR="00D2659F" w:rsidRDefault="00D2659F" w:rsidP="000A553F">
      <w:pPr>
        <w:pStyle w:val="Geenafstand"/>
        <w:spacing w:line="280" w:lineRule="atLeast"/>
        <w:rPr>
          <w:rFonts w:ascii="Verdana" w:hAnsi="Verdana"/>
          <w:kern w:val="36"/>
          <w:sz w:val="18"/>
          <w:szCs w:val="18"/>
        </w:rPr>
      </w:pPr>
    </w:p>
    <w:p w:rsidR="00845BEE" w:rsidRPr="000B162D" w:rsidRDefault="000F3C77" w:rsidP="000A553F">
      <w:pPr>
        <w:pStyle w:val="Geenafstand"/>
        <w:spacing w:line="280" w:lineRule="atLeast"/>
        <w:rPr>
          <w:rFonts w:ascii="Verdana" w:hAnsi="Verdana"/>
          <w:sz w:val="18"/>
          <w:szCs w:val="18"/>
        </w:rPr>
      </w:pPr>
      <w:r>
        <w:rPr>
          <w:rFonts w:ascii="Verdana" w:hAnsi="Verdana"/>
          <w:kern w:val="36"/>
          <w:sz w:val="18"/>
          <w:szCs w:val="18"/>
        </w:rPr>
        <w:t xml:space="preserve">In een uitspraak </w:t>
      </w:r>
      <w:r w:rsidR="00BF0CF3">
        <w:rPr>
          <w:rFonts w:ascii="Verdana" w:hAnsi="Verdana"/>
          <w:kern w:val="36"/>
          <w:sz w:val="18"/>
          <w:szCs w:val="18"/>
        </w:rPr>
        <w:t>van de Afdeling bestuursrechtspraak van de Raad van State heeft d</w:t>
      </w:r>
      <w:r w:rsidR="000A553F" w:rsidRPr="000A553F">
        <w:rPr>
          <w:rFonts w:ascii="Verdana" w:hAnsi="Verdana"/>
          <w:kern w:val="36"/>
          <w:sz w:val="18"/>
          <w:szCs w:val="18"/>
        </w:rPr>
        <w:t xml:space="preserve">e </w:t>
      </w:r>
      <w:r w:rsidR="002250AA">
        <w:rPr>
          <w:rFonts w:ascii="Verdana" w:hAnsi="Verdana"/>
          <w:kern w:val="36"/>
          <w:sz w:val="18"/>
          <w:szCs w:val="18"/>
        </w:rPr>
        <w:t xml:space="preserve">zogeheten ‘grote kamer’ de </w:t>
      </w:r>
      <w:r w:rsidR="000A553F" w:rsidRPr="000A553F">
        <w:rPr>
          <w:rFonts w:ascii="Verdana" w:hAnsi="Verdana"/>
          <w:kern w:val="36"/>
          <w:sz w:val="18"/>
          <w:szCs w:val="18"/>
        </w:rPr>
        <w:t>redelijke termijn die als uitgangspunt geldt voor de afdoening van bestuursrechtelijke geschillen die bestaan uit een bezwaarprocedure en t</w:t>
      </w:r>
      <w:r w:rsidR="00BF0CF3">
        <w:rPr>
          <w:rFonts w:ascii="Verdana" w:hAnsi="Verdana"/>
          <w:kern w:val="36"/>
          <w:sz w:val="18"/>
          <w:szCs w:val="18"/>
        </w:rPr>
        <w:t xml:space="preserve">wee rechterlijke instanties </w:t>
      </w:r>
      <w:r w:rsidR="000A553F" w:rsidRPr="000A553F">
        <w:rPr>
          <w:rFonts w:ascii="Verdana" w:hAnsi="Verdana"/>
          <w:kern w:val="36"/>
          <w:sz w:val="18"/>
          <w:szCs w:val="18"/>
        </w:rPr>
        <w:t>uniform bepaald op vier jaar.</w:t>
      </w:r>
      <w:r w:rsidR="009B343D">
        <w:rPr>
          <w:rStyle w:val="Voetnootmarkering"/>
          <w:rFonts w:ascii="Verdana" w:hAnsi="Verdana"/>
          <w:kern w:val="36"/>
          <w:sz w:val="18"/>
          <w:szCs w:val="18"/>
        </w:rPr>
        <w:footnoteReference w:id="82"/>
      </w:r>
      <w:r w:rsidR="000A553F" w:rsidRPr="000A553F">
        <w:rPr>
          <w:rFonts w:ascii="Verdana" w:hAnsi="Verdana"/>
          <w:kern w:val="36"/>
          <w:sz w:val="18"/>
          <w:szCs w:val="18"/>
        </w:rPr>
        <w:t xml:space="preserve"> Hierbij staat zowel voo</w:t>
      </w:r>
      <w:r w:rsidR="00444247">
        <w:rPr>
          <w:rFonts w:ascii="Verdana" w:hAnsi="Verdana"/>
          <w:kern w:val="36"/>
          <w:sz w:val="18"/>
          <w:szCs w:val="18"/>
        </w:rPr>
        <w:t xml:space="preserve">r de bezwaar- en beroepsfase samen als </w:t>
      </w:r>
      <w:r w:rsidR="000A553F" w:rsidRPr="000A553F">
        <w:rPr>
          <w:rFonts w:ascii="Verdana" w:hAnsi="Verdana"/>
          <w:kern w:val="36"/>
          <w:sz w:val="18"/>
          <w:szCs w:val="18"/>
        </w:rPr>
        <w:t>voor het hoger beroe</w:t>
      </w:r>
      <w:r w:rsidR="00444247">
        <w:rPr>
          <w:rFonts w:ascii="Verdana" w:hAnsi="Verdana"/>
          <w:kern w:val="36"/>
          <w:sz w:val="18"/>
          <w:szCs w:val="18"/>
        </w:rPr>
        <w:t>p een termijn van twee jaar. D</w:t>
      </w:r>
      <w:r w:rsidR="000A553F" w:rsidRPr="000A553F">
        <w:rPr>
          <w:rFonts w:ascii="Verdana" w:hAnsi="Verdana"/>
          <w:kern w:val="36"/>
          <w:sz w:val="18"/>
          <w:szCs w:val="18"/>
        </w:rPr>
        <w:t xml:space="preserve">e overheid </w:t>
      </w:r>
      <w:r w:rsidR="00444247">
        <w:rPr>
          <w:rFonts w:ascii="Verdana" w:hAnsi="Verdana"/>
          <w:kern w:val="36"/>
          <w:sz w:val="18"/>
          <w:szCs w:val="18"/>
        </w:rPr>
        <w:t xml:space="preserve">moet </w:t>
      </w:r>
      <w:r w:rsidR="000A553F" w:rsidRPr="000A553F">
        <w:rPr>
          <w:rFonts w:ascii="Verdana" w:hAnsi="Verdana"/>
          <w:kern w:val="36"/>
          <w:sz w:val="18"/>
          <w:szCs w:val="18"/>
        </w:rPr>
        <w:t xml:space="preserve">€ 500 aan immateriële schadevergoeding betalen voor ieder halfjaar overschrijding. Voor de bezwaarfase bij het bestuursorgaan wordt daarbij uitgegaan van een termijn van een halfjaar, voor de procedure bij de rechtbank </w:t>
      </w:r>
      <w:r w:rsidR="009354D1">
        <w:rPr>
          <w:rFonts w:ascii="Verdana" w:hAnsi="Verdana"/>
          <w:kern w:val="36"/>
          <w:sz w:val="18"/>
          <w:szCs w:val="18"/>
        </w:rPr>
        <w:t xml:space="preserve">een termijn </w:t>
      </w:r>
      <w:r w:rsidR="000A553F" w:rsidRPr="000A553F">
        <w:rPr>
          <w:rFonts w:ascii="Verdana" w:hAnsi="Verdana"/>
          <w:kern w:val="36"/>
          <w:sz w:val="18"/>
          <w:szCs w:val="18"/>
        </w:rPr>
        <w:t>van anderhalf jaar.</w:t>
      </w:r>
      <w:r w:rsidR="000A553F">
        <w:rPr>
          <w:rFonts w:ascii="Verdana" w:hAnsi="Verdana"/>
          <w:kern w:val="36"/>
          <w:sz w:val="18"/>
          <w:szCs w:val="18"/>
        </w:rPr>
        <w:t xml:space="preserve"> </w:t>
      </w:r>
      <w:r w:rsidR="0025121C" w:rsidRPr="002D6C22">
        <w:rPr>
          <w:rFonts w:ascii="Verdana" w:hAnsi="Verdana"/>
          <w:sz w:val="18"/>
          <w:szCs w:val="18"/>
        </w:rPr>
        <w:t xml:space="preserve">Bij het beoordelen van een overschrijding van de redelijke termijn in de nationale procedure </w:t>
      </w:r>
      <w:r w:rsidR="0025121C">
        <w:rPr>
          <w:rFonts w:ascii="Verdana" w:hAnsi="Verdana"/>
          <w:sz w:val="18"/>
          <w:szCs w:val="18"/>
        </w:rPr>
        <w:t>wordt de duur van een</w:t>
      </w:r>
      <w:r w:rsidR="0025121C" w:rsidRPr="002D6C22">
        <w:rPr>
          <w:rFonts w:ascii="Verdana" w:hAnsi="Verdana"/>
          <w:sz w:val="18"/>
          <w:szCs w:val="18"/>
        </w:rPr>
        <w:t xml:space="preserve"> prejudiciële procedure bij he</w:t>
      </w:r>
      <w:r w:rsidR="0025121C">
        <w:rPr>
          <w:rFonts w:ascii="Verdana" w:hAnsi="Verdana"/>
          <w:sz w:val="18"/>
          <w:szCs w:val="18"/>
        </w:rPr>
        <w:t xml:space="preserve">t Hof van Justitie van de EU </w:t>
      </w:r>
      <w:r w:rsidR="0025121C" w:rsidRPr="002D6C22">
        <w:rPr>
          <w:rFonts w:ascii="Verdana" w:hAnsi="Verdana"/>
          <w:sz w:val="18"/>
          <w:szCs w:val="18"/>
        </w:rPr>
        <w:t>buiten beschouwing gelaten. Dit geldt zowel in zaken waarin prejudiciële vragen zijn gesteld als in andere zaken die in verband daarmee door de rechter zijn aangehouden. In het laatste geval moet de aanhouding dan wel 'redelijk' zijn.</w:t>
      </w:r>
      <w:r w:rsidR="0025121C">
        <w:rPr>
          <w:rFonts w:ascii="Verdana" w:hAnsi="Verdana"/>
          <w:sz w:val="18"/>
          <w:szCs w:val="18"/>
        </w:rPr>
        <w:t xml:space="preserve"> </w:t>
      </w:r>
      <w:r w:rsidR="00444247">
        <w:rPr>
          <w:rFonts w:ascii="Verdana" w:hAnsi="Verdana"/>
          <w:kern w:val="36"/>
          <w:sz w:val="18"/>
          <w:szCs w:val="18"/>
        </w:rPr>
        <w:t>Met deze uitspraak is</w:t>
      </w:r>
      <w:r w:rsidR="000A553F" w:rsidRPr="000A553F">
        <w:rPr>
          <w:rFonts w:ascii="Verdana" w:hAnsi="Verdana"/>
          <w:kern w:val="36"/>
          <w:sz w:val="18"/>
          <w:szCs w:val="18"/>
        </w:rPr>
        <w:t xml:space="preserve"> aangesloten bij de rechtspraak van de Centrale Raad van Bero</w:t>
      </w:r>
      <w:r w:rsidR="00444247">
        <w:rPr>
          <w:rFonts w:ascii="Verdana" w:hAnsi="Verdana"/>
          <w:kern w:val="36"/>
          <w:sz w:val="18"/>
          <w:szCs w:val="18"/>
        </w:rPr>
        <w:t>ep en de Hoge Raad, die ook</w:t>
      </w:r>
      <w:r w:rsidR="000A553F" w:rsidRPr="000A553F">
        <w:rPr>
          <w:rFonts w:ascii="Verdana" w:hAnsi="Verdana"/>
          <w:kern w:val="36"/>
          <w:sz w:val="18"/>
          <w:szCs w:val="18"/>
        </w:rPr>
        <w:t xml:space="preserve"> een redelijke termijn van vier jaar hanteren. Daarbij </w:t>
      </w:r>
      <w:r w:rsidR="007C6C2E">
        <w:rPr>
          <w:rFonts w:ascii="Verdana" w:hAnsi="Verdana"/>
          <w:kern w:val="36"/>
          <w:sz w:val="18"/>
          <w:szCs w:val="18"/>
        </w:rPr>
        <w:t xml:space="preserve">wijst de </w:t>
      </w:r>
      <w:proofErr w:type="spellStart"/>
      <w:r w:rsidR="007C6C2E">
        <w:rPr>
          <w:rFonts w:ascii="Verdana" w:hAnsi="Verdana"/>
          <w:kern w:val="36"/>
          <w:sz w:val="18"/>
          <w:szCs w:val="18"/>
        </w:rPr>
        <w:t>ABRvS</w:t>
      </w:r>
      <w:proofErr w:type="spellEnd"/>
      <w:r w:rsidR="007C6C2E">
        <w:rPr>
          <w:rFonts w:ascii="Verdana" w:hAnsi="Verdana"/>
          <w:kern w:val="36"/>
          <w:sz w:val="18"/>
          <w:szCs w:val="18"/>
        </w:rPr>
        <w:t xml:space="preserve"> </w:t>
      </w:r>
      <w:r w:rsidR="000A553F" w:rsidRPr="000A553F">
        <w:rPr>
          <w:rFonts w:ascii="Verdana" w:hAnsi="Verdana"/>
          <w:kern w:val="36"/>
          <w:sz w:val="18"/>
          <w:szCs w:val="18"/>
        </w:rPr>
        <w:t>op het maatschappelijke belang van een spoedige beslechting van geschillen en op het belang</w:t>
      </w:r>
      <w:r w:rsidR="0043747E">
        <w:rPr>
          <w:rFonts w:ascii="Verdana" w:hAnsi="Verdana"/>
          <w:kern w:val="36"/>
          <w:sz w:val="18"/>
          <w:szCs w:val="18"/>
        </w:rPr>
        <w:t xml:space="preserve"> van rechtseenheid. Voorafgaand aan deze uitspraak</w:t>
      </w:r>
      <w:r w:rsidR="000A553F" w:rsidRPr="000A553F">
        <w:rPr>
          <w:rFonts w:ascii="Verdana" w:hAnsi="Verdana"/>
          <w:kern w:val="36"/>
          <w:sz w:val="18"/>
          <w:szCs w:val="18"/>
        </w:rPr>
        <w:t xml:space="preserve"> hanteerden de </w:t>
      </w:r>
      <w:proofErr w:type="spellStart"/>
      <w:r w:rsidR="007C6C2E">
        <w:rPr>
          <w:rFonts w:ascii="Verdana" w:hAnsi="Verdana"/>
          <w:kern w:val="36"/>
          <w:sz w:val="18"/>
          <w:szCs w:val="18"/>
        </w:rPr>
        <w:t>ABRvS</w:t>
      </w:r>
      <w:proofErr w:type="spellEnd"/>
      <w:r w:rsidR="000A553F" w:rsidRPr="000A553F">
        <w:rPr>
          <w:rFonts w:ascii="Verdana" w:hAnsi="Verdana"/>
          <w:kern w:val="36"/>
          <w:sz w:val="18"/>
          <w:szCs w:val="18"/>
        </w:rPr>
        <w:t xml:space="preserve"> en het College van Beroep voor het bedrijfsleven een redelijke termijn van vijf jaar.</w:t>
      </w:r>
      <w:r w:rsidR="0025121C" w:rsidRPr="0025121C">
        <w:rPr>
          <w:rFonts w:ascii="Verdana" w:hAnsi="Verdana"/>
          <w:sz w:val="18"/>
          <w:szCs w:val="18"/>
        </w:rPr>
        <w:t xml:space="preserve"> </w:t>
      </w:r>
      <w:r w:rsidR="00B17F15">
        <w:rPr>
          <w:rFonts w:ascii="Verdana" w:hAnsi="Verdana"/>
          <w:sz w:val="18"/>
          <w:szCs w:val="18"/>
        </w:rPr>
        <w:t>Er blijven overigens omstandigheden die de overschrijding van de redelijke termijn kunnen rechtvaardigen, zoals de complexiteit van een geschil of het processuele gedrag van een appellant.</w:t>
      </w:r>
      <w:r w:rsidR="00B17F15">
        <w:rPr>
          <w:rStyle w:val="Voetnootmarkering"/>
          <w:rFonts w:ascii="Verdana" w:hAnsi="Verdana"/>
          <w:sz w:val="18"/>
          <w:szCs w:val="18"/>
        </w:rPr>
        <w:footnoteReference w:id="83"/>
      </w:r>
      <w:r w:rsidR="00B17F15">
        <w:rPr>
          <w:rFonts w:ascii="Verdana" w:hAnsi="Verdana"/>
          <w:sz w:val="18"/>
          <w:szCs w:val="18"/>
        </w:rPr>
        <w:t xml:space="preserve"> </w:t>
      </w:r>
    </w:p>
    <w:p w:rsidR="00D2659F" w:rsidRDefault="00D2659F" w:rsidP="009711DD">
      <w:pPr>
        <w:pStyle w:val="Geenafstand"/>
        <w:spacing w:line="280" w:lineRule="atLeast"/>
        <w:rPr>
          <w:rFonts w:ascii="Verdana" w:hAnsi="Verdana"/>
          <w:sz w:val="18"/>
          <w:szCs w:val="18"/>
        </w:rPr>
      </w:pPr>
    </w:p>
    <w:p w:rsidR="0035323F" w:rsidRDefault="00B17F15" w:rsidP="009711DD">
      <w:pPr>
        <w:pStyle w:val="Geenafstand"/>
        <w:spacing w:line="280" w:lineRule="atLeast"/>
        <w:rPr>
          <w:rFonts w:ascii="Verdana" w:hAnsi="Verdana"/>
          <w:sz w:val="18"/>
          <w:szCs w:val="18"/>
        </w:rPr>
      </w:pPr>
      <w:r>
        <w:rPr>
          <w:rFonts w:ascii="Verdana" w:hAnsi="Verdana"/>
          <w:sz w:val="18"/>
          <w:szCs w:val="18"/>
        </w:rPr>
        <w:t xml:space="preserve">De Hoge Raad heeft anders dan voor strafzaken en de grote kamer van de </w:t>
      </w:r>
      <w:proofErr w:type="spellStart"/>
      <w:r>
        <w:rPr>
          <w:rFonts w:ascii="Verdana" w:hAnsi="Verdana"/>
          <w:sz w:val="18"/>
          <w:szCs w:val="18"/>
        </w:rPr>
        <w:t>ABRvS</w:t>
      </w:r>
      <w:proofErr w:type="spellEnd"/>
      <w:r>
        <w:rPr>
          <w:rFonts w:ascii="Verdana" w:hAnsi="Verdana"/>
          <w:sz w:val="18"/>
          <w:szCs w:val="18"/>
        </w:rPr>
        <w:t xml:space="preserve"> voor bestuursrechtelijke zaken geen standaard</w:t>
      </w:r>
      <w:r w:rsidR="00CE0787">
        <w:rPr>
          <w:rFonts w:ascii="Verdana" w:hAnsi="Verdana"/>
          <w:sz w:val="18"/>
          <w:szCs w:val="18"/>
        </w:rPr>
        <w:t xml:space="preserve"> termijnen als richtsnoer vastgesteld voor de redelijke termijn in</w:t>
      </w:r>
      <w:r>
        <w:rPr>
          <w:rFonts w:ascii="Verdana" w:hAnsi="Verdana"/>
          <w:sz w:val="18"/>
          <w:szCs w:val="18"/>
        </w:rPr>
        <w:t xml:space="preserve"> c</w:t>
      </w:r>
      <w:r w:rsidR="0035323F">
        <w:rPr>
          <w:rFonts w:ascii="Verdana" w:hAnsi="Verdana"/>
          <w:sz w:val="18"/>
          <w:szCs w:val="18"/>
        </w:rPr>
        <w:t>iviele zak</w:t>
      </w:r>
      <w:r>
        <w:rPr>
          <w:rFonts w:ascii="Verdana" w:hAnsi="Verdana"/>
          <w:sz w:val="18"/>
          <w:szCs w:val="18"/>
        </w:rPr>
        <w:t>en. In civiele zaken komt het</w:t>
      </w:r>
      <w:r w:rsidR="00CE0787">
        <w:rPr>
          <w:rFonts w:ascii="Verdana" w:hAnsi="Verdana"/>
          <w:sz w:val="18"/>
          <w:szCs w:val="18"/>
        </w:rPr>
        <w:t xml:space="preserve"> volgens de Hoge Raad</w:t>
      </w:r>
      <w:r>
        <w:rPr>
          <w:rFonts w:ascii="Verdana" w:hAnsi="Verdana"/>
          <w:sz w:val="18"/>
          <w:szCs w:val="18"/>
        </w:rPr>
        <w:t xml:space="preserve"> aan op maat</w:t>
      </w:r>
      <w:r w:rsidR="00CE0787">
        <w:rPr>
          <w:rFonts w:ascii="Verdana" w:hAnsi="Verdana"/>
          <w:sz w:val="18"/>
          <w:szCs w:val="18"/>
        </w:rPr>
        <w:t xml:space="preserve">werk. De Hoge Raad heeft voorts </w:t>
      </w:r>
      <w:r>
        <w:rPr>
          <w:rFonts w:ascii="Verdana" w:hAnsi="Verdana"/>
          <w:sz w:val="18"/>
          <w:szCs w:val="18"/>
        </w:rPr>
        <w:t xml:space="preserve">bepaald dat voor vergoeding van immateriële schade bij overtreding van de redelijke termijn </w:t>
      </w:r>
      <w:r w:rsidR="00CE0787">
        <w:rPr>
          <w:rFonts w:ascii="Verdana" w:hAnsi="Verdana"/>
          <w:sz w:val="18"/>
          <w:szCs w:val="18"/>
        </w:rPr>
        <w:t xml:space="preserve">(net als in bestuursrechtelijke zaken €500 per halfjaar overschrijding) </w:t>
      </w:r>
      <w:r>
        <w:rPr>
          <w:rFonts w:ascii="Verdana" w:hAnsi="Verdana"/>
          <w:sz w:val="18"/>
          <w:szCs w:val="18"/>
        </w:rPr>
        <w:t>een aparte procedure bij de kantonrechter aanhangig moet worden gemaakt.</w:t>
      </w:r>
      <w:r>
        <w:rPr>
          <w:rStyle w:val="Voetnootmarkering"/>
          <w:rFonts w:ascii="Verdana" w:hAnsi="Verdana"/>
          <w:sz w:val="18"/>
          <w:szCs w:val="18"/>
        </w:rPr>
        <w:footnoteReference w:id="84"/>
      </w:r>
      <w:r>
        <w:rPr>
          <w:rFonts w:ascii="Verdana" w:hAnsi="Verdana"/>
          <w:sz w:val="18"/>
          <w:szCs w:val="18"/>
        </w:rPr>
        <w:t xml:space="preserve"> De schadevergoeding kan dus niet worden </w:t>
      </w:r>
      <w:r w:rsidR="009354D1">
        <w:rPr>
          <w:rFonts w:ascii="Verdana" w:hAnsi="Verdana"/>
          <w:sz w:val="18"/>
          <w:szCs w:val="18"/>
        </w:rPr>
        <w:t>vastgesteld</w:t>
      </w:r>
      <w:r>
        <w:rPr>
          <w:rFonts w:ascii="Verdana" w:hAnsi="Verdana"/>
          <w:sz w:val="18"/>
          <w:szCs w:val="18"/>
        </w:rPr>
        <w:t xml:space="preserve"> in de procedure waarin de overschrijding van de redelijke termijn wordt geconstateerd.</w:t>
      </w:r>
    </w:p>
    <w:p w:rsidR="00D2659F" w:rsidRDefault="00D2659F" w:rsidP="009711DD">
      <w:pPr>
        <w:pStyle w:val="Geenafstand"/>
        <w:spacing w:line="280" w:lineRule="atLeast"/>
        <w:rPr>
          <w:rFonts w:ascii="Verdana" w:hAnsi="Verdana"/>
          <w:sz w:val="18"/>
          <w:szCs w:val="18"/>
        </w:rPr>
      </w:pPr>
    </w:p>
    <w:p w:rsidR="00CE0787" w:rsidRPr="00BF0CF3" w:rsidRDefault="00CE0787" w:rsidP="009711DD">
      <w:pPr>
        <w:pStyle w:val="Geenafstand"/>
        <w:spacing w:line="280" w:lineRule="atLeast"/>
        <w:rPr>
          <w:rFonts w:ascii="Verdana" w:hAnsi="Verdana"/>
          <w:b/>
          <w:color w:val="440E01"/>
          <w:kern w:val="36"/>
          <w:sz w:val="18"/>
          <w:szCs w:val="18"/>
        </w:rPr>
      </w:pPr>
      <w:r>
        <w:rPr>
          <w:rFonts w:ascii="Verdana" w:hAnsi="Verdana"/>
          <w:sz w:val="18"/>
          <w:szCs w:val="18"/>
        </w:rPr>
        <w:lastRenderedPageBreak/>
        <w:t>Tot slot hebben de Nederlandse hoogste rechtscolleges aanvaard dat een rechtszoekende ook schadevergoeding kan krijgen voor overschrijding van de redelijke termijn in zaken die niet onder de reikwijdte van artikel 6 EVRM vallen (zogenoemde reflexwerking).</w:t>
      </w:r>
      <w:r w:rsidR="00D2659F">
        <w:rPr>
          <w:rFonts w:ascii="Verdana" w:hAnsi="Verdana"/>
          <w:sz w:val="18"/>
          <w:szCs w:val="18"/>
        </w:rPr>
        <w:t xml:space="preserve"> De voorgestelde grondwetsbepaling heeft een ruimere reikwijdte dan artikel 6 EVRM, dus hiervoor geldt zonder meer dat in alle rechtszaken berechting binnen een redelijke termijn vereist is.</w:t>
      </w:r>
    </w:p>
    <w:p w:rsidR="00F47F94" w:rsidRPr="000E02D0" w:rsidRDefault="00F47F94" w:rsidP="00F47F94">
      <w:pPr>
        <w:pStyle w:val="Geenafstand"/>
        <w:spacing w:line="280" w:lineRule="atLeast"/>
        <w:rPr>
          <w:rFonts w:ascii="Verdana" w:hAnsi="Verdana"/>
          <w:sz w:val="18"/>
          <w:szCs w:val="18"/>
        </w:rPr>
      </w:pPr>
    </w:p>
    <w:p w:rsidR="004C682C" w:rsidRPr="003F5855" w:rsidRDefault="00823A6F" w:rsidP="003F5855">
      <w:pPr>
        <w:pStyle w:val="Geenafstand"/>
        <w:spacing w:line="280" w:lineRule="atLeast"/>
        <w:rPr>
          <w:rFonts w:ascii="Verdana" w:hAnsi="Verdana"/>
          <w:sz w:val="18"/>
          <w:szCs w:val="18"/>
        </w:rPr>
      </w:pPr>
      <w:r w:rsidRPr="003F5855">
        <w:rPr>
          <w:rFonts w:ascii="Verdana" w:hAnsi="Verdana"/>
          <w:sz w:val="18"/>
          <w:szCs w:val="18"/>
        </w:rPr>
        <w:t>7</w:t>
      </w:r>
      <w:r w:rsidR="00F47F94" w:rsidRPr="003F5855">
        <w:rPr>
          <w:rFonts w:ascii="Verdana" w:hAnsi="Verdana"/>
          <w:sz w:val="18"/>
          <w:szCs w:val="18"/>
        </w:rPr>
        <w:t>.</w:t>
      </w:r>
      <w:r w:rsidR="001816C6">
        <w:rPr>
          <w:rFonts w:ascii="Verdana" w:hAnsi="Verdana"/>
          <w:sz w:val="18"/>
          <w:szCs w:val="18"/>
        </w:rPr>
        <w:t>4</w:t>
      </w:r>
      <w:r w:rsidRPr="003F5855">
        <w:rPr>
          <w:rFonts w:ascii="Verdana" w:hAnsi="Verdana"/>
          <w:sz w:val="18"/>
          <w:szCs w:val="18"/>
        </w:rPr>
        <w:t>.</w:t>
      </w:r>
      <w:r w:rsidRPr="003F5855">
        <w:rPr>
          <w:rFonts w:ascii="Verdana" w:hAnsi="Verdana"/>
          <w:sz w:val="18"/>
          <w:szCs w:val="18"/>
        </w:rPr>
        <w:tab/>
      </w:r>
      <w:r w:rsidR="00F47F94" w:rsidRPr="003F5855">
        <w:rPr>
          <w:rFonts w:ascii="Verdana" w:hAnsi="Verdana"/>
          <w:sz w:val="18"/>
          <w:szCs w:val="18"/>
        </w:rPr>
        <w:t xml:space="preserve"> Overige e</w:t>
      </w:r>
      <w:r w:rsidR="00350500" w:rsidRPr="003F5855">
        <w:rPr>
          <w:rFonts w:ascii="Verdana" w:hAnsi="Verdana"/>
          <w:sz w:val="18"/>
          <w:szCs w:val="18"/>
        </w:rPr>
        <w:t>lement</w:t>
      </w:r>
      <w:r w:rsidR="00847D28" w:rsidRPr="003F5855">
        <w:rPr>
          <w:rFonts w:ascii="Verdana" w:hAnsi="Verdana"/>
          <w:sz w:val="18"/>
          <w:szCs w:val="18"/>
        </w:rPr>
        <w:t xml:space="preserve">en van </w:t>
      </w:r>
      <w:r w:rsidR="004C682C" w:rsidRPr="003F5855">
        <w:rPr>
          <w:rFonts w:ascii="Verdana" w:hAnsi="Verdana"/>
          <w:sz w:val="18"/>
          <w:szCs w:val="18"/>
        </w:rPr>
        <w:t>een eerlijk proces</w:t>
      </w:r>
    </w:p>
    <w:p w:rsidR="0076226B" w:rsidRDefault="0076226B" w:rsidP="003F5855">
      <w:pPr>
        <w:pStyle w:val="Geenafstand"/>
        <w:spacing w:line="280" w:lineRule="atLeast"/>
        <w:rPr>
          <w:rFonts w:ascii="Verdana" w:hAnsi="Verdana"/>
          <w:b/>
          <w:sz w:val="18"/>
          <w:szCs w:val="18"/>
        </w:rPr>
      </w:pPr>
    </w:p>
    <w:p w:rsidR="00B5624A" w:rsidRPr="00B5624A" w:rsidRDefault="00B5624A" w:rsidP="003F5855">
      <w:pPr>
        <w:pStyle w:val="Geenafstand"/>
        <w:spacing w:line="280" w:lineRule="atLeast"/>
        <w:rPr>
          <w:rFonts w:ascii="Verdana" w:hAnsi="Verdana"/>
          <w:sz w:val="18"/>
          <w:szCs w:val="18"/>
        </w:rPr>
      </w:pPr>
      <w:r w:rsidRPr="00B5624A">
        <w:rPr>
          <w:rFonts w:ascii="Verdana" w:hAnsi="Verdana"/>
          <w:sz w:val="18"/>
          <w:szCs w:val="18"/>
        </w:rPr>
        <w:t>Het recht op een eerlijk proces k</w:t>
      </w:r>
      <w:r w:rsidR="00FD7170">
        <w:rPr>
          <w:rFonts w:ascii="Verdana" w:hAnsi="Verdana"/>
          <w:sz w:val="18"/>
          <w:szCs w:val="18"/>
        </w:rPr>
        <w:t xml:space="preserve">ent meer elementen dan de elementen die expliciet terugkeren in de voorgestelde grondwetsbepaling en die zijn </w:t>
      </w:r>
      <w:r w:rsidRPr="00B5624A">
        <w:rPr>
          <w:rFonts w:ascii="Verdana" w:hAnsi="Verdana"/>
          <w:sz w:val="18"/>
          <w:szCs w:val="18"/>
        </w:rPr>
        <w:t>toegelicht</w:t>
      </w:r>
      <w:r w:rsidR="00FD7170">
        <w:rPr>
          <w:rFonts w:ascii="Verdana" w:hAnsi="Verdana"/>
          <w:sz w:val="18"/>
          <w:szCs w:val="18"/>
        </w:rPr>
        <w:t xml:space="preserve"> in de voorgaande paragrafen</w:t>
      </w:r>
      <w:r w:rsidRPr="00B5624A">
        <w:rPr>
          <w:rFonts w:ascii="Verdana" w:hAnsi="Verdana"/>
          <w:sz w:val="18"/>
          <w:szCs w:val="18"/>
        </w:rPr>
        <w:t>.</w:t>
      </w:r>
      <w:r>
        <w:rPr>
          <w:rFonts w:ascii="Verdana" w:hAnsi="Verdana"/>
          <w:sz w:val="18"/>
          <w:szCs w:val="18"/>
        </w:rPr>
        <w:t xml:space="preserve"> Dat niet </w:t>
      </w:r>
      <w:r w:rsidR="00FD7170">
        <w:rPr>
          <w:rFonts w:ascii="Verdana" w:hAnsi="Verdana"/>
          <w:sz w:val="18"/>
          <w:szCs w:val="18"/>
        </w:rPr>
        <w:t>wordt voorgesteld een uitputtende opsomming van all</w:t>
      </w:r>
      <w:r>
        <w:rPr>
          <w:rFonts w:ascii="Verdana" w:hAnsi="Verdana"/>
          <w:sz w:val="18"/>
          <w:szCs w:val="18"/>
        </w:rPr>
        <w:t>e elementen en deelrechten van het recht op een eerlijk proces op te nemen in de</w:t>
      </w:r>
      <w:r w:rsidR="00FD7170">
        <w:rPr>
          <w:rFonts w:ascii="Verdana" w:hAnsi="Verdana"/>
          <w:sz w:val="18"/>
          <w:szCs w:val="18"/>
        </w:rPr>
        <w:t xml:space="preserve"> Grondwet</w:t>
      </w:r>
      <w:r>
        <w:rPr>
          <w:rFonts w:ascii="Verdana" w:hAnsi="Verdana"/>
          <w:sz w:val="18"/>
          <w:szCs w:val="18"/>
        </w:rPr>
        <w:t xml:space="preserve">, </w:t>
      </w:r>
      <w:r w:rsidR="00D82C6A">
        <w:rPr>
          <w:rFonts w:ascii="Verdana" w:hAnsi="Verdana"/>
          <w:sz w:val="18"/>
          <w:szCs w:val="18"/>
        </w:rPr>
        <w:t xml:space="preserve">hoofdzakelijk omdat dit niet </w:t>
      </w:r>
      <w:r w:rsidR="0058029C">
        <w:rPr>
          <w:rFonts w:ascii="Verdana" w:hAnsi="Verdana"/>
          <w:sz w:val="18"/>
          <w:szCs w:val="18"/>
        </w:rPr>
        <w:t>past</w:t>
      </w:r>
      <w:r w:rsidR="00D82C6A">
        <w:rPr>
          <w:rFonts w:ascii="Verdana" w:hAnsi="Verdana"/>
          <w:sz w:val="18"/>
          <w:szCs w:val="18"/>
        </w:rPr>
        <w:t xml:space="preserve"> bij het sobere karakter van de Grondwet, </w:t>
      </w:r>
      <w:r>
        <w:rPr>
          <w:rFonts w:ascii="Verdana" w:hAnsi="Verdana"/>
          <w:sz w:val="18"/>
          <w:szCs w:val="18"/>
        </w:rPr>
        <w:t xml:space="preserve">betekent niet dat </w:t>
      </w:r>
      <w:r w:rsidR="009B0E82">
        <w:rPr>
          <w:rFonts w:ascii="Verdana" w:hAnsi="Verdana"/>
          <w:sz w:val="18"/>
          <w:szCs w:val="18"/>
        </w:rPr>
        <w:t xml:space="preserve">deze </w:t>
      </w:r>
      <w:r w:rsidR="00FD7170">
        <w:rPr>
          <w:rFonts w:ascii="Verdana" w:hAnsi="Verdana"/>
          <w:sz w:val="18"/>
          <w:szCs w:val="18"/>
        </w:rPr>
        <w:t>andere</w:t>
      </w:r>
      <w:r>
        <w:rPr>
          <w:rFonts w:ascii="Verdana" w:hAnsi="Verdana"/>
          <w:sz w:val="18"/>
          <w:szCs w:val="18"/>
        </w:rPr>
        <w:t xml:space="preserve"> elementen </w:t>
      </w:r>
      <w:r w:rsidR="00FD7170">
        <w:rPr>
          <w:rFonts w:ascii="Verdana" w:hAnsi="Verdana"/>
          <w:sz w:val="18"/>
          <w:szCs w:val="18"/>
        </w:rPr>
        <w:t xml:space="preserve">zonder betekenis zijn voor het </w:t>
      </w:r>
      <w:r w:rsidR="009B0E82">
        <w:rPr>
          <w:rFonts w:ascii="Verdana" w:hAnsi="Verdana"/>
          <w:sz w:val="18"/>
          <w:szCs w:val="18"/>
        </w:rPr>
        <w:t>grond</w:t>
      </w:r>
      <w:r w:rsidR="00FD7170">
        <w:rPr>
          <w:rFonts w:ascii="Verdana" w:hAnsi="Verdana"/>
          <w:sz w:val="18"/>
          <w:szCs w:val="18"/>
        </w:rPr>
        <w:t xml:space="preserve">recht. Daarom </w:t>
      </w:r>
      <w:r w:rsidR="00784C13">
        <w:rPr>
          <w:rFonts w:ascii="Verdana" w:hAnsi="Verdana"/>
          <w:sz w:val="18"/>
          <w:szCs w:val="18"/>
        </w:rPr>
        <w:t xml:space="preserve">wordt </w:t>
      </w:r>
      <w:r w:rsidR="00FD7170">
        <w:rPr>
          <w:rFonts w:ascii="Verdana" w:hAnsi="Verdana"/>
          <w:sz w:val="18"/>
          <w:szCs w:val="18"/>
        </w:rPr>
        <w:t>in deze paragraaf in</w:t>
      </w:r>
      <w:r w:rsidR="00784C13">
        <w:rPr>
          <w:rFonts w:ascii="Verdana" w:hAnsi="Verdana"/>
          <w:sz w:val="18"/>
          <w:szCs w:val="18"/>
        </w:rPr>
        <w:t>gegaan</w:t>
      </w:r>
      <w:r w:rsidR="00FD7170">
        <w:rPr>
          <w:rFonts w:ascii="Verdana" w:hAnsi="Verdana"/>
          <w:sz w:val="18"/>
          <w:szCs w:val="18"/>
        </w:rPr>
        <w:t xml:space="preserve"> op </w:t>
      </w:r>
      <w:r w:rsidR="005273E4">
        <w:rPr>
          <w:rFonts w:ascii="Verdana" w:hAnsi="Verdana"/>
          <w:sz w:val="18"/>
          <w:szCs w:val="18"/>
        </w:rPr>
        <w:t xml:space="preserve">de </w:t>
      </w:r>
      <w:r w:rsidR="00EC1D73">
        <w:rPr>
          <w:rFonts w:ascii="Verdana" w:hAnsi="Verdana"/>
          <w:sz w:val="18"/>
          <w:szCs w:val="18"/>
        </w:rPr>
        <w:t>belangrijkste</w:t>
      </w:r>
      <w:r w:rsidR="005273E4">
        <w:rPr>
          <w:rFonts w:ascii="Verdana" w:hAnsi="Verdana"/>
          <w:sz w:val="18"/>
          <w:szCs w:val="18"/>
        </w:rPr>
        <w:t xml:space="preserve"> </w:t>
      </w:r>
      <w:r w:rsidR="00EC1D73">
        <w:rPr>
          <w:rFonts w:ascii="Verdana" w:hAnsi="Verdana"/>
          <w:sz w:val="18"/>
          <w:szCs w:val="18"/>
        </w:rPr>
        <w:t xml:space="preserve">overige </w:t>
      </w:r>
      <w:r w:rsidR="005273E4">
        <w:rPr>
          <w:rFonts w:ascii="Verdana" w:hAnsi="Verdana"/>
          <w:sz w:val="18"/>
          <w:szCs w:val="18"/>
        </w:rPr>
        <w:t>elementen van het recht op een eerlijk proces bezien vanuit de Grondwet en verdragen, achtereenvolgens een openbare en eerlijk behandeling, rechten van de verdediging en hoger beroep</w:t>
      </w:r>
      <w:r w:rsidR="00FD7170">
        <w:rPr>
          <w:rFonts w:ascii="Verdana" w:hAnsi="Verdana"/>
          <w:sz w:val="18"/>
          <w:szCs w:val="18"/>
        </w:rPr>
        <w:t>.</w:t>
      </w:r>
    </w:p>
    <w:p w:rsidR="00B5624A" w:rsidRPr="00B5624A" w:rsidRDefault="00B5624A" w:rsidP="003F5855">
      <w:pPr>
        <w:pStyle w:val="Geenafstand"/>
        <w:spacing w:line="280" w:lineRule="atLeast"/>
        <w:rPr>
          <w:rFonts w:ascii="Verdana" w:hAnsi="Verdana"/>
          <w:sz w:val="18"/>
          <w:szCs w:val="18"/>
        </w:rPr>
      </w:pPr>
    </w:p>
    <w:p w:rsidR="00350500" w:rsidRPr="003F5855" w:rsidRDefault="00823A6F" w:rsidP="003F5855">
      <w:pPr>
        <w:pStyle w:val="Geenafstand"/>
        <w:spacing w:line="280" w:lineRule="atLeast"/>
        <w:rPr>
          <w:rFonts w:ascii="Verdana" w:hAnsi="Verdana"/>
          <w:i/>
          <w:sz w:val="18"/>
          <w:szCs w:val="18"/>
        </w:rPr>
      </w:pPr>
      <w:r w:rsidRPr="003F5855">
        <w:rPr>
          <w:rFonts w:ascii="Verdana" w:hAnsi="Verdana"/>
          <w:i/>
          <w:sz w:val="18"/>
          <w:szCs w:val="18"/>
        </w:rPr>
        <w:t>7</w:t>
      </w:r>
      <w:r w:rsidR="00F47F94" w:rsidRPr="003F5855">
        <w:rPr>
          <w:rFonts w:ascii="Verdana" w:hAnsi="Verdana"/>
          <w:i/>
          <w:sz w:val="18"/>
          <w:szCs w:val="18"/>
        </w:rPr>
        <w:t>.</w:t>
      </w:r>
      <w:r w:rsidR="001816C6">
        <w:rPr>
          <w:rFonts w:ascii="Verdana" w:hAnsi="Verdana"/>
          <w:i/>
          <w:sz w:val="18"/>
          <w:szCs w:val="18"/>
        </w:rPr>
        <w:t>4</w:t>
      </w:r>
      <w:r w:rsidR="00F47F94" w:rsidRPr="003F5855">
        <w:rPr>
          <w:rFonts w:ascii="Verdana" w:hAnsi="Verdana"/>
          <w:i/>
          <w:sz w:val="18"/>
          <w:szCs w:val="18"/>
        </w:rPr>
        <w:t>.1</w:t>
      </w:r>
      <w:r w:rsidR="00F47F94" w:rsidRPr="003F5855">
        <w:rPr>
          <w:rFonts w:ascii="Verdana" w:hAnsi="Verdana"/>
          <w:i/>
          <w:sz w:val="18"/>
          <w:szCs w:val="18"/>
        </w:rPr>
        <w:tab/>
      </w:r>
      <w:r w:rsidR="00350500" w:rsidRPr="003F5855">
        <w:rPr>
          <w:rFonts w:ascii="Verdana" w:hAnsi="Verdana"/>
          <w:i/>
          <w:sz w:val="18"/>
          <w:szCs w:val="18"/>
        </w:rPr>
        <w:t>Openbare en eerlijke behandeling</w:t>
      </w:r>
    </w:p>
    <w:p w:rsidR="003F5855" w:rsidRDefault="003F5855" w:rsidP="003F5855">
      <w:pPr>
        <w:pStyle w:val="Geenafstand"/>
        <w:spacing w:line="280" w:lineRule="atLeast"/>
        <w:rPr>
          <w:rFonts w:ascii="Verdana" w:hAnsi="Verdana"/>
          <w:sz w:val="18"/>
          <w:szCs w:val="18"/>
        </w:rPr>
      </w:pPr>
    </w:p>
    <w:p w:rsidR="00A4000B" w:rsidRDefault="00480CB3" w:rsidP="003F5855">
      <w:pPr>
        <w:pStyle w:val="Geenafstand"/>
        <w:spacing w:line="280" w:lineRule="atLeast"/>
        <w:rPr>
          <w:rFonts w:ascii="Verdana" w:hAnsi="Verdana"/>
          <w:sz w:val="18"/>
          <w:szCs w:val="18"/>
        </w:rPr>
      </w:pPr>
      <w:r w:rsidRPr="003F5855">
        <w:rPr>
          <w:rFonts w:ascii="Verdana" w:hAnsi="Verdana"/>
          <w:sz w:val="18"/>
          <w:szCs w:val="18"/>
        </w:rPr>
        <w:t>Een o</w:t>
      </w:r>
      <w:r w:rsidR="00A4000B" w:rsidRPr="003F5855">
        <w:rPr>
          <w:rFonts w:ascii="Verdana" w:hAnsi="Verdana"/>
          <w:sz w:val="18"/>
          <w:szCs w:val="18"/>
        </w:rPr>
        <w:t xml:space="preserve">penbare en eerlijke behandeling </w:t>
      </w:r>
      <w:r w:rsidRPr="003F5855">
        <w:rPr>
          <w:rFonts w:ascii="Verdana" w:hAnsi="Verdana"/>
          <w:sz w:val="18"/>
          <w:szCs w:val="18"/>
        </w:rPr>
        <w:t xml:space="preserve">van een zaak is </w:t>
      </w:r>
      <w:r w:rsidR="00A4000B" w:rsidRPr="003F5855">
        <w:rPr>
          <w:rFonts w:ascii="Verdana" w:hAnsi="Verdana"/>
          <w:sz w:val="18"/>
          <w:szCs w:val="18"/>
        </w:rPr>
        <w:t xml:space="preserve">net als </w:t>
      </w:r>
      <w:r w:rsidRPr="003F5855">
        <w:rPr>
          <w:rFonts w:ascii="Verdana" w:hAnsi="Verdana"/>
          <w:sz w:val="18"/>
          <w:szCs w:val="18"/>
        </w:rPr>
        <w:t xml:space="preserve">berechting door een </w:t>
      </w:r>
      <w:r w:rsidR="00A4000B" w:rsidRPr="003F5855">
        <w:rPr>
          <w:rFonts w:ascii="Verdana" w:hAnsi="Verdana"/>
          <w:sz w:val="18"/>
          <w:szCs w:val="18"/>
        </w:rPr>
        <w:t>onafhankelijk</w:t>
      </w:r>
      <w:r w:rsidRPr="003F5855">
        <w:rPr>
          <w:rFonts w:ascii="Verdana" w:hAnsi="Verdana"/>
          <w:sz w:val="18"/>
          <w:szCs w:val="18"/>
        </w:rPr>
        <w:t>e</w:t>
      </w:r>
      <w:r w:rsidR="00A4000B" w:rsidRPr="003F5855">
        <w:rPr>
          <w:rFonts w:ascii="Verdana" w:hAnsi="Verdana"/>
          <w:sz w:val="18"/>
          <w:szCs w:val="18"/>
        </w:rPr>
        <w:t xml:space="preserve"> en onpartijdig</w:t>
      </w:r>
      <w:r w:rsidRPr="003F5855">
        <w:rPr>
          <w:rFonts w:ascii="Verdana" w:hAnsi="Verdana"/>
          <w:sz w:val="18"/>
          <w:szCs w:val="18"/>
        </w:rPr>
        <w:t>e rechter binnen</w:t>
      </w:r>
      <w:r w:rsidR="00A4000B" w:rsidRPr="003F5855">
        <w:rPr>
          <w:rFonts w:ascii="Verdana" w:hAnsi="Verdana"/>
          <w:sz w:val="18"/>
          <w:szCs w:val="18"/>
        </w:rPr>
        <w:t xml:space="preserve"> </w:t>
      </w:r>
      <w:r w:rsidRPr="003F5855">
        <w:rPr>
          <w:rFonts w:ascii="Verdana" w:hAnsi="Verdana"/>
          <w:sz w:val="18"/>
          <w:szCs w:val="18"/>
        </w:rPr>
        <w:t>e</w:t>
      </w:r>
      <w:r w:rsidR="00A4000B" w:rsidRPr="003F5855">
        <w:rPr>
          <w:rFonts w:ascii="Verdana" w:hAnsi="Verdana"/>
          <w:sz w:val="18"/>
          <w:szCs w:val="18"/>
        </w:rPr>
        <w:t xml:space="preserve">en redelijke termijn </w:t>
      </w:r>
      <w:r w:rsidRPr="003F5855">
        <w:rPr>
          <w:rFonts w:ascii="Verdana" w:hAnsi="Verdana"/>
          <w:sz w:val="18"/>
          <w:szCs w:val="18"/>
        </w:rPr>
        <w:t xml:space="preserve">een </w:t>
      </w:r>
      <w:r w:rsidR="00A4000B" w:rsidRPr="003F5855">
        <w:rPr>
          <w:rFonts w:ascii="Verdana" w:hAnsi="Verdana"/>
          <w:sz w:val="18"/>
          <w:szCs w:val="18"/>
        </w:rPr>
        <w:t>beg</w:t>
      </w:r>
      <w:r w:rsidR="00022188">
        <w:rPr>
          <w:rFonts w:ascii="Verdana" w:hAnsi="Verdana"/>
          <w:sz w:val="18"/>
          <w:szCs w:val="18"/>
        </w:rPr>
        <w:t>insel van behoorlijke rechtspraak</w:t>
      </w:r>
      <w:r w:rsidR="00A4000B" w:rsidRPr="003F5855">
        <w:rPr>
          <w:rFonts w:ascii="Verdana" w:hAnsi="Verdana"/>
          <w:sz w:val="18"/>
          <w:szCs w:val="18"/>
        </w:rPr>
        <w:t>.</w:t>
      </w:r>
      <w:r w:rsidRPr="003F5855">
        <w:rPr>
          <w:rFonts w:ascii="Verdana" w:hAnsi="Verdana"/>
          <w:sz w:val="18"/>
          <w:szCs w:val="18"/>
        </w:rPr>
        <w:t xml:space="preserve"> </w:t>
      </w:r>
      <w:r w:rsidR="00022188">
        <w:rPr>
          <w:rFonts w:ascii="Verdana" w:hAnsi="Verdana"/>
          <w:sz w:val="18"/>
          <w:szCs w:val="18"/>
        </w:rPr>
        <w:t>Het kabinet ziet evenwel geen noodzaak tot het opnemen van d</w:t>
      </w:r>
      <w:r w:rsidRPr="003F5855">
        <w:rPr>
          <w:rFonts w:ascii="Verdana" w:hAnsi="Verdana"/>
          <w:sz w:val="18"/>
          <w:szCs w:val="18"/>
        </w:rPr>
        <w:t xml:space="preserve">e notie van openbaarheid </w:t>
      </w:r>
      <w:r w:rsidR="00022188">
        <w:rPr>
          <w:rFonts w:ascii="Verdana" w:hAnsi="Verdana"/>
          <w:sz w:val="18"/>
          <w:szCs w:val="18"/>
        </w:rPr>
        <w:t>in het voorgestelde grondrecht in artikel 17,</w:t>
      </w:r>
      <w:r w:rsidR="00A4000B" w:rsidRPr="003F5855">
        <w:rPr>
          <w:rFonts w:ascii="Verdana" w:hAnsi="Verdana"/>
          <w:sz w:val="18"/>
          <w:szCs w:val="18"/>
        </w:rPr>
        <w:t xml:space="preserve"> omdat de Grondwet thans reeds een voorschrift bevat met betrekking tot de openbaarheid</w:t>
      </w:r>
      <w:r w:rsidR="00022188">
        <w:rPr>
          <w:rFonts w:ascii="Verdana" w:hAnsi="Verdana"/>
          <w:sz w:val="18"/>
          <w:szCs w:val="18"/>
        </w:rPr>
        <w:t xml:space="preserve"> van rechterlijke procedures en uitspraken, te weten</w:t>
      </w:r>
      <w:r w:rsidRPr="003F5855">
        <w:rPr>
          <w:rFonts w:ascii="Verdana" w:hAnsi="Verdana"/>
          <w:sz w:val="18"/>
          <w:szCs w:val="18"/>
        </w:rPr>
        <w:t xml:space="preserve"> artikel 121 Grondwet</w:t>
      </w:r>
      <w:r w:rsidR="00202251" w:rsidRPr="003F5855">
        <w:rPr>
          <w:rFonts w:ascii="Verdana" w:hAnsi="Verdana"/>
          <w:sz w:val="18"/>
          <w:szCs w:val="18"/>
        </w:rPr>
        <w:t>. Die bepaling luidt dat, met uitzondering van de gevallen bij de wet bepaald, de terechtzittingen in het openbaar plaatsvinden. De uitspraak geschiedt – zonder uitzondering – in het openbaar. Uit de grondwetsgeschiedenis blijkt dat de term terechtzittingen alleen betrekking heeft op de gerechten die tot de rechterlijke macht behoren.</w:t>
      </w:r>
      <w:r w:rsidR="00202251" w:rsidRPr="003F5855">
        <w:rPr>
          <w:rStyle w:val="Voetnootmarkering"/>
          <w:rFonts w:ascii="Verdana" w:hAnsi="Verdana"/>
          <w:sz w:val="18"/>
          <w:szCs w:val="18"/>
        </w:rPr>
        <w:footnoteReference w:id="85"/>
      </w:r>
      <w:r w:rsidR="00202251" w:rsidRPr="003F5855">
        <w:rPr>
          <w:rFonts w:ascii="Verdana" w:hAnsi="Verdana"/>
          <w:sz w:val="18"/>
          <w:szCs w:val="18"/>
        </w:rPr>
        <w:t xml:space="preserve"> In aanvulling daarop heeft de wetgever erin voorzien dat de terechtzittingen van bestuursrechtelijke colleges in beginsel openbaar zijn. </w:t>
      </w:r>
      <w:r w:rsidR="00E43B99">
        <w:rPr>
          <w:rFonts w:ascii="Verdana" w:hAnsi="Verdana"/>
          <w:sz w:val="18"/>
          <w:szCs w:val="18"/>
        </w:rPr>
        <w:t xml:space="preserve">Gelet op deze wettelijke regeling ziet het kabinet anders dan de </w:t>
      </w:r>
      <w:r w:rsidR="0028560A">
        <w:rPr>
          <w:rFonts w:ascii="Verdana" w:hAnsi="Verdana"/>
          <w:sz w:val="18"/>
          <w:szCs w:val="18"/>
        </w:rPr>
        <w:t>Rvdr</w:t>
      </w:r>
      <w:r w:rsidR="00E43B99">
        <w:rPr>
          <w:rFonts w:ascii="Verdana" w:hAnsi="Verdana"/>
          <w:sz w:val="18"/>
          <w:szCs w:val="18"/>
        </w:rPr>
        <w:t xml:space="preserve"> in het feit dat zittingen bij de Afdeling bestuursrechtspraak van de Raad van State, bij de Centrale Raad van Beroep en het College van Beroep voor het bedrijfsleven buiten artikel 121 Grondwet vallen, geen reden voor een ruimer geformuleerde grondwettelijke bepaling over de openbaarheid. </w:t>
      </w:r>
      <w:r w:rsidR="00ED7ABB">
        <w:rPr>
          <w:rFonts w:ascii="Verdana" w:hAnsi="Verdana"/>
          <w:sz w:val="18"/>
          <w:szCs w:val="18"/>
        </w:rPr>
        <w:t>De rechter kan</w:t>
      </w:r>
      <w:r w:rsidR="00613771">
        <w:rPr>
          <w:rFonts w:ascii="Verdana" w:hAnsi="Verdana"/>
          <w:sz w:val="18"/>
          <w:szCs w:val="18"/>
        </w:rPr>
        <w:t xml:space="preserve"> op gron</w:t>
      </w:r>
      <w:r w:rsidR="00ED7ABB">
        <w:rPr>
          <w:rFonts w:ascii="Verdana" w:hAnsi="Verdana"/>
          <w:sz w:val="18"/>
          <w:szCs w:val="18"/>
        </w:rPr>
        <w:t xml:space="preserve">d van </w:t>
      </w:r>
      <w:r w:rsidR="00ED67B0">
        <w:rPr>
          <w:rFonts w:ascii="Verdana" w:hAnsi="Verdana"/>
          <w:sz w:val="18"/>
          <w:szCs w:val="18"/>
        </w:rPr>
        <w:t xml:space="preserve">artikel 8:62, </w:t>
      </w:r>
      <w:r w:rsidR="00ED7ABB">
        <w:rPr>
          <w:rFonts w:ascii="Verdana" w:hAnsi="Verdana"/>
          <w:sz w:val="18"/>
          <w:szCs w:val="18"/>
        </w:rPr>
        <w:t>tweede lid</w:t>
      </w:r>
      <w:r w:rsidR="00ED67B0">
        <w:rPr>
          <w:rFonts w:ascii="Verdana" w:hAnsi="Verdana"/>
          <w:sz w:val="18"/>
          <w:szCs w:val="18"/>
        </w:rPr>
        <w:t xml:space="preserve">, </w:t>
      </w:r>
      <w:proofErr w:type="spellStart"/>
      <w:r w:rsidR="00ED67B0">
        <w:rPr>
          <w:rFonts w:ascii="Verdana" w:hAnsi="Verdana"/>
          <w:sz w:val="18"/>
          <w:szCs w:val="18"/>
        </w:rPr>
        <w:t>Awb</w:t>
      </w:r>
      <w:proofErr w:type="spellEnd"/>
      <w:r w:rsidR="00ED7ABB">
        <w:rPr>
          <w:rFonts w:ascii="Verdana" w:hAnsi="Verdana"/>
          <w:sz w:val="18"/>
          <w:szCs w:val="18"/>
        </w:rPr>
        <w:t xml:space="preserve"> bepalen dat het onderzoek ter zitting geheel of gedeeltelijk met gesloten deuren plaats heeft met het oog op bepaalde belangen, kort gezegd, de openbare orde of de goede zeden, de veiligheid van de staat, de belangen van minderjarigen, de persoonlijke levenssfeer van procespartijen of de goede rechtspleging. </w:t>
      </w:r>
      <w:r w:rsidR="00202251" w:rsidRPr="003F5855">
        <w:rPr>
          <w:rFonts w:ascii="Verdana" w:hAnsi="Verdana"/>
          <w:sz w:val="18"/>
          <w:szCs w:val="18"/>
        </w:rPr>
        <w:t>Dat de uitspraak in het openbaar moet plaatsvinden geldt voor uitspraken van alle rechterlijke colleges, ongeacht of zij behoren tot de rechterlijke macht.</w:t>
      </w:r>
      <w:r w:rsidR="00202251" w:rsidRPr="003F5855">
        <w:rPr>
          <w:rStyle w:val="Voetnootmarkering"/>
          <w:rFonts w:ascii="Verdana" w:hAnsi="Verdana"/>
          <w:sz w:val="18"/>
          <w:szCs w:val="18"/>
        </w:rPr>
        <w:footnoteReference w:id="86"/>
      </w:r>
    </w:p>
    <w:p w:rsidR="00044840" w:rsidRDefault="00044840" w:rsidP="003F5855">
      <w:pPr>
        <w:pStyle w:val="Geenafstand"/>
        <w:spacing w:line="280" w:lineRule="atLeast"/>
        <w:rPr>
          <w:rFonts w:ascii="Verdana" w:hAnsi="Verdana"/>
          <w:sz w:val="18"/>
          <w:szCs w:val="18"/>
        </w:rPr>
      </w:pPr>
    </w:p>
    <w:p w:rsidR="00044840" w:rsidRDefault="00044840" w:rsidP="003F5855">
      <w:pPr>
        <w:pStyle w:val="Geenafstand"/>
        <w:spacing w:line="280" w:lineRule="atLeast"/>
        <w:rPr>
          <w:rFonts w:ascii="Verdana" w:hAnsi="Verdana"/>
          <w:sz w:val="18"/>
          <w:szCs w:val="18"/>
        </w:rPr>
      </w:pPr>
      <w:r>
        <w:rPr>
          <w:rFonts w:ascii="Verdana" w:hAnsi="Verdana"/>
          <w:sz w:val="18"/>
          <w:szCs w:val="18"/>
        </w:rPr>
        <w:t xml:space="preserve">De eis dat rechterlijke uitspraken en veroordelingen in strafzaken worden gemotiveerd maakt eveneens deel uit van een eerlijke behandeling en daarmee van het recht op een eerlijk proces. Het motiveringsbeginsel hangt samen met en vloeit voort uit het </w:t>
      </w:r>
      <w:r w:rsidR="00DB29B8">
        <w:rPr>
          <w:rFonts w:ascii="Verdana" w:hAnsi="Verdana"/>
          <w:sz w:val="18"/>
          <w:szCs w:val="18"/>
        </w:rPr>
        <w:t xml:space="preserve">hiervoor genoemde </w:t>
      </w:r>
      <w:r>
        <w:rPr>
          <w:rFonts w:ascii="Verdana" w:hAnsi="Verdana"/>
          <w:sz w:val="18"/>
          <w:szCs w:val="18"/>
        </w:rPr>
        <w:t xml:space="preserve">beginsel van openbaarheid van rechtspraak. </w:t>
      </w:r>
      <w:r w:rsidR="00EC1D73">
        <w:rPr>
          <w:rFonts w:ascii="Verdana" w:hAnsi="Verdana"/>
          <w:sz w:val="18"/>
          <w:szCs w:val="18"/>
        </w:rPr>
        <w:t>Het</w:t>
      </w:r>
      <w:r>
        <w:rPr>
          <w:rFonts w:ascii="Verdana" w:hAnsi="Verdana"/>
          <w:sz w:val="18"/>
          <w:szCs w:val="18"/>
        </w:rPr>
        <w:t xml:space="preserve"> motiverings</w:t>
      </w:r>
      <w:r w:rsidR="00EC1D73">
        <w:rPr>
          <w:rFonts w:ascii="Verdana" w:hAnsi="Verdana"/>
          <w:sz w:val="18"/>
          <w:szCs w:val="18"/>
        </w:rPr>
        <w:t>beginsel</w:t>
      </w:r>
      <w:r>
        <w:rPr>
          <w:rFonts w:ascii="Verdana" w:hAnsi="Verdana"/>
          <w:sz w:val="18"/>
          <w:szCs w:val="18"/>
        </w:rPr>
        <w:t xml:space="preserve"> is net als de openbaarheid verankerd in artikel 121 Grondwet, dat bepaalt dat de vonnissen de gronden inhouden waarop zij berusten, behoudens wettelijke uitzonderingen. De motivering geeft partijen inzicht in het oordeel van de rechter, in de vaststelling van de feiten en de toepassing van de rechtsgronden. </w:t>
      </w:r>
      <w:r w:rsidR="00D90664">
        <w:rPr>
          <w:rFonts w:ascii="Verdana" w:hAnsi="Verdana"/>
          <w:sz w:val="18"/>
          <w:szCs w:val="18"/>
        </w:rPr>
        <w:t>Zij</w:t>
      </w:r>
      <w:r>
        <w:rPr>
          <w:rFonts w:ascii="Verdana" w:hAnsi="Verdana"/>
          <w:sz w:val="18"/>
          <w:szCs w:val="18"/>
        </w:rPr>
        <w:t xml:space="preserve"> stelt partijen </w:t>
      </w:r>
      <w:r>
        <w:rPr>
          <w:rFonts w:ascii="Verdana" w:hAnsi="Verdana"/>
          <w:sz w:val="18"/>
          <w:szCs w:val="18"/>
        </w:rPr>
        <w:lastRenderedPageBreak/>
        <w:t xml:space="preserve">daarmee in staat om zich bij het vonnis neer te leggen of een rechtsmiddel in te stellen. Het is niet nodig dat de rechter ingaat op elk afzonderlijk argument dat partijen hebben aangedragen, maar ten minste op de argumenten die juridisch gezien voor de zaak van essentieel belang waren. </w:t>
      </w:r>
      <w:r w:rsidR="00F269C6">
        <w:rPr>
          <w:rFonts w:ascii="Verdana" w:hAnsi="Verdana"/>
          <w:sz w:val="18"/>
          <w:szCs w:val="18"/>
        </w:rPr>
        <w:t>De Hoge Raad oordeelde ‘dat elke rechterlijke beslissing tenminste zodanig moet worden gemotiveerd dat zij voldoende inzicht geeft in de daaraan ten grondslag liggende gedachtegang om de beslissing zowel voor partijen als voor derden – in geval van openstaan van hogere voorzieningen: de hogere rechter daaronder begrepen – controleerbaar en aanvaardbaar te maken.’</w:t>
      </w:r>
      <w:r w:rsidR="00F269C6">
        <w:rPr>
          <w:rStyle w:val="Voetnootmarkering"/>
          <w:rFonts w:ascii="Verdana" w:hAnsi="Verdana"/>
          <w:sz w:val="18"/>
          <w:szCs w:val="18"/>
        </w:rPr>
        <w:footnoteReference w:id="87"/>
      </w:r>
      <w:r w:rsidR="00F269C6">
        <w:rPr>
          <w:rFonts w:ascii="Verdana" w:hAnsi="Verdana"/>
          <w:sz w:val="18"/>
          <w:szCs w:val="18"/>
        </w:rPr>
        <w:t xml:space="preserve"> </w:t>
      </w:r>
      <w:r w:rsidR="00576AAA">
        <w:rPr>
          <w:rFonts w:ascii="Verdana" w:hAnsi="Verdana"/>
          <w:sz w:val="18"/>
          <w:szCs w:val="18"/>
        </w:rPr>
        <w:t xml:space="preserve">Deze minimumeis is nog steeds maatgevend in de rechtspraktijk. </w:t>
      </w:r>
      <w:r>
        <w:rPr>
          <w:rFonts w:ascii="Verdana" w:hAnsi="Verdana"/>
          <w:sz w:val="18"/>
          <w:szCs w:val="18"/>
        </w:rPr>
        <w:t xml:space="preserve">De mate waarin de rechter moet motiveren om te voldoen aan de eis van artikel 6 EVRM is afhankelijk van de concrete omstandigheden van het geval. Uiteraard moeten de argumenten die de rechter gebruikt ter motivering van zijn beslissing juridisch gerechtvaardigd en overtuigend zijn en ter zake doen, door </w:t>
      </w:r>
      <w:r w:rsidR="00DB29B8">
        <w:rPr>
          <w:rFonts w:ascii="Verdana" w:hAnsi="Verdana"/>
          <w:sz w:val="18"/>
          <w:szCs w:val="18"/>
        </w:rPr>
        <w:t xml:space="preserve">in te gaan op de relevante wettelijke bepalingen waarop het oordeel berust, bijvoorbeeld de </w:t>
      </w:r>
      <w:r>
        <w:rPr>
          <w:rFonts w:ascii="Verdana" w:hAnsi="Verdana"/>
          <w:sz w:val="18"/>
          <w:szCs w:val="18"/>
        </w:rPr>
        <w:t>voorwaarden voor het verkrijgen van een vergunning, of de inschrijving in het register van een bepaalde beroepsgroep.</w:t>
      </w:r>
      <w:r>
        <w:rPr>
          <w:rStyle w:val="Voetnootmarkering"/>
          <w:rFonts w:ascii="Verdana" w:hAnsi="Verdana"/>
          <w:sz w:val="18"/>
          <w:szCs w:val="18"/>
        </w:rPr>
        <w:footnoteReference w:id="88"/>
      </w:r>
      <w:r>
        <w:rPr>
          <w:rFonts w:ascii="Verdana" w:hAnsi="Verdana"/>
          <w:sz w:val="18"/>
          <w:szCs w:val="18"/>
        </w:rPr>
        <w:t xml:space="preserve"> </w:t>
      </w:r>
    </w:p>
    <w:p w:rsidR="00022188" w:rsidRDefault="00022188" w:rsidP="003F5855">
      <w:pPr>
        <w:pStyle w:val="Geenafstand"/>
        <w:spacing w:line="280" w:lineRule="atLeast"/>
        <w:rPr>
          <w:rFonts w:ascii="Verdana" w:hAnsi="Verdana"/>
          <w:sz w:val="18"/>
          <w:szCs w:val="18"/>
        </w:rPr>
      </w:pPr>
    </w:p>
    <w:p w:rsidR="00022188" w:rsidRDefault="00022188" w:rsidP="003F5855">
      <w:pPr>
        <w:pStyle w:val="Geenafstand"/>
        <w:spacing w:line="280" w:lineRule="atLeast"/>
        <w:rPr>
          <w:rFonts w:ascii="Verdana" w:hAnsi="Verdana"/>
          <w:sz w:val="18"/>
          <w:szCs w:val="18"/>
        </w:rPr>
      </w:pPr>
      <w:r>
        <w:rPr>
          <w:rFonts w:ascii="Verdana" w:hAnsi="Verdana"/>
          <w:sz w:val="18"/>
          <w:szCs w:val="18"/>
        </w:rPr>
        <w:t xml:space="preserve">Een belangrijk onderdeel van een eerlijke en gelijke behandeling, dat is uitgewerkt in verdragen, wetgeving en jurisprudentie, is </w:t>
      </w:r>
      <w:r w:rsidR="00044840">
        <w:rPr>
          <w:rFonts w:ascii="Verdana" w:hAnsi="Verdana"/>
          <w:sz w:val="18"/>
          <w:szCs w:val="18"/>
        </w:rPr>
        <w:t xml:space="preserve">tot slot </w:t>
      </w:r>
      <w:r>
        <w:rPr>
          <w:rFonts w:ascii="Verdana" w:hAnsi="Verdana"/>
          <w:sz w:val="18"/>
          <w:szCs w:val="18"/>
        </w:rPr>
        <w:t>h</w:t>
      </w:r>
      <w:r w:rsidRPr="003F5855">
        <w:rPr>
          <w:rFonts w:ascii="Verdana" w:hAnsi="Verdana"/>
          <w:sz w:val="18"/>
          <w:szCs w:val="18"/>
        </w:rPr>
        <w:t xml:space="preserve">et recht op hoor en wederhoor. </w:t>
      </w:r>
      <w:r w:rsidR="00460DA6">
        <w:rPr>
          <w:rFonts w:ascii="Verdana" w:hAnsi="Verdana"/>
          <w:sz w:val="18"/>
          <w:szCs w:val="18"/>
        </w:rPr>
        <w:t xml:space="preserve">Dit recht houdt verband met het in de </w:t>
      </w:r>
      <w:r w:rsidR="0058029C">
        <w:rPr>
          <w:rFonts w:ascii="Verdana" w:hAnsi="Verdana"/>
          <w:sz w:val="18"/>
          <w:szCs w:val="18"/>
        </w:rPr>
        <w:t>EHRM-</w:t>
      </w:r>
      <w:r w:rsidR="00460DA6">
        <w:rPr>
          <w:rFonts w:ascii="Verdana" w:hAnsi="Verdana"/>
          <w:sz w:val="18"/>
          <w:szCs w:val="18"/>
        </w:rPr>
        <w:t>jurisprudentie ontwikkelde beginsel van “</w:t>
      </w:r>
      <w:proofErr w:type="spellStart"/>
      <w:r w:rsidR="00460DA6">
        <w:rPr>
          <w:rFonts w:ascii="Verdana" w:hAnsi="Verdana"/>
          <w:sz w:val="18"/>
          <w:szCs w:val="18"/>
        </w:rPr>
        <w:t>equality</w:t>
      </w:r>
      <w:proofErr w:type="spellEnd"/>
      <w:r w:rsidR="00460DA6">
        <w:rPr>
          <w:rFonts w:ascii="Verdana" w:hAnsi="Verdana"/>
          <w:sz w:val="18"/>
          <w:szCs w:val="18"/>
        </w:rPr>
        <w:t xml:space="preserve"> of arms”, dat betekent dat partijen een gelijke kans tot procesvoering moet worden geboden. Procespartijen moeten onder meer in de gelegenheid worden gesteld om alle relevante processtukken in te zien en hierop te reageren.</w:t>
      </w:r>
      <w:r w:rsidR="00460DA6">
        <w:rPr>
          <w:rStyle w:val="Voetnootmarkering"/>
          <w:rFonts w:ascii="Verdana" w:hAnsi="Verdana"/>
          <w:sz w:val="18"/>
          <w:szCs w:val="18"/>
        </w:rPr>
        <w:footnoteReference w:id="89"/>
      </w:r>
      <w:r w:rsidR="00460DA6">
        <w:rPr>
          <w:rFonts w:ascii="Verdana" w:hAnsi="Verdana"/>
          <w:sz w:val="18"/>
          <w:szCs w:val="18"/>
        </w:rPr>
        <w:t xml:space="preserve"> </w:t>
      </w:r>
      <w:r w:rsidR="00D201D0">
        <w:rPr>
          <w:rFonts w:ascii="Verdana" w:hAnsi="Verdana"/>
          <w:sz w:val="18"/>
          <w:szCs w:val="18"/>
        </w:rPr>
        <w:t>In civiele zaken worden partijen t</w:t>
      </w:r>
      <w:r w:rsidRPr="003F5855">
        <w:rPr>
          <w:rFonts w:ascii="Verdana" w:hAnsi="Verdana"/>
          <w:sz w:val="18"/>
          <w:szCs w:val="18"/>
        </w:rPr>
        <w:t xml:space="preserve">ijdens de mondelinge behandeling </w:t>
      </w:r>
      <w:r>
        <w:rPr>
          <w:rFonts w:ascii="Verdana" w:hAnsi="Verdana"/>
          <w:sz w:val="18"/>
          <w:szCs w:val="18"/>
        </w:rPr>
        <w:t xml:space="preserve">van de rechtszaak </w:t>
      </w:r>
      <w:r w:rsidRPr="003F5855">
        <w:rPr>
          <w:rFonts w:ascii="Verdana" w:hAnsi="Verdana"/>
          <w:sz w:val="18"/>
          <w:szCs w:val="18"/>
        </w:rPr>
        <w:t xml:space="preserve">in de gelegenheid gesteld conform artikel 19 Rv hun standpunten naar voren te brengen en toe te lichten en zich uit te </w:t>
      </w:r>
      <w:r>
        <w:rPr>
          <w:rFonts w:ascii="Verdana" w:hAnsi="Verdana"/>
          <w:sz w:val="18"/>
          <w:szCs w:val="18"/>
        </w:rPr>
        <w:t xml:space="preserve">laten over elkaars standpunten </w:t>
      </w:r>
      <w:r w:rsidRPr="003F5855">
        <w:rPr>
          <w:rFonts w:ascii="Verdana" w:hAnsi="Verdana"/>
          <w:sz w:val="18"/>
          <w:szCs w:val="18"/>
        </w:rPr>
        <w:t>en over alle bescheiden en andere gegevens die in de procedure ter kennisneming van de rechter zijn gebracht.</w:t>
      </w:r>
      <w:r w:rsidR="00D66508">
        <w:rPr>
          <w:rFonts w:ascii="Verdana" w:hAnsi="Verdana"/>
          <w:sz w:val="18"/>
          <w:szCs w:val="18"/>
        </w:rPr>
        <w:t xml:space="preserve"> De </w:t>
      </w:r>
      <w:proofErr w:type="spellStart"/>
      <w:r w:rsidR="00D66508">
        <w:rPr>
          <w:rFonts w:ascii="Verdana" w:hAnsi="Verdana"/>
          <w:sz w:val="18"/>
          <w:szCs w:val="18"/>
        </w:rPr>
        <w:t>Awb</w:t>
      </w:r>
      <w:proofErr w:type="spellEnd"/>
      <w:r w:rsidR="00D66508">
        <w:rPr>
          <w:rFonts w:ascii="Verdana" w:hAnsi="Verdana"/>
          <w:sz w:val="18"/>
          <w:szCs w:val="18"/>
        </w:rPr>
        <w:t xml:space="preserve"> voorziet</w:t>
      </w:r>
      <w:r w:rsidR="00DD511C">
        <w:rPr>
          <w:rFonts w:ascii="Verdana" w:hAnsi="Verdana"/>
          <w:sz w:val="18"/>
          <w:szCs w:val="18"/>
        </w:rPr>
        <w:t xml:space="preserve"> – anders dan tijdens de bezwaarschriftprocedure</w:t>
      </w:r>
      <w:r w:rsidR="00D66508">
        <w:rPr>
          <w:rFonts w:ascii="Verdana" w:hAnsi="Verdana"/>
          <w:sz w:val="18"/>
          <w:szCs w:val="18"/>
        </w:rPr>
        <w:t xml:space="preserve"> </w:t>
      </w:r>
      <w:r w:rsidR="00DD511C">
        <w:rPr>
          <w:rFonts w:ascii="Verdana" w:hAnsi="Verdana"/>
          <w:sz w:val="18"/>
          <w:szCs w:val="18"/>
        </w:rPr>
        <w:t>(artikel</w:t>
      </w:r>
      <w:r w:rsidR="000E14A0">
        <w:rPr>
          <w:rFonts w:ascii="Verdana" w:hAnsi="Verdana"/>
          <w:sz w:val="18"/>
          <w:szCs w:val="18"/>
        </w:rPr>
        <w:t>en</w:t>
      </w:r>
      <w:r w:rsidR="00DD511C">
        <w:rPr>
          <w:rFonts w:ascii="Verdana" w:hAnsi="Verdana"/>
          <w:sz w:val="18"/>
          <w:szCs w:val="18"/>
        </w:rPr>
        <w:t xml:space="preserve"> 7:2 tot en met 7:9 </w:t>
      </w:r>
      <w:proofErr w:type="spellStart"/>
      <w:r w:rsidR="00DD511C">
        <w:rPr>
          <w:rFonts w:ascii="Verdana" w:hAnsi="Verdana"/>
          <w:sz w:val="18"/>
          <w:szCs w:val="18"/>
        </w:rPr>
        <w:t>Awb</w:t>
      </w:r>
      <w:proofErr w:type="spellEnd"/>
      <w:r w:rsidR="00DD511C">
        <w:rPr>
          <w:rFonts w:ascii="Verdana" w:hAnsi="Verdana"/>
          <w:sz w:val="18"/>
          <w:szCs w:val="18"/>
        </w:rPr>
        <w:t xml:space="preserve">) – </w:t>
      </w:r>
      <w:r w:rsidR="00D66508">
        <w:rPr>
          <w:rFonts w:ascii="Verdana" w:hAnsi="Verdana"/>
          <w:sz w:val="18"/>
          <w:szCs w:val="18"/>
        </w:rPr>
        <w:t>niet in een algemeen recht om te worden gehoord</w:t>
      </w:r>
      <w:r w:rsidR="00DD511C">
        <w:rPr>
          <w:rFonts w:ascii="Verdana" w:hAnsi="Verdana"/>
          <w:sz w:val="18"/>
          <w:szCs w:val="18"/>
        </w:rPr>
        <w:t xml:space="preserve"> tijdens de </w:t>
      </w:r>
      <w:r w:rsidR="000434D3">
        <w:rPr>
          <w:rFonts w:ascii="Verdana" w:hAnsi="Verdana"/>
          <w:sz w:val="18"/>
          <w:szCs w:val="18"/>
        </w:rPr>
        <w:t>terechtzitting</w:t>
      </w:r>
      <w:r w:rsidR="00D66508">
        <w:rPr>
          <w:rFonts w:ascii="Verdana" w:hAnsi="Verdana"/>
          <w:sz w:val="18"/>
          <w:szCs w:val="18"/>
        </w:rPr>
        <w:t xml:space="preserve">. Wel geldt er een verschijnings- en informatieplicht (artikel 8:27 </w:t>
      </w:r>
      <w:proofErr w:type="spellStart"/>
      <w:r w:rsidR="00D66508">
        <w:rPr>
          <w:rFonts w:ascii="Verdana" w:hAnsi="Verdana"/>
          <w:sz w:val="18"/>
          <w:szCs w:val="18"/>
        </w:rPr>
        <w:t>Awb</w:t>
      </w:r>
      <w:proofErr w:type="spellEnd"/>
      <w:r w:rsidR="00D66508">
        <w:rPr>
          <w:rFonts w:ascii="Verdana" w:hAnsi="Verdana"/>
          <w:sz w:val="18"/>
          <w:szCs w:val="18"/>
        </w:rPr>
        <w:t>), kan de bestuursrechter partijen oproepen om te horen</w:t>
      </w:r>
      <w:r w:rsidR="00DD511C">
        <w:rPr>
          <w:rFonts w:ascii="Verdana" w:hAnsi="Verdana"/>
          <w:sz w:val="18"/>
          <w:szCs w:val="18"/>
        </w:rPr>
        <w:t>, al dan niet voor het geven van inlichtingen</w:t>
      </w:r>
      <w:r w:rsidR="00D66508">
        <w:rPr>
          <w:rFonts w:ascii="Verdana" w:hAnsi="Verdana"/>
          <w:sz w:val="18"/>
          <w:szCs w:val="18"/>
        </w:rPr>
        <w:t xml:space="preserve"> (artikel 8:44 en 8:59 </w:t>
      </w:r>
      <w:proofErr w:type="spellStart"/>
      <w:r w:rsidR="00D66508">
        <w:rPr>
          <w:rFonts w:ascii="Verdana" w:hAnsi="Verdana"/>
          <w:sz w:val="18"/>
          <w:szCs w:val="18"/>
        </w:rPr>
        <w:t>Awb</w:t>
      </w:r>
      <w:proofErr w:type="spellEnd"/>
      <w:r w:rsidR="00D66508">
        <w:rPr>
          <w:rFonts w:ascii="Verdana" w:hAnsi="Verdana"/>
          <w:sz w:val="18"/>
          <w:szCs w:val="18"/>
        </w:rPr>
        <w:t>) en kunnen getuigen en deskundigen worden ondervraagd door partijen (artikel 8:63</w:t>
      </w:r>
      <w:r w:rsidR="00D90664">
        <w:rPr>
          <w:rFonts w:ascii="Verdana" w:hAnsi="Verdana"/>
          <w:sz w:val="18"/>
          <w:szCs w:val="18"/>
        </w:rPr>
        <w:t>, eerste</w:t>
      </w:r>
      <w:r w:rsidR="00D66508">
        <w:rPr>
          <w:rFonts w:ascii="Verdana" w:hAnsi="Verdana"/>
          <w:sz w:val="18"/>
          <w:szCs w:val="18"/>
        </w:rPr>
        <w:t xml:space="preserve"> lid</w:t>
      </w:r>
      <w:r w:rsidR="00D90664">
        <w:rPr>
          <w:rFonts w:ascii="Verdana" w:hAnsi="Verdana"/>
          <w:sz w:val="18"/>
          <w:szCs w:val="18"/>
        </w:rPr>
        <w:t xml:space="preserve">, </w:t>
      </w:r>
      <w:proofErr w:type="spellStart"/>
      <w:r w:rsidR="00D66508">
        <w:rPr>
          <w:rFonts w:ascii="Verdana" w:hAnsi="Verdana"/>
          <w:sz w:val="18"/>
          <w:szCs w:val="18"/>
        </w:rPr>
        <w:t>Awb</w:t>
      </w:r>
      <w:proofErr w:type="spellEnd"/>
      <w:r w:rsidR="00D66508">
        <w:rPr>
          <w:rFonts w:ascii="Verdana" w:hAnsi="Verdana"/>
          <w:sz w:val="18"/>
          <w:szCs w:val="18"/>
        </w:rPr>
        <w:t>).</w:t>
      </w:r>
      <w:r w:rsidR="00DD511C">
        <w:rPr>
          <w:rStyle w:val="Voetnootmarkering"/>
          <w:rFonts w:ascii="Verdana" w:hAnsi="Verdana"/>
          <w:sz w:val="18"/>
          <w:szCs w:val="18"/>
        </w:rPr>
        <w:footnoteReference w:id="90"/>
      </w:r>
      <w:r w:rsidR="00D66508">
        <w:rPr>
          <w:rFonts w:ascii="Verdana" w:hAnsi="Verdana"/>
          <w:sz w:val="18"/>
          <w:szCs w:val="18"/>
        </w:rPr>
        <w:t xml:space="preserve"> Indien niet alle partijen worden opgeroepen krijgen de niet opgeroepen partijen, gelet op het beginsel van </w:t>
      </w:r>
      <w:proofErr w:type="spellStart"/>
      <w:r w:rsidR="00C71AC2" w:rsidRPr="00C71AC2">
        <w:rPr>
          <w:rFonts w:ascii="Verdana" w:hAnsi="Verdana"/>
          <w:i/>
          <w:sz w:val="18"/>
          <w:szCs w:val="18"/>
        </w:rPr>
        <w:t>equality</w:t>
      </w:r>
      <w:proofErr w:type="spellEnd"/>
      <w:r w:rsidR="00C71AC2" w:rsidRPr="00C71AC2">
        <w:rPr>
          <w:rFonts w:ascii="Verdana" w:hAnsi="Verdana"/>
          <w:i/>
          <w:sz w:val="18"/>
          <w:szCs w:val="18"/>
        </w:rPr>
        <w:t xml:space="preserve"> of arms</w:t>
      </w:r>
      <w:r w:rsidR="00D66508">
        <w:rPr>
          <w:rFonts w:ascii="Verdana" w:hAnsi="Verdana"/>
          <w:sz w:val="18"/>
          <w:szCs w:val="18"/>
        </w:rPr>
        <w:t xml:space="preserve">, de gelegenheid om het horen bij te wonen en een uiteenzetting over de zaak te geven. </w:t>
      </w:r>
    </w:p>
    <w:p w:rsidR="003F5855" w:rsidRDefault="003F5855" w:rsidP="003F5855">
      <w:pPr>
        <w:pStyle w:val="Geenafstand"/>
        <w:spacing w:line="280" w:lineRule="atLeast"/>
        <w:rPr>
          <w:rFonts w:ascii="Verdana" w:hAnsi="Verdana"/>
          <w:i/>
          <w:sz w:val="18"/>
          <w:szCs w:val="18"/>
        </w:rPr>
      </w:pPr>
    </w:p>
    <w:p w:rsidR="00B97355" w:rsidRDefault="00823A6F" w:rsidP="003F5855">
      <w:pPr>
        <w:pStyle w:val="Geenafstand"/>
        <w:spacing w:line="280" w:lineRule="atLeast"/>
        <w:rPr>
          <w:rFonts w:ascii="Verdana" w:hAnsi="Verdana" w:cs="Arial"/>
          <w:i/>
          <w:sz w:val="18"/>
          <w:szCs w:val="18"/>
        </w:rPr>
      </w:pPr>
      <w:r w:rsidRPr="003F5855">
        <w:rPr>
          <w:rFonts w:ascii="Verdana" w:hAnsi="Verdana" w:cs="Arial"/>
          <w:i/>
          <w:sz w:val="18"/>
          <w:szCs w:val="18"/>
        </w:rPr>
        <w:t>7</w:t>
      </w:r>
      <w:r w:rsidR="00F47F94" w:rsidRPr="003F5855">
        <w:rPr>
          <w:rFonts w:ascii="Verdana" w:hAnsi="Verdana" w:cs="Arial"/>
          <w:i/>
          <w:sz w:val="18"/>
          <w:szCs w:val="18"/>
        </w:rPr>
        <w:t>.</w:t>
      </w:r>
      <w:r w:rsidR="001816C6">
        <w:rPr>
          <w:rFonts w:ascii="Verdana" w:hAnsi="Verdana" w:cs="Arial"/>
          <w:i/>
          <w:sz w:val="18"/>
          <w:szCs w:val="18"/>
        </w:rPr>
        <w:t>4</w:t>
      </w:r>
      <w:r w:rsidR="00F47F94" w:rsidRPr="003F5855">
        <w:rPr>
          <w:rFonts w:ascii="Verdana" w:hAnsi="Verdana" w:cs="Arial"/>
          <w:i/>
          <w:sz w:val="18"/>
          <w:szCs w:val="18"/>
        </w:rPr>
        <w:t>.2</w:t>
      </w:r>
      <w:r w:rsidR="00E8566B" w:rsidRPr="003F5855">
        <w:rPr>
          <w:rFonts w:ascii="Verdana" w:hAnsi="Verdana" w:cs="Arial"/>
          <w:i/>
          <w:sz w:val="18"/>
          <w:szCs w:val="18"/>
        </w:rPr>
        <w:t xml:space="preserve"> </w:t>
      </w:r>
      <w:r w:rsidR="00E8566B" w:rsidRPr="003F5855">
        <w:rPr>
          <w:rFonts w:ascii="Verdana" w:hAnsi="Verdana" w:cs="Arial"/>
          <w:i/>
          <w:sz w:val="18"/>
          <w:szCs w:val="18"/>
        </w:rPr>
        <w:tab/>
      </w:r>
      <w:r w:rsidR="005273E4">
        <w:rPr>
          <w:rFonts w:ascii="Verdana" w:hAnsi="Verdana" w:cs="Arial"/>
          <w:i/>
          <w:sz w:val="18"/>
          <w:szCs w:val="18"/>
        </w:rPr>
        <w:t>Rechten van de v</w:t>
      </w:r>
      <w:r w:rsidR="00E8566B" w:rsidRPr="003F5855">
        <w:rPr>
          <w:rFonts w:ascii="Verdana" w:hAnsi="Verdana" w:cs="Arial"/>
          <w:i/>
          <w:sz w:val="18"/>
          <w:szCs w:val="18"/>
        </w:rPr>
        <w:t>erdedi</w:t>
      </w:r>
      <w:r w:rsidR="005273E4">
        <w:rPr>
          <w:rFonts w:ascii="Verdana" w:hAnsi="Verdana" w:cs="Arial"/>
          <w:i/>
          <w:sz w:val="18"/>
          <w:szCs w:val="18"/>
        </w:rPr>
        <w:t>ging</w:t>
      </w:r>
    </w:p>
    <w:p w:rsidR="003F5855" w:rsidRPr="003F5855" w:rsidRDefault="003F5855" w:rsidP="003F5855">
      <w:pPr>
        <w:pStyle w:val="Geenafstand"/>
        <w:spacing w:line="280" w:lineRule="atLeast"/>
        <w:rPr>
          <w:rFonts w:ascii="Verdana" w:hAnsi="Verdana" w:cs="Arial"/>
          <w:i/>
          <w:sz w:val="18"/>
          <w:szCs w:val="18"/>
        </w:rPr>
      </w:pPr>
    </w:p>
    <w:p w:rsidR="00996E16" w:rsidRDefault="00996E16" w:rsidP="00091BE1">
      <w:pPr>
        <w:pStyle w:val="Geenafstand"/>
        <w:spacing w:line="280" w:lineRule="atLeast"/>
        <w:rPr>
          <w:rFonts w:ascii="Verdana" w:hAnsi="Verdana" w:cs="Arial"/>
          <w:sz w:val="18"/>
          <w:szCs w:val="18"/>
        </w:rPr>
      </w:pPr>
      <w:r>
        <w:rPr>
          <w:rFonts w:ascii="Verdana" w:hAnsi="Verdana" w:cs="Arial"/>
          <w:sz w:val="18"/>
          <w:szCs w:val="18"/>
        </w:rPr>
        <w:t>S</w:t>
      </w:r>
      <w:r w:rsidR="00E65A13" w:rsidRPr="003F5855">
        <w:rPr>
          <w:rFonts w:ascii="Verdana" w:hAnsi="Verdana" w:cs="Arial"/>
          <w:sz w:val="18"/>
          <w:szCs w:val="18"/>
        </w:rPr>
        <w:t>pecifieke rechten v</w:t>
      </w:r>
      <w:r w:rsidR="00091BE1">
        <w:rPr>
          <w:rFonts w:ascii="Verdana" w:hAnsi="Verdana" w:cs="Arial"/>
          <w:sz w:val="18"/>
          <w:szCs w:val="18"/>
        </w:rPr>
        <w:t>an</w:t>
      </w:r>
      <w:r w:rsidR="005C017E" w:rsidRPr="003F5855">
        <w:rPr>
          <w:rFonts w:ascii="Verdana" w:hAnsi="Verdana" w:cs="Arial"/>
          <w:sz w:val="18"/>
          <w:szCs w:val="18"/>
        </w:rPr>
        <w:t xml:space="preserve"> de verdediging</w:t>
      </w:r>
      <w:r w:rsidR="00E65A13" w:rsidRPr="003F5855">
        <w:rPr>
          <w:rFonts w:ascii="Verdana" w:hAnsi="Verdana" w:cs="Arial"/>
          <w:sz w:val="18"/>
          <w:szCs w:val="18"/>
        </w:rPr>
        <w:t xml:space="preserve"> in strafrechtelijke procedures</w:t>
      </w:r>
      <w:r w:rsidRPr="00996E16">
        <w:rPr>
          <w:rFonts w:ascii="Verdana" w:hAnsi="Verdana" w:cs="Arial"/>
          <w:sz w:val="18"/>
          <w:szCs w:val="18"/>
        </w:rPr>
        <w:t xml:space="preserve"> </w:t>
      </w:r>
      <w:r>
        <w:rPr>
          <w:rFonts w:ascii="Verdana" w:hAnsi="Verdana" w:cs="Arial"/>
          <w:sz w:val="18"/>
          <w:szCs w:val="18"/>
        </w:rPr>
        <w:t>maken onlosmakelijk deel uit van h</w:t>
      </w:r>
      <w:r w:rsidRPr="003F5855">
        <w:rPr>
          <w:rFonts w:ascii="Verdana" w:hAnsi="Verdana" w:cs="Arial"/>
          <w:sz w:val="18"/>
          <w:szCs w:val="18"/>
        </w:rPr>
        <w:t>et recht op een eerlijk proces</w:t>
      </w:r>
      <w:r>
        <w:rPr>
          <w:rFonts w:ascii="Verdana" w:hAnsi="Verdana" w:cs="Arial"/>
          <w:sz w:val="18"/>
          <w:szCs w:val="18"/>
        </w:rPr>
        <w:t xml:space="preserve">. De </w:t>
      </w:r>
      <w:r w:rsidRPr="003F5855">
        <w:rPr>
          <w:rFonts w:ascii="Verdana" w:hAnsi="Verdana" w:cs="Arial"/>
          <w:sz w:val="18"/>
          <w:szCs w:val="18"/>
        </w:rPr>
        <w:t xml:space="preserve">verdragen </w:t>
      </w:r>
      <w:r>
        <w:rPr>
          <w:rFonts w:ascii="Verdana" w:hAnsi="Verdana" w:cs="Arial"/>
          <w:sz w:val="18"/>
          <w:szCs w:val="18"/>
        </w:rPr>
        <w:t xml:space="preserve">waarin dit recht is verankerd kennen </w:t>
      </w:r>
      <w:r w:rsidRPr="003F5855">
        <w:rPr>
          <w:rFonts w:ascii="Verdana" w:hAnsi="Verdana" w:cs="Arial"/>
          <w:sz w:val="18"/>
          <w:szCs w:val="18"/>
        </w:rPr>
        <w:t>een niet</w:t>
      </w:r>
      <w:r w:rsidR="00D90664">
        <w:rPr>
          <w:rFonts w:ascii="Verdana" w:hAnsi="Verdana" w:cs="Arial"/>
          <w:sz w:val="18"/>
          <w:szCs w:val="18"/>
        </w:rPr>
        <w:t>-</w:t>
      </w:r>
      <w:r w:rsidRPr="003F5855">
        <w:rPr>
          <w:rFonts w:ascii="Verdana" w:hAnsi="Verdana" w:cs="Arial"/>
          <w:sz w:val="18"/>
          <w:szCs w:val="18"/>
        </w:rPr>
        <w:t>uitputtende opsomming van</w:t>
      </w:r>
      <w:r>
        <w:rPr>
          <w:rFonts w:ascii="Verdana" w:hAnsi="Verdana" w:cs="Arial"/>
          <w:sz w:val="18"/>
          <w:szCs w:val="18"/>
        </w:rPr>
        <w:t xml:space="preserve"> die </w:t>
      </w:r>
      <w:r w:rsidR="00E65A13" w:rsidRPr="003F5855">
        <w:rPr>
          <w:rFonts w:ascii="Verdana" w:hAnsi="Verdana" w:cs="Arial"/>
          <w:sz w:val="18"/>
          <w:szCs w:val="18"/>
        </w:rPr>
        <w:t>verdedigingsrechten</w:t>
      </w:r>
      <w:r w:rsidR="00A872FD">
        <w:rPr>
          <w:rFonts w:ascii="Verdana" w:hAnsi="Verdana" w:cs="Arial"/>
          <w:sz w:val="18"/>
          <w:szCs w:val="18"/>
        </w:rPr>
        <w:t>.</w:t>
      </w:r>
      <w:r w:rsidR="00E65A13" w:rsidRPr="003F5855">
        <w:rPr>
          <w:rFonts w:ascii="Verdana" w:hAnsi="Verdana" w:cs="Arial"/>
          <w:sz w:val="18"/>
          <w:szCs w:val="18"/>
        </w:rPr>
        <w:t xml:space="preserve"> </w:t>
      </w:r>
      <w:r>
        <w:rPr>
          <w:rFonts w:ascii="Verdana" w:hAnsi="Verdana" w:cs="Arial"/>
          <w:sz w:val="18"/>
          <w:szCs w:val="18"/>
        </w:rPr>
        <w:t xml:space="preserve">Zo zijn </w:t>
      </w:r>
      <w:r w:rsidR="00E65A13" w:rsidRPr="003F5855">
        <w:rPr>
          <w:rFonts w:ascii="Verdana" w:hAnsi="Verdana" w:cs="Arial"/>
          <w:sz w:val="18"/>
          <w:szCs w:val="18"/>
        </w:rPr>
        <w:t>in artikel 6, derde</w:t>
      </w:r>
      <w:r w:rsidR="00E8566B" w:rsidRPr="003F5855">
        <w:rPr>
          <w:rFonts w:ascii="Verdana" w:hAnsi="Verdana" w:cs="Arial"/>
          <w:sz w:val="18"/>
          <w:szCs w:val="18"/>
        </w:rPr>
        <w:t xml:space="preserve"> lid, EVRM, </w:t>
      </w:r>
      <w:r>
        <w:rPr>
          <w:rFonts w:ascii="Verdana" w:hAnsi="Verdana" w:cs="Arial"/>
          <w:sz w:val="18"/>
          <w:szCs w:val="18"/>
        </w:rPr>
        <w:t xml:space="preserve">opgenomen </w:t>
      </w:r>
      <w:r w:rsidR="00E8566B" w:rsidRPr="003F5855">
        <w:rPr>
          <w:rFonts w:ascii="Verdana" w:hAnsi="Verdana" w:cs="Arial"/>
          <w:sz w:val="18"/>
          <w:szCs w:val="18"/>
        </w:rPr>
        <w:t>het recht van de verdachte (a) om in een taal die hij</w:t>
      </w:r>
      <w:r w:rsidR="00E65A13" w:rsidRPr="003F5855">
        <w:rPr>
          <w:rFonts w:ascii="Verdana" w:hAnsi="Verdana" w:cs="Arial"/>
          <w:sz w:val="18"/>
          <w:szCs w:val="18"/>
        </w:rPr>
        <w:t xml:space="preserve"> verstaat op de hoogte te worden gesteld van de </w:t>
      </w:r>
      <w:r w:rsidR="00E8566B" w:rsidRPr="003F5855">
        <w:rPr>
          <w:rFonts w:ascii="Verdana" w:hAnsi="Verdana" w:cs="Arial"/>
          <w:sz w:val="18"/>
          <w:szCs w:val="18"/>
        </w:rPr>
        <w:t xml:space="preserve">aard en de reden van de tegen hem ingebrachte </w:t>
      </w:r>
      <w:r w:rsidR="00E65A13" w:rsidRPr="003F5855">
        <w:rPr>
          <w:rFonts w:ascii="Verdana" w:hAnsi="Verdana" w:cs="Arial"/>
          <w:sz w:val="18"/>
          <w:szCs w:val="18"/>
        </w:rPr>
        <w:t xml:space="preserve">beschuldiging, </w:t>
      </w:r>
      <w:r w:rsidR="00E8566B" w:rsidRPr="003F5855">
        <w:rPr>
          <w:rFonts w:ascii="Verdana" w:hAnsi="Verdana" w:cs="Arial"/>
          <w:sz w:val="18"/>
          <w:szCs w:val="18"/>
        </w:rPr>
        <w:t xml:space="preserve">(b) te beschikken over de </w:t>
      </w:r>
      <w:r w:rsidR="00E65A13" w:rsidRPr="003F5855">
        <w:rPr>
          <w:rFonts w:ascii="Verdana" w:hAnsi="Verdana" w:cs="Arial"/>
          <w:sz w:val="18"/>
          <w:szCs w:val="18"/>
        </w:rPr>
        <w:t>tijd en faciliteiten</w:t>
      </w:r>
      <w:r w:rsidR="00E8566B" w:rsidRPr="003F5855">
        <w:rPr>
          <w:rFonts w:ascii="Verdana" w:hAnsi="Verdana" w:cs="Arial"/>
          <w:sz w:val="18"/>
          <w:szCs w:val="18"/>
        </w:rPr>
        <w:t xml:space="preserve"> die nodig zijn voor de voorbereiding van zijn</w:t>
      </w:r>
      <w:r w:rsidR="00E65A13" w:rsidRPr="003F5855">
        <w:rPr>
          <w:rFonts w:ascii="Verdana" w:hAnsi="Verdana" w:cs="Arial"/>
          <w:sz w:val="18"/>
          <w:szCs w:val="18"/>
        </w:rPr>
        <w:t xml:space="preserve"> verdediging, </w:t>
      </w:r>
      <w:r w:rsidR="00E8566B" w:rsidRPr="003F5855">
        <w:rPr>
          <w:rFonts w:ascii="Verdana" w:hAnsi="Verdana" w:cs="Arial"/>
          <w:sz w:val="18"/>
          <w:szCs w:val="18"/>
        </w:rPr>
        <w:t>(c) zich zelf te verdedigen of daarbij de bijstand te hebben van een raadsman naar eigen keuze</w:t>
      </w:r>
      <w:r w:rsidR="00E65A13" w:rsidRPr="003F5855">
        <w:rPr>
          <w:rFonts w:ascii="Verdana" w:hAnsi="Verdana" w:cs="Arial"/>
          <w:sz w:val="18"/>
          <w:szCs w:val="18"/>
        </w:rPr>
        <w:t xml:space="preserve">, in bepaalde gevallen kosteloos, </w:t>
      </w:r>
      <w:r w:rsidR="00E8566B" w:rsidRPr="003F5855">
        <w:rPr>
          <w:rFonts w:ascii="Verdana" w:hAnsi="Verdana" w:cs="Arial"/>
          <w:sz w:val="18"/>
          <w:szCs w:val="18"/>
        </w:rPr>
        <w:t>(d) getuigen à charge en à d</w:t>
      </w:r>
      <w:r w:rsidR="00D90664">
        <w:rPr>
          <w:rFonts w:ascii="Verdana" w:hAnsi="Verdana" w:cs="Arial"/>
          <w:sz w:val="18"/>
          <w:szCs w:val="18"/>
        </w:rPr>
        <w:t>e</w:t>
      </w:r>
      <w:r w:rsidR="00E8566B" w:rsidRPr="003F5855">
        <w:rPr>
          <w:rFonts w:ascii="Verdana" w:hAnsi="Verdana" w:cs="Arial"/>
          <w:sz w:val="18"/>
          <w:szCs w:val="18"/>
        </w:rPr>
        <w:t xml:space="preserve">charge </w:t>
      </w:r>
      <w:r w:rsidR="00E65A13" w:rsidRPr="003F5855">
        <w:rPr>
          <w:rFonts w:ascii="Verdana" w:hAnsi="Verdana" w:cs="Arial"/>
          <w:sz w:val="18"/>
          <w:szCs w:val="18"/>
        </w:rPr>
        <w:t>op</w:t>
      </w:r>
      <w:r w:rsidR="00E8566B" w:rsidRPr="003F5855">
        <w:rPr>
          <w:rFonts w:ascii="Verdana" w:hAnsi="Verdana" w:cs="Arial"/>
          <w:sz w:val="18"/>
          <w:szCs w:val="18"/>
        </w:rPr>
        <w:t xml:space="preserve"> te </w:t>
      </w:r>
      <w:r w:rsidR="00E65A13" w:rsidRPr="003F5855">
        <w:rPr>
          <w:rFonts w:ascii="Verdana" w:hAnsi="Verdana" w:cs="Arial"/>
          <w:sz w:val="18"/>
          <w:szCs w:val="18"/>
        </w:rPr>
        <w:t>roepen</w:t>
      </w:r>
      <w:r w:rsidR="00E8566B" w:rsidRPr="003F5855">
        <w:rPr>
          <w:rFonts w:ascii="Verdana" w:hAnsi="Verdana" w:cs="Arial"/>
          <w:sz w:val="18"/>
          <w:szCs w:val="18"/>
        </w:rPr>
        <w:t xml:space="preserve"> en te (doen) ondervragen</w:t>
      </w:r>
      <w:r w:rsidR="00E65A13" w:rsidRPr="003F5855">
        <w:rPr>
          <w:rFonts w:ascii="Verdana" w:hAnsi="Verdana" w:cs="Arial"/>
          <w:sz w:val="18"/>
          <w:szCs w:val="18"/>
        </w:rPr>
        <w:t xml:space="preserve"> en </w:t>
      </w:r>
      <w:r w:rsidR="00E8566B" w:rsidRPr="003F5855">
        <w:rPr>
          <w:rFonts w:ascii="Verdana" w:hAnsi="Verdana" w:cs="Arial"/>
          <w:sz w:val="18"/>
          <w:szCs w:val="18"/>
        </w:rPr>
        <w:t>(e) zich kosteloos te doen bijstaan door een tolk, indien hij de taal die ter terechtzitting wordt gebezigd niet verstaat of niet spreekt</w:t>
      </w:r>
      <w:r w:rsidR="00E65A13" w:rsidRPr="003F5855">
        <w:rPr>
          <w:rFonts w:ascii="Verdana" w:hAnsi="Verdana" w:cs="Arial"/>
          <w:sz w:val="18"/>
          <w:szCs w:val="18"/>
        </w:rPr>
        <w:t>.</w:t>
      </w:r>
      <w:r w:rsidR="005C017E" w:rsidRPr="003F5855">
        <w:rPr>
          <w:rFonts w:ascii="Verdana" w:hAnsi="Verdana" w:cs="Arial"/>
          <w:sz w:val="18"/>
          <w:szCs w:val="18"/>
        </w:rPr>
        <w:t xml:space="preserve"> </w:t>
      </w:r>
      <w:r w:rsidR="0028353A">
        <w:rPr>
          <w:rFonts w:ascii="Verdana" w:hAnsi="Verdana" w:cs="Arial"/>
          <w:sz w:val="18"/>
          <w:szCs w:val="18"/>
        </w:rPr>
        <w:t>Artikel 14 IVBPR kent vergelijkbare deelrechten.</w:t>
      </w:r>
      <w:r w:rsidR="00091BE1">
        <w:rPr>
          <w:rFonts w:ascii="Verdana" w:hAnsi="Verdana" w:cs="Arial"/>
          <w:sz w:val="18"/>
          <w:szCs w:val="18"/>
        </w:rPr>
        <w:t xml:space="preserve"> Artikel 48, tweede lid, EU-Handves</w:t>
      </w:r>
      <w:r w:rsidR="00A730FA">
        <w:rPr>
          <w:rFonts w:ascii="Verdana" w:hAnsi="Verdana" w:cs="Arial"/>
          <w:sz w:val="18"/>
          <w:szCs w:val="18"/>
        </w:rPr>
        <w:t xml:space="preserve">t garandeert in algemene zin </w:t>
      </w:r>
      <w:r w:rsidR="00091BE1" w:rsidRPr="00091BE1">
        <w:rPr>
          <w:rFonts w:ascii="Verdana" w:hAnsi="Verdana" w:cs="Arial"/>
          <w:sz w:val="18"/>
          <w:szCs w:val="18"/>
        </w:rPr>
        <w:t>eenieder tegen wie een</w:t>
      </w:r>
      <w:r w:rsidR="00091BE1">
        <w:rPr>
          <w:rFonts w:ascii="Verdana" w:hAnsi="Verdana" w:cs="Arial"/>
          <w:sz w:val="18"/>
          <w:szCs w:val="18"/>
        </w:rPr>
        <w:t xml:space="preserve"> vervolging is </w:t>
      </w:r>
      <w:r w:rsidR="00091BE1">
        <w:rPr>
          <w:rFonts w:ascii="Verdana" w:hAnsi="Verdana" w:cs="Arial"/>
          <w:sz w:val="18"/>
          <w:szCs w:val="18"/>
        </w:rPr>
        <w:lastRenderedPageBreak/>
        <w:t xml:space="preserve">ingesteld, </w:t>
      </w:r>
      <w:r w:rsidR="00091BE1" w:rsidRPr="00091BE1">
        <w:rPr>
          <w:rFonts w:ascii="Verdana" w:hAnsi="Verdana" w:cs="Arial"/>
          <w:sz w:val="18"/>
          <w:szCs w:val="18"/>
        </w:rPr>
        <w:t>de eerbiediging van de rechten van de</w:t>
      </w:r>
      <w:r w:rsidR="00091BE1">
        <w:rPr>
          <w:rFonts w:ascii="Verdana" w:hAnsi="Verdana" w:cs="Arial"/>
          <w:sz w:val="18"/>
          <w:szCs w:val="18"/>
        </w:rPr>
        <w:t xml:space="preserve"> verdediging</w:t>
      </w:r>
      <w:r w:rsidR="00091BE1" w:rsidRPr="00091BE1">
        <w:rPr>
          <w:rFonts w:ascii="Verdana" w:hAnsi="Verdana" w:cs="Arial"/>
          <w:sz w:val="18"/>
          <w:szCs w:val="18"/>
        </w:rPr>
        <w:t>.</w:t>
      </w:r>
      <w:r w:rsidR="00A730FA">
        <w:rPr>
          <w:rFonts w:ascii="Verdana" w:hAnsi="Verdana" w:cs="Arial"/>
          <w:sz w:val="18"/>
          <w:szCs w:val="18"/>
        </w:rPr>
        <w:t xml:space="preserve"> Welke rechten dat zijn is niet nader gespecificeerd</w:t>
      </w:r>
      <w:r w:rsidR="002B7F5C">
        <w:rPr>
          <w:rFonts w:ascii="Verdana" w:hAnsi="Verdana" w:cs="Arial"/>
          <w:sz w:val="18"/>
          <w:szCs w:val="18"/>
        </w:rPr>
        <w:t xml:space="preserve"> in het Handvest</w:t>
      </w:r>
      <w:r w:rsidR="00A730FA">
        <w:rPr>
          <w:rFonts w:ascii="Verdana" w:hAnsi="Verdana" w:cs="Arial"/>
          <w:sz w:val="18"/>
          <w:szCs w:val="18"/>
        </w:rPr>
        <w:t xml:space="preserve">. </w:t>
      </w:r>
    </w:p>
    <w:p w:rsidR="0028353A" w:rsidRDefault="0028353A" w:rsidP="003F5855">
      <w:pPr>
        <w:pStyle w:val="Geenafstand"/>
        <w:spacing w:line="280" w:lineRule="atLeast"/>
        <w:rPr>
          <w:rFonts w:ascii="Verdana" w:hAnsi="Verdana" w:cs="Arial"/>
          <w:sz w:val="18"/>
          <w:szCs w:val="18"/>
        </w:rPr>
      </w:pPr>
    </w:p>
    <w:p w:rsidR="004C682C" w:rsidRDefault="00996E16" w:rsidP="003F5855">
      <w:pPr>
        <w:pStyle w:val="Geenafstand"/>
        <w:spacing w:line="280" w:lineRule="atLeast"/>
        <w:rPr>
          <w:rFonts w:ascii="Verdana" w:hAnsi="Verdana" w:cs="Arial"/>
          <w:sz w:val="18"/>
          <w:szCs w:val="18"/>
        </w:rPr>
      </w:pPr>
      <w:r w:rsidRPr="003F5855">
        <w:rPr>
          <w:rFonts w:ascii="Verdana" w:hAnsi="Verdana" w:cs="Arial"/>
          <w:sz w:val="18"/>
          <w:szCs w:val="18"/>
        </w:rPr>
        <w:t>Het kabinet acht het noodzakelijk</w:t>
      </w:r>
      <w:r>
        <w:rPr>
          <w:rFonts w:ascii="Verdana" w:hAnsi="Verdana" w:cs="Arial"/>
          <w:sz w:val="18"/>
          <w:szCs w:val="18"/>
        </w:rPr>
        <w:t xml:space="preserve"> noch </w:t>
      </w:r>
      <w:r w:rsidRPr="003F5855">
        <w:rPr>
          <w:rFonts w:ascii="Verdana" w:hAnsi="Verdana" w:cs="Arial"/>
          <w:sz w:val="18"/>
          <w:szCs w:val="18"/>
        </w:rPr>
        <w:t xml:space="preserve">wenselijk dergelijke specifieke </w:t>
      </w:r>
      <w:r>
        <w:rPr>
          <w:rFonts w:ascii="Verdana" w:hAnsi="Verdana" w:cs="Arial"/>
          <w:sz w:val="18"/>
          <w:szCs w:val="18"/>
        </w:rPr>
        <w:t>deel</w:t>
      </w:r>
      <w:r w:rsidR="00EC572F">
        <w:rPr>
          <w:rFonts w:ascii="Verdana" w:hAnsi="Verdana" w:cs="Arial"/>
          <w:sz w:val="18"/>
          <w:szCs w:val="18"/>
        </w:rPr>
        <w:t xml:space="preserve">rechten </w:t>
      </w:r>
      <w:r w:rsidR="00BB4FE8">
        <w:rPr>
          <w:rFonts w:ascii="Verdana" w:hAnsi="Verdana" w:cs="Arial"/>
          <w:sz w:val="18"/>
          <w:szCs w:val="18"/>
        </w:rPr>
        <w:t xml:space="preserve">expliciet </w:t>
      </w:r>
      <w:r w:rsidR="00EC572F">
        <w:rPr>
          <w:rFonts w:ascii="Verdana" w:hAnsi="Verdana" w:cs="Arial"/>
          <w:sz w:val="18"/>
          <w:szCs w:val="18"/>
        </w:rPr>
        <w:t>in</w:t>
      </w:r>
      <w:r w:rsidRPr="003F5855">
        <w:rPr>
          <w:rFonts w:ascii="Verdana" w:hAnsi="Verdana" w:cs="Arial"/>
          <w:sz w:val="18"/>
          <w:szCs w:val="18"/>
        </w:rPr>
        <w:t xml:space="preserve"> de Grondwet te verankeren.</w:t>
      </w:r>
      <w:r>
        <w:rPr>
          <w:rFonts w:ascii="Verdana" w:hAnsi="Verdana" w:cs="Arial"/>
          <w:sz w:val="18"/>
          <w:szCs w:val="18"/>
        </w:rPr>
        <w:t xml:space="preserve"> </w:t>
      </w:r>
      <w:r w:rsidR="001C4DA5" w:rsidRPr="003F5855">
        <w:rPr>
          <w:rFonts w:ascii="Verdana" w:hAnsi="Verdana" w:cs="Arial"/>
          <w:sz w:val="18"/>
          <w:szCs w:val="18"/>
        </w:rPr>
        <w:t xml:space="preserve">Het voorgestelde artikel 17, eerste lid wordt geacht deze rechten mede te beschermen. </w:t>
      </w:r>
      <w:r w:rsidR="00BB4FE8">
        <w:rPr>
          <w:rFonts w:ascii="Verdana" w:hAnsi="Verdana" w:cs="Arial"/>
          <w:sz w:val="18"/>
          <w:szCs w:val="18"/>
        </w:rPr>
        <w:t>Rechten van de verdediging</w:t>
      </w:r>
      <w:r w:rsidR="00BB4FE8" w:rsidRPr="00BB4FE8">
        <w:rPr>
          <w:rFonts w:ascii="Verdana" w:hAnsi="Verdana" w:cs="Arial"/>
          <w:sz w:val="18"/>
          <w:szCs w:val="18"/>
        </w:rPr>
        <w:t xml:space="preserve"> liggen besloten in de algem</w:t>
      </w:r>
      <w:r w:rsidR="00BB4FE8">
        <w:rPr>
          <w:rFonts w:ascii="Verdana" w:hAnsi="Verdana" w:cs="Arial"/>
          <w:sz w:val="18"/>
          <w:szCs w:val="18"/>
        </w:rPr>
        <w:t xml:space="preserve">ene formulering van het recht op een eerlijk proces. Welke elementen deel uitmaken van de grondwettelijke bescherming is onderhevig aan interpretatie van het begrip </w:t>
      </w:r>
      <w:r w:rsidR="00A730FA">
        <w:rPr>
          <w:rFonts w:ascii="Verdana" w:hAnsi="Verdana" w:cs="Arial"/>
          <w:sz w:val="18"/>
          <w:szCs w:val="18"/>
        </w:rPr>
        <w:t>‘</w:t>
      </w:r>
      <w:r w:rsidR="00BB4FE8">
        <w:rPr>
          <w:rFonts w:ascii="Verdana" w:hAnsi="Verdana" w:cs="Arial"/>
          <w:sz w:val="18"/>
          <w:szCs w:val="18"/>
        </w:rPr>
        <w:t>eerlijk proces</w:t>
      </w:r>
      <w:r w:rsidR="00A730FA">
        <w:rPr>
          <w:rFonts w:ascii="Verdana" w:hAnsi="Verdana" w:cs="Arial"/>
          <w:sz w:val="18"/>
          <w:szCs w:val="18"/>
        </w:rPr>
        <w:t>’</w:t>
      </w:r>
      <w:r w:rsidR="00BB4FE8">
        <w:rPr>
          <w:rFonts w:ascii="Verdana" w:hAnsi="Verdana" w:cs="Arial"/>
          <w:sz w:val="18"/>
          <w:szCs w:val="18"/>
        </w:rPr>
        <w:t xml:space="preserve">, zoals ook andere </w:t>
      </w:r>
      <w:r w:rsidR="00A730FA">
        <w:rPr>
          <w:rFonts w:ascii="Verdana" w:hAnsi="Verdana" w:cs="Arial"/>
          <w:sz w:val="18"/>
          <w:szCs w:val="18"/>
        </w:rPr>
        <w:t>grondwettelijke</w:t>
      </w:r>
      <w:r w:rsidR="00BB4FE8">
        <w:rPr>
          <w:rFonts w:ascii="Verdana" w:hAnsi="Verdana" w:cs="Arial"/>
          <w:sz w:val="18"/>
          <w:szCs w:val="18"/>
        </w:rPr>
        <w:t xml:space="preserve"> begrippen, zoals het begrip persoonlijke levenssfeer, moeten worden uitgelegd. H</w:t>
      </w:r>
      <w:r w:rsidR="009146DC">
        <w:rPr>
          <w:rFonts w:ascii="Verdana" w:hAnsi="Verdana" w:cs="Arial"/>
          <w:sz w:val="18"/>
          <w:szCs w:val="18"/>
        </w:rPr>
        <w:t>et begrip eerlijk proces</w:t>
      </w:r>
      <w:r w:rsidR="00BB4FE8" w:rsidRPr="00BB4FE8">
        <w:rPr>
          <w:rFonts w:ascii="Verdana" w:hAnsi="Verdana" w:cs="Arial"/>
          <w:sz w:val="18"/>
          <w:szCs w:val="18"/>
        </w:rPr>
        <w:t xml:space="preserve"> </w:t>
      </w:r>
      <w:r w:rsidR="00BB4FE8">
        <w:rPr>
          <w:rFonts w:ascii="Verdana" w:hAnsi="Verdana" w:cs="Arial"/>
          <w:sz w:val="18"/>
          <w:szCs w:val="18"/>
        </w:rPr>
        <w:t xml:space="preserve">is de kern </w:t>
      </w:r>
      <w:r w:rsidR="00BB4FE8" w:rsidRPr="00BB4FE8">
        <w:rPr>
          <w:rFonts w:ascii="Verdana" w:hAnsi="Verdana" w:cs="Arial"/>
          <w:sz w:val="18"/>
          <w:szCs w:val="18"/>
        </w:rPr>
        <w:t xml:space="preserve">van de </w:t>
      </w:r>
      <w:r w:rsidR="009146DC">
        <w:rPr>
          <w:rFonts w:ascii="Verdana" w:hAnsi="Verdana" w:cs="Arial"/>
          <w:sz w:val="18"/>
          <w:szCs w:val="18"/>
        </w:rPr>
        <w:t xml:space="preserve">voorgestelde </w:t>
      </w:r>
      <w:r w:rsidR="00BB4FE8" w:rsidRPr="00BB4FE8">
        <w:rPr>
          <w:rFonts w:ascii="Verdana" w:hAnsi="Verdana" w:cs="Arial"/>
          <w:sz w:val="18"/>
          <w:szCs w:val="18"/>
        </w:rPr>
        <w:t xml:space="preserve">bepaling en </w:t>
      </w:r>
      <w:r w:rsidR="00BB4FE8">
        <w:rPr>
          <w:rFonts w:ascii="Verdana" w:hAnsi="Verdana" w:cs="Arial"/>
          <w:sz w:val="18"/>
          <w:szCs w:val="18"/>
        </w:rPr>
        <w:t xml:space="preserve">biedt het aanknopingspunt </w:t>
      </w:r>
      <w:r w:rsidR="00BB4FE8" w:rsidRPr="00BB4FE8">
        <w:rPr>
          <w:rFonts w:ascii="Verdana" w:hAnsi="Verdana" w:cs="Arial"/>
          <w:sz w:val="18"/>
          <w:szCs w:val="18"/>
        </w:rPr>
        <w:t xml:space="preserve">voor het beschermen van meer specifieke elementen als onderdeel van dit recht, </w:t>
      </w:r>
      <w:r w:rsidR="00BB4FE8">
        <w:rPr>
          <w:rFonts w:ascii="Verdana" w:hAnsi="Verdana" w:cs="Arial"/>
          <w:sz w:val="18"/>
          <w:szCs w:val="18"/>
        </w:rPr>
        <w:t>zoals rechten van de verdediging</w:t>
      </w:r>
      <w:r w:rsidR="00BB4FE8" w:rsidRPr="00BB4FE8">
        <w:rPr>
          <w:rFonts w:ascii="Verdana" w:hAnsi="Verdana" w:cs="Arial"/>
          <w:sz w:val="18"/>
          <w:szCs w:val="18"/>
        </w:rPr>
        <w:t xml:space="preserve"> in het strafproces</w:t>
      </w:r>
      <w:r w:rsidR="00BB4FE8">
        <w:rPr>
          <w:rFonts w:ascii="Verdana" w:hAnsi="Verdana" w:cs="Arial"/>
          <w:sz w:val="18"/>
          <w:szCs w:val="18"/>
        </w:rPr>
        <w:t xml:space="preserve">. </w:t>
      </w:r>
      <w:r>
        <w:rPr>
          <w:rFonts w:ascii="Verdana" w:hAnsi="Verdana" w:cs="Arial"/>
          <w:sz w:val="18"/>
          <w:szCs w:val="18"/>
        </w:rPr>
        <w:t xml:space="preserve">Het kabinet is met de </w:t>
      </w:r>
      <w:r w:rsidR="00E65A13" w:rsidRPr="003F5855">
        <w:rPr>
          <w:rFonts w:ascii="Verdana" w:hAnsi="Verdana" w:cs="Arial"/>
          <w:sz w:val="18"/>
          <w:szCs w:val="18"/>
        </w:rPr>
        <w:t xml:space="preserve">staatscommissie van oordeel dat het expliciet opnemen van </w:t>
      </w:r>
      <w:r w:rsidR="001C4DA5">
        <w:rPr>
          <w:rFonts w:ascii="Verdana" w:hAnsi="Verdana" w:cs="Arial"/>
          <w:sz w:val="18"/>
          <w:szCs w:val="18"/>
        </w:rPr>
        <w:t xml:space="preserve">voormelde </w:t>
      </w:r>
      <w:r w:rsidR="00E65A13" w:rsidRPr="003F5855">
        <w:rPr>
          <w:rFonts w:ascii="Verdana" w:hAnsi="Verdana" w:cs="Arial"/>
          <w:sz w:val="18"/>
          <w:szCs w:val="18"/>
        </w:rPr>
        <w:t>deelrechten niet past bij</w:t>
      </w:r>
      <w:r w:rsidR="004C682C" w:rsidRPr="003F5855">
        <w:rPr>
          <w:rFonts w:ascii="Verdana" w:hAnsi="Verdana" w:cs="Arial"/>
          <w:sz w:val="18"/>
          <w:szCs w:val="18"/>
        </w:rPr>
        <w:t xml:space="preserve"> het sobere karakter van de Grondwet</w:t>
      </w:r>
      <w:r w:rsidR="00CB3355" w:rsidRPr="003F5855">
        <w:rPr>
          <w:rFonts w:ascii="Verdana" w:hAnsi="Verdana" w:cs="Arial"/>
          <w:sz w:val="18"/>
          <w:szCs w:val="18"/>
        </w:rPr>
        <w:t xml:space="preserve">. Daarnaast geldt dat </w:t>
      </w:r>
      <w:r w:rsidR="001B13E6">
        <w:rPr>
          <w:rFonts w:ascii="Verdana" w:hAnsi="Verdana" w:cs="Arial"/>
          <w:sz w:val="18"/>
          <w:szCs w:val="18"/>
        </w:rPr>
        <w:t>de opsomming van deelrechten van het recht op een eerlijk proces in</w:t>
      </w:r>
      <w:r w:rsidR="0028353A">
        <w:rPr>
          <w:rFonts w:ascii="Verdana" w:hAnsi="Verdana" w:cs="Arial"/>
          <w:sz w:val="18"/>
          <w:szCs w:val="18"/>
        </w:rPr>
        <w:t xml:space="preserve"> de verdragen</w:t>
      </w:r>
      <w:r w:rsidR="004C682C" w:rsidRPr="003F5855">
        <w:rPr>
          <w:rFonts w:ascii="Verdana" w:hAnsi="Verdana" w:cs="Arial"/>
          <w:sz w:val="18"/>
          <w:szCs w:val="18"/>
        </w:rPr>
        <w:t xml:space="preserve">, </w:t>
      </w:r>
      <w:r w:rsidR="0028353A">
        <w:rPr>
          <w:rFonts w:ascii="Verdana" w:hAnsi="Verdana" w:cs="Arial"/>
          <w:sz w:val="18"/>
          <w:szCs w:val="18"/>
        </w:rPr>
        <w:t xml:space="preserve">ook </w:t>
      </w:r>
      <w:r w:rsidR="004C682C" w:rsidRPr="003F5855">
        <w:rPr>
          <w:rFonts w:ascii="Verdana" w:hAnsi="Verdana" w:cs="Arial"/>
          <w:sz w:val="18"/>
          <w:szCs w:val="18"/>
        </w:rPr>
        <w:t xml:space="preserve">geen uitputtende opsomming </w:t>
      </w:r>
      <w:r w:rsidR="0028353A">
        <w:rPr>
          <w:rFonts w:ascii="Verdana" w:hAnsi="Verdana" w:cs="Arial"/>
          <w:sz w:val="18"/>
          <w:szCs w:val="18"/>
        </w:rPr>
        <w:t>betreft</w:t>
      </w:r>
      <w:r w:rsidR="004C682C" w:rsidRPr="003F5855">
        <w:rPr>
          <w:rFonts w:ascii="Verdana" w:hAnsi="Verdana" w:cs="Arial"/>
          <w:sz w:val="18"/>
          <w:szCs w:val="18"/>
        </w:rPr>
        <w:t xml:space="preserve">. Belangrijke deelrechten </w:t>
      </w:r>
      <w:r w:rsidR="008033BD">
        <w:rPr>
          <w:rFonts w:ascii="Verdana" w:hAnsi="Verdana" w:cs="Arial"/>
          <w:sz w:val="18"/>
          <w:szCs w:val="18"/>
        </w:rPr>
        <w:t xml:space="preserve">van de verdediging </w:t>
      </w:r>
      <w:r w:rsidR="004C682C" w:rsidRPr="003F5855">
        <w:rPr>
          <w:rFonts w:ascii="Verdana" w:hAnsi="Verdana" w:cs="Arial"/>
          <w:sz w:val="18"/>
          <w:szCs w:val="18"/>
        </w:rPr>
        <w:t>betreffen jurisprudentierecht</w:t>
      </w:r>
      <w:r w:rsidR="00A4000B" w:rsidRPr="003F5855">
        <w:rPr>
          <w:rFonts w:ascii="Verdana" w:hAnsi="Verdana" w:cs="Arial"/>
          <w:sz w:val="18"/>
          <w:szCs w:val="18"/>
        </w:rPr>
        <w:t xml:space="preserve"> en deze zijn</w:t>
      </w:r>
      <w:r w:rsidR="00156206" w:rsidRPr="003F5855">
        <w:rPr>
          <w:rFonts w:ascii="Verdana" w:hAnsi="Verdana" w:cs="Arial"/>
          <w:sz w:val="18"/>
          <w:szCs w:val="18"/>
        </w:rPr>
        <w:t xml:space="preserve"> bovendien nog niet in alle geva</w:t>
      </w:r>
      <w:r w:rsidR="00A4000B" w:rsidRPr="003F5855">
        <w:rPr>
          <w:rFonts w:ascii="Verdana" w:hAnsi="Verdana" w:cs="Arial"/>
          <w:sz w:val="18"/>
          <w:szCs w:val="18"/>
        </w:rPr>
        <w:t xml:space="preserve">llen volledig </w:t>
      </w:r>
      <w:r w:rsidR="00156206" w:rsidRPr="003F5855">
        <w:rPr>
          <w:rFonts w:ascii="Verdana" w:hAnsi="Verdana" w:cs="Arial"/>
          <w:sz w:val="18"/>
          <w:szCs w:val="18"/>
        </w:rPr>
        <w:t>uitgekristalliseerd</w:t>
      </w:r>
      <w:r w:rsidR="004C682C" w:rsidRPr="003F5855">
        <w:rPr>
          <w:rFonts w:ascii="Verdana" w:hAnsi="Verdana" w:cs="Arial"/>
          <w:sz w:val="18"/>
          <w:szCs w:val="18"/>
        </w:rPr>
        <w:t xml:space="preserve">. </w:t>
      </w:r>
      <w:r w:rsidR="0040551C">
        <w:rPr>
          <w:rFonts w:ascii="Verdana" w:hAnsi="Verdana" w:cs="Arial"/>
          <w:sz w:val="18"/>
          <w:szCs w:val="18"/>
        </w:rPr>
        <w:t>V</w:t>
      </w:r>
      <w:r w:rsidR="0028353A">
        <w:rPr>
          <w:rFonts w:ascii="Verdana" w:hAnsi="Verdana" w:cs="Arial"/>
          <w:sz w:val="18"/>
          <w:szCs w:val="18"/>
        </w:rPr>
        <w:t xml:space="preserve">eel </w:t>
      </w:r>
      <w:r w:rsidR="00E8566B" w:rsidRPr="003F5855">
        <w:rPr>
          <w:rFonts w:ascii="Verdana" w:hAnsi="Verdana" w:cs="Arial"/>
          <w:sz w:val="18"/>
          <w:szCs w:val="18"/>
        </w:rPr>
        <w:t xml:space="preserve">verdedigingsrechten </w:t>
      </w:r>
      <w:r w:rsidR="0040551C">
        <w:rPr>
          <w:rFonts w:ascii="Verdana" w:hAnsi="Verdana" w:cs="Arial"/>
          <w:sz w:val="18"/>
          <w:szCs w:val="18"/>
        </w:rPr>
        <w:t xml:space="preserve">zijn </w:t>
      </w:r>
      <w:r w:rsidR="00E8566B" w:rsidRPr="003F5855">
        <w:rPr>
          <w:rFonts w:ascii="Verdana" w:hAnsi="Verdana" w:cs="Arial"/>
          <w:sz w:val="18"/>
          <w:szCs w:val="18"/>
        </w:rPr>
        <w:t>verankerd in het wetboek van Strafvordering</w:t>
      </w:r>
      <w:r w:rsidR="00D02F1C" w:rsidRPr="003F5855">
        <w:rPr>
          <w:rFonts w:ascii="Verdana" w:hAnsi="Verdana" w:cs="Arial"/>
          <w:sz w:val="18"/>
          <w:szCs w:val="18"/>
        </w:rPr>
        <w:t xml:space="preserve"> (Sv)</w:t>
      </w:r>
      <w:r w:rsidR="00C060B7" w:rsidRPr="003F5855">
        <w:rPr>
          <w:rFonts w:ascii="Verdana" w:hAnsi="Verdana" w:cs="Arial"/>
          <w:sz w:val="18"/>
          <w:szCs w:val="18"/>
        </w:rPr>
        <w:t>, onder meer</w:t>
      </w:r>
      <w:r w:rsidR="00D02F1C" w:rsidRPr="003F5855">
        <w:rPr>
          <w:rFonts w:ascii="Verdana" w:hAnsi="Verdana" w:cs="Arial"/>
          <w:sz w:val="18"/>
          <w:szCs w:val="18"/>
        </w:rPr>
        <w:t xml:space="preserve"> in </w:t>
      </w:r>
      <w:r w:rsidR="00C060B7" w:rsidRPr="003F5855">
        <w:rPr>
          <w:rFonts w:ascii="Verdana" w:hAnsi="Verdana" w:cs="Arial"/>
          <w:sz w:val="18"/>
          <w:szCs w:val="18"/>
        </w:rPr>
        <w:t xml:space="preserve">het Eerste Boek, </w:t>
      </w:r>
      <w:r w:rsidR="00D02F1C" w:rsidRPr="003F5855">
        <w:rPr>
          <w:rFonts w:ascii="Verdana" w:hAnsi="Verdana" w:cs="Arial"/>
          <w:sz w:val="18"/>
          <w:szCs w:val="18"/>
        </w:rPr>
        <w:t>titel II inzake de positie van</w:t>
      </w:r>
      <w:r w:rsidR="00C060B7" w:rsidRPr="003F5855">
        <w:rPr>
          <w:rFonts w:ascii="Verdana" w:hAnsi="Verdana" w:cs="Arial"/>
          <w:sz w:val="18"/>
          <w:szCs w:val="18"/>
        </w:rPr>
        <w:t xml:space="preserve"> de verdachte, en in het Tweede Boek, </w:t>
      </w:r>
      <w:r w:rsidR="00D02F1C" w:rsidRPr="003F5855">
        <w:rPr>
          <w:rFonts w:ascii="Verdana" w:hAnsi="Verdana" w:cs="Arial"/>
          <w:sz w:val="18"/>
          <w:szCs w:val="18"/>
        </w:rPr>
        <w:t xml:space="preserve">titel </w:t>
      </w:r>
      <w:r w:rsidR="00C060B7" w:rsidRPr="003F5855">
        <w:rPr>
          <w:rFonts w:ascii="Verdana" w:hAnsi="Verdana" w:cs="Arial"/>
          <w:sz w:val="18"/>
          <w:szCs w:val="18"/>
        </w:rPr>
        <w:t xml:space="preserve">V, </w:t>
      </w:r>
      <w:r w:rsidR="00D02F1C" w:rsidRPr="003F5855">
        <w:rPr>
          <w:rFonts w:ascii="Verdana" w:hAnsi="Verdana" w:cs="Arial"/>
          <w:sz w:val="18"/>
          <w:szCs w:val="18"/>
        </w:rPr>
        <w:t xml:space="preserve">inzake </w:t>
      </w:r>
      <w:r w:rsidR="00C060B7" w:rsidRPr="003F5855">
        <w:rPr>
          <w:rFonts w:ascii="Verdana" w:hAnsi="Verdana" w:cs="Arial"/>
          <w:sz w:val="18"/>
          <w:szCs w:val="18"/>
        </w:rPr>
        <w:t>het aanhangig maken van de zaak in eerste aanleg ter terechtzitting</w:t>
      </w:r>
      <w:r w:rsidR="00E8566B" w:rsidRPr="003F5855">
        <w:rPr>
          <w:rFonts w:ascii="Verdana" w:hAnsi="Verdana" w:cs="Arial"/>
          <w:sz w:val="18"/>
          <w:szCs w:val="18"/>
        </w:rPr>
        <w:t>.</w:t>
      </w:r>
      <w:r w:rsidR="00D02F1C" w:rsidRPr="003F5855">
        <w:rPr>
          <w:rFonts w:ascii="Verdana" w:hAnsi="Verdana" w:cs="Arial"/>
          <w:sz w:val="18"/>
          <w:szCs w:val="18"/>
        </w:rPr>
        <w:t xml:space="preserve"> </w:t>
      </w:r>
      <w:r w:rsidR="008033BD">
        <w:rPr>
          <w:rFonts w:ascii="Verdana" w:hAnsi="Verdana" w:cs="Arial"/>
          <w:sz w:val="18"/>
          <w:szCs w:val="18"/>
        </w:rPr>
        <w:t xml:space="preserve">Het recht op bijstand van een raadsman, </w:t>
      </w:r>
      <w:r w:rsidR="0028353A">
        <w:rPr>
          <w:rFonts w:ascii="Verdana" w:hAnsi="Verdana" w:cs="Arial"/>
          <w:sz w:val="18"/>
          <w:szCs w:val="18"/>
        </w:rPr>
        <w:t xml:space="preserve">zoals vervat in </w:t>
      </w:r>
      <w:r w:rsidR="008033BD">
        <w:rPr>
          <w:rFonts w:ascii="Verdana" w:hAnsi="Verdana" w:cs="Arial"/>
          <w:sz w:val="18"/>
          <w:szCs w:val="18"/>
        </w:rPr>
        <w:t>artikel 6, derde lid, onderdeel c</w:t>
      </w:r>
      <w:r w:rsidR="00D90664">
        <w:rPr>
          <w:rFonts w:ascii="Verdana" w:hAnsi="Verdana" w:cs="Arial"/>
          <w:sz w:val="18"/>
          <w:szCs w:val="18"/>
        </w:rPr>
        <w:t>, van</w:t>
      </w:r>
      <w:r w:rsidR="008033BD">
        <w:rPr>
          <w:rFonts w:ascii="Verdana" w:hAnsi="Verdana" w:cs="Arial"/>
          <w:sz w:val="18"/>
          <w:szCs w:val="18"/>
        </w:rPr>
        <w:t xml:space="preserve"> het EVRM, kwam reeds</w:t>
      </w:r>
      <w:r w:rsidR="0028353A">
        <w:rPr>
          <w:rFonts w:ascii="Verdana" w:hAnsi="Verdana" w:cs="Arial"/>
          <w:sz w:val="18"/>
          <w:szCs w:val="18"/>
        </w:rPr>
        <w:t xml:space="preserve"> aan de orde in paragraaf 5 in verband met de</w:t>
      </w:r>
      <w:r w:rsidR="008033BD">
        <w:rPr>
          <w:rFonts w:ascii="Verdana" w:hAnsi="Verdana" w:cs="Arial"/>
          <w:sz w:val="18"/>
          <w:szCs w:val="18"/>
        </w:rPr>
        <w:t xml:space="preserve"> toegang tot de rechter. Kort gezegd garandeert artikel 18, eerste lid, Grondwet dat een ieder zich </w:t>
      </w:r>
      <w:r w:rsidR="0028353A">
        <w:rPr>
          <w:rFonts w:ascii="Verdana" w:hAnsi="Verdana" w:cs="Arial"/>
          <w:sz w:val="18"/>
          <w:szCs w:val="18"/>
        </w:rPr>
        <w:t xml:space="preserve">in rechte </w:t>
      </w:r>
      <w:r w:rsidR="008033BD">
        <w:rPr>
          <w:rFonts w:ascii="Verdana" w:hAnsi="Verdana" w:cs="Arial"/>
          <w:sz w:val="18"/>
          <w:szCs w:val="18"/>
        </w:rPr>
        <w:t xml:space="preserve">kan laten bijstaan </w:t>
      </w:r>
      <w:r w:rsidR="0028353A">
        <w:rPr>
          <w:rFonts w:ascii="Verdana" w:hAnsi="Verdana" w:cs="Arial"/>
          <w:sz w:val="18"/>
          <w:szCs w:val="18"/>
        </w:rPr>
        <w:t>door een raadsman</w:t>
      </w:r>
      <w:r w:rsidR="008033BD">
        <w:rPr>
          <w:rFonts w:ascii="Verdana" w:hAnsi="Verdana" w:cs="Arial"/>
          <w:sz w:val="18"/>
          <w:szCs w:val="18"/>
        </w:rPr>
        <w:t xml:space="preserve">. </w:t>
      </w:r>
      <w:r w:rsidR="00D02F1C" w:rsidRPr="003F5855">
        <w:rPr>
          <w:rFonts w:ascii="Verdana" w:hAnsi="Verdana" w:cs="Arial"/>
          <w:sz w:val="18"/>
          <w:szCs w:val="18"/>
        </w:rPr>
        <w:t>De Wet op</w:t>
      </w:r>
      <w:r w:rsidR="00156206" w:rsidRPr="003F5855">
        <w:rPr>
          <w:rFonts w:ascii="Verdana" w:hAnsi="Verdana" w:cs="Arial"/>
          <w:sz w:val="18"/>
          <w:szCs w:val="18"/>
        </w:rPr>
        <w:t xml:space="preserve"> de rechtsbijstand </w:t>
      </w:r>
      <w:r w:rsidR="00D02F1C" w:rsidRPr="003F5855">
        <w:rPr>
          <w:rFonts w:ascii="Verdana" w:hAnsi="Verdana" w:cs="Arial"/>
          <w:sz w:val="18"/>
          <w:szCs w:val="18"/>
        </w:rPr>
        <w:t xml:space="preserve">regelt wanneer de verdachte recht heeft op </w:t>
      </w:r>
      <w:r w:rsidR="0058029C">
        <w:rPr>
          <w:rFonts w:ascii="Verdana" w:hAnsi="Verdana" w:cs="Arial"/>
          <w:sz w:val="18"/>
          <w:szCs w:val="18"/>
        </w:rPr>
        <w:t>gesubsidieerde</w:t>
      </w:r>
      <w:r w:rsidR="00D02F1C" w:rsidRPr="003F5855">
        <w:rPr>
          <w:rFonts w:ascii="Verdana" w:hAnsi="Verdana" w:cs="Arial"/>
          <w:sz w:val="18"/>
          <w:szCs w:val="18"/>
        </w:rPr>
        <w:t xml:space="preserve"> rechtsbijstand en in welke gevallen van verdachte een eigen bijdrage kan worden verlangd. Op grond van artikel 43, tweede lid, Sv is de toevoeging van een raadsman aan degene die krachtens een bevel tot voorlopige hechtenis is gedetineerd, in iedere aanleg kosteloos.</w:t>
      </w:r>
      <w:r w:rsidR="00D07F98" w:rsidRPr="003F5855">
        <w:rPr>
          <w:rFonts w:ascii="Verdana" w:hAnsi="Verdana" w:cs="Arial"/>
          <w:sz w:val="18"/>
          <w:szCs w:val="18"/>
        </w:rPr>
        <w:t xml:space="preserve"> </w:t>
      </w:r>
    </w:p>
    <w:p w:rsidR="009C6A3A" w:rsidRDefault="009C6A3A" w:rsidP="009C6A3A">
      <w:pPr>
        <w:pStyle w:val="Geenafstand"/>
        <w:spacing w:line="280" w:lineRule="atLeast"/>
        <w:rPr>
          <w:rFonts w:ascii="Verdana" w:hAnsi="Verdana" w:cs="Arial"/>
          <w:sz w:val="18"/>
          <w:szCs w:val="18"/>
        </w:rPr>
      </w:pPr>
    </w:p>
    <w:p w:rsidR="009C6A3A" w:rsidRPr="003F5855" w:rsidRDefault="009F7CBA" w:rsidP="009C6A3A">
      <w:pPr>
        <w:pStyle w:val="Geenafstand"/>
        <w:spacing w:line="280" w:lineRule="atLeast"/>
        <w:rPr>
          <w:rFonts w:ascii="Verdana" w:hAnsi="Verdana" w:cs="Arial"/>
          <w:sz w:val="18"/>
          <w:szCs w:val="18"/>
        </w:rPr>
      </w:pPr>
      <w:r>
        <w:rPr>
          <w:rFonts w:ascii="Verdana" w:hAnsi="Verdana" w:cs="Arial"/>
          <w:sz w:val="18"/>
          <w:szCs w:val="18"/>
        </w:rPr>
        <w:t xml:space="preserve">In strafzaken is het van belang ook stil te staan bij de belangen van slachtoffers. Hoewel een slachtoffer geen zelfstandig recht op een eerlijk proces in de zin van de voorgestelde grondwetsbepaling heeft als hij zich niet in de zaak gevoegd heeft, benadrukt het kabinet </w:t>
      </w:r>
      <w:r w:rsidR="009C6A3A">
        <w:rPr>
          <w:rFonts w:ascii="Verdana" w:hAnsi="Verdana" w:cs="Arial"/>
          <w:sz w:val="18"/>
          <w:szCs w:val="18"/>
        </w:rPr>
        <w:t>dat</w:t>
      </w:r>
      <w:r w:rsidR="00E97B23">
        <w:rPr>
          <w:rFonts w:ascii="Verdana" w:hAnsi="Verdana" w:cs="Arial"/>
          <w:sz w:val="18"/>
          <w:szCs w:val="18"/>
        </w:rPr>
        <w:t xml:space="preserve"> ook</w:t>
      </w:r>
      <w:r w:rsidR="009C6A3A">
        <w:rPr>
          <w:rFonts w:ascii="Verdana" w:hAnsi="Verdana" w:cs="Arial"/>
          <w:sz w:val="18"/>
          <w:szCs w:val="18"/>
        </w:rPr>
        <w:t xml:space="preserve"> </w:t>
      </w:r>
      <w:r>
        <w:rPr>
          <w:rFonts w:ascii="Verdana" w:hAnsi="Verdana" w:cs="Arial"/>
          <w:sz w:val="18"/>
          <w:szCs w:val="18"/>
        </w:rPr>
        <w:t xml:space="preserve">dan </w:t>
      </w:r>
      <w:r w:rsidR="009C6A3A">
        <w:rPr>
          <w:rFonts w:ascii="Verdana" w:hAnsi="Verdana" w:cs="Arial"/>
          <w:sz w:val="18"/>
          <w:szCs w:val="18"/>
        </w:rPr>
        <w:t>de belangen van slachtoffers een rol spelen in het strafproces. Slachtoffers hebben een aantal rechten in het strafproces en het verloop en de uitkomst van het strafproces is voor hen van groot belang. In bepaalde gevallen kan het nodig zijn een afweging te maken tussen de belangen van de verdediging en van het slachtoffer. Die belangenafweging kan er bijvoorbeeld toe leiden dat bepaalde vragen van de verdediging niet worden toegestaan, vanwege het belang van het slachtoffer dat optreedt als getuige, uiteraard zolang het recht van de verdediging op een eerlijk proces wordt gewaarborgd.</w:t>
      </w:r>
    </w:p>
    <w:p w:rsidR="003F5855" w:rsidRPr="003F5855" w:rsidRDefault="003F5855" w:rsidP="003F5855">
      <w:pPr>
        <w:pStyle w:val="Geenafstand"/>
        <w:spacing w:line="280" w:lineRule="atLeast"/>
        <w:rPr>
          <w:rFonts w:ascii="Verdana" w:hAnsi="Verdana" w:cs="Arial"/>
          <w:sz w:val="18"/>
          <w:szCs w:val="18"/>
        </w:rPr>
      </w:pPr>
    </w:p>
    <w:p w:rsidR="004C682C" w:rsidRPr="003F5855" w:rsidRDefault="00823A6F" w:rsidP="00B97355">
      <w:pPr>
        <w:spacing w:line="280" w:lineRule="atLeast"/>
        <w:rPr>
          <w:rFonts w:ascii="Verdana" w:hAnsi="Verdana" w:cs="Arial"/>
          <w:i/>
          <w:sz w:val="18"/>
          <w:szCs w:val="18"/>
        </w:rPr>
      </w:pPr>
      <w:r w:rsidRPr="003F5855">
        <w:rPr>
          <w:rFonts w:ascii="Verdana" w:hAnsi="Verdana" w:cs="Arial"/>
          <w:i/>
          <w:sz w:val="18"/>
          <w:szCs w:val="18"/>
        </w:rPr>
        <w:t>7</w:t>
      </w:r>
      <w:r w:rsidR="00F47F94" w:rsidRPr="003F5855">
        <w:rPr>
          <w:rFonts w:ascii="Verdana" w:hAnsi="Verdana" w:cs="Arial"/>
          <w:i/>
          <w:sz w:val="18"/>
          <w:szCs w:val="18"/>
        </w:rPr>
        <w:t>.</w:t>
      </w:r>
      <w:r w:rsidR="001816C6">
        <w:rPr>
          <w:rFonts w:ascii="Verdana" w:hAnsi="Verdana" w:cs="Arial"/>
          <w:i/>
          <w:sz w:val="18"/>
          <w:szCs w:val="18"/>
        </w:rPr>
        <w:t>4</w:t>
      </w:r>
      <w:r w:rsidR="00F47F94" w:rsidRPr="003F5855">
        <w:rPr>
          <w:rFonts w:ascii="Verdana" w:hAnsi="Verdana" w:cs="Arial"/>
          <w:i/>
          <w:sz w:val="18"/>
          <w:szCs w:val="18"/>
        </w:rPr>
        <w:t>.3</w:t>
      </w:r>
      <w:r w:rsidR="00B97355" w:rsidRPr="003F5855">
        <w:rPr>
          <w:rFonts w:ascii="Verdana" w:hAnsi="Verdana" w:cs="Arial"/>
          <w:i/>
          <w:sz w:val="18"/>
          <w:szCs w:val="18"/>
        </w:rPr>
        <w:tab/>
      </w:r>
      <w:r w:rsidR="004C682C" w:rsidRPr="003F5855">
        <w:rPr>
          <w:rFonts w:ascii="Verdana" w:hAnsi="Verdana" w:cs="Arial"/>
          <w:i/>
          <w:sz w:val="18"/>
          <w:szCs w:val="18"/>
        </w:rPr>
        <w:t>Hoger beroep</w:t>
      </w:r>
    </w:p>
    <w:p w:rsidR="00D816DD" w:rsidRDefault="00D816DD" w:rsidP="003202AB">
      <w:pPr>
        <w:autoSpaceDE w:val="0"/>
        <w:autoSpaceDN w:val="0"/>
        <w:adjustRightInd w:val="0"/>
        <w:spacing w:after="0" w:line="280" w:lineRule="atLeast"/>
        <w:rPr>
          <w:rFonts w:ascii="Verdana" w:hAnsi="Verdana" w:cs="Univers"/>
          <w:sz w:val="18"/>
          <w:szCs w:val="18"/>
        </w:rPr>
      </w:pPr>
      <w:r>
        <w:rPr>
          <w:rFonts w:ascii="Verdana" w:hAnsi="Verdana"/>
          <w:sz w:val="18"/>
          <w:szCs w:val="18"/>
        </w:rPr>
        <w:t>Hoger beroep strekt ertoe een zaak voor d</w:t>
      </w:r>
      <w:r w:rsidR="00281C8C">
        <w:rPr>
          <w:rFonts w:ascii="Verdana" w:hAnsi="Verdana"/>
          <w:sz w:val="18"/>
          <w:szCs w:val="18"/>
        </w:rPr>
        <w:t xml:space="preserve">e tweede maal, maar nu door een </w:t>
      </w:r>
      <w:r w:rsidR="00EE7161">
        <w:rPr>
          <w:rFonts w:ascii="Verdana" w:hAnsi="Verdana"/>
          <w:sz w:val="18"/>
          <w:szCs w:val="18"/>
        </w:rPr>
        <w:t xml:space="preserve">hogere rechter </w:t>
      </w:r>
      <w:r>
        <w:rPr>
          <w:rFonts w:ascii="Verdana" w:hAnsi="Verdana"/>
          <w:sz w:val="18"/>
          <w:szCs w:val="18"/>
        </w:rPr>
        <w:t>te laten behandelen. De meerwaarde van hoger beroep ten opzichte van de rechtspleging in eerste aanleg is erin gelegen dat de appelrechter tegen de achtergrond van het in eerste aanleg gewezen vonnis de zaak opnieuw bekijkt en aldus de juistheid en de volledigheid van dat vonnis beoordeelt</w:t>
      </w:r>
      <w:r w:rsidRPr="00913BCB">
        <w:rPr>
          <w:rFonts w:ascii="Verdana" w:hAnsi="Verdana"/>
          <w:sz w:val="18"/>
          <w:szCs w:val="18"/>
        </w:rPr>
        <w:t>.</w:t>
      </w:r>
      <w:r w:rsidRPr="00913BCB">
        <w:rPr>
          <w:rStyle w:val="Voetnootmarkering"/>
          <w:rFonts w:ascii="Verdana" w:hAnsi="Verdana"/>
          <w:sz w:val="18"/>
          <w:szCs w:val="18"/>
        </w:rPr>
        <w:footnoteReference w:id="91"/>
      </w:r>
      <w:r w:rsidRPr="00913BCB">
        <w:rPr>
          <w:rFonts w:ascii="Verdana" w:hAnsi="Verdana"/>
          <w:sz w:val="18"/>
          <w:szCs w:val="18"/>
        </w:rPr>
        <w:t xml:space="preserve"> I</w:t>
      </w:r>
      <w:r w:rsidRPr="00913BCB">
        <w:rPr>
          <w:rFonts w:ascii="Verdana" w:hAnsi="Verdana" w:cs="Univers"/>
          <w:sz w:val="18"/>
          <w:szCs w:val="18"/>
        </w:rPr>
        <w:t>n de wetenschap</w:t>
      </w:r>
      <w:r>
        <w:rPr>
          <w:rFonts w:ascii="Verdana" w:hAnsi="Verdana" w:cs="Univers"/>
          <w:sz w:val="18"/>
          <w:szCs w:val="18"/>
        </w:rPr>
        <w:t xml:space="preserve"> en rechts</w:t>
      </w:r>
      <w:r w:rsidRPr="00913BCB">
        <w:rPr>
          <w:rFonts w:ascii="Verdana" w:hAnsi="Verdana" w:cs="Univers"/>
          <w:sz w:val="18"/>
          <w:szCs w:val="18"/>
        </w:rPr>
        <w:t>praktijk worden vijf belangr</w:t>
      </w:r>
      <w:r w:rsidR="009C1850">
        <w:rPr>
          <w:rFonts w:ascii="Verdana" w:hAnsi="Verdana" w:cs="Univers"/>
          <w:sz w:val="18"/>
          <w:szCs w:val="18"/>
        </w:rPr>
        <w:t xml:space="preserve">ijke functies van hoger beroep </w:t>
      </w:r>
      <w:r w:rsidRPr="00913BCB">
        <w:rPr>
          <w:rFonts w:ascii="Verdana" w:hAnsi="Verdana" w:cs="Univers"/>
          <w:sz w:val="18"/>
          <w:szCs w:val="18"/>
        </w:rPr>
        <w:t xml:space="preserve">in </w:t>
      </w:r>
      <w:r w:rsidRPr="009C1850">
        <w:rPr>
          <w:rFonts w:ascii="Verdana" w:hAnsi="Verdana" w:cs="Univers"/>
          <w:sz w:val="18"/>
          <w:szCs w:val="18"/>
        </w:rPr>
        <w:t xml:space="preserve">strafzaken </w:t>
      </w:r>
      <w:r w:rsidRPr="00913BCB">
        <w:rPr>
          <w:rFonts w:ascii="Verdana" w:hAnsi="Verdana" w:cs="Univers"/>
          <w:sz w:val="18"/>
          <w:szCs w:val="18"/>
        </w:rPr>
        <w:t>onderkend</w:t>
      </w:r>
      <w:r>
        <w:rPr>
          <w:rFonts w:ascii="Verdana" w:hAnsi="Verdana" w:cs="Univers"/>
          <w:sz w:val="18"/>
          <w:szCs w:val="18"/>
        </w:rPr>
        <w:t xml:space="preserve">: bescherming tegen mogelijke willekeur van de rechter, mogelijkheid van correctie van beslissingen, herkansing van partijen vanuit een mogelijk nieuwe kijk op de kern van de zaak, rechtseenheid en rechtsontwikkeling alsmede bevordering van het gezag van het </w:t>
      </w:r>
      <w:r>
        <w:rPr>
          <w:rFonts w:ascii="Verdana" w:hAnsi="Verdana" w:cs="Univers"/>
          <w:sz w:val="18"/>
          <w:szCs w:val="18"/>
        </w:rPr>
        <w:lastRenderedPageBreak/>
        <w:t>rechterlijk oordeel.</w:t>
      </w:r>
      <w:r w:rsidRPr="00913BCB">
        <w:rPr>
          <w:rStyle w:val="Voetnootmarkering"/>
          <w:rFonts w:ascii="Verdana" w:hAnsi="Verdana"/>
          <w:sz w:val="18"/>
          <w:szCs w:val="18"/>
        </w:rPr>
        <w:footnoteReference w:id="92"/>
      </w:r>
      <w:r>
        <w:rPr>
          <w:rFonts w:ascii="Verdana" w:hAnsi="Verdana" w:cs="Univers"/>
          <w:sz w:val="18"/>
          <w:szCs w:val="18"/>
        </w:rPr>
        <w:t xml:space="preserve"> </w:t>
      </w:r>
      <w:r w:rsidR="009C1850">
        <w:rPr>
          <w:rFonts w:ascii="Verdana" w:hAnsi="Verdana" w:cs="Univers"/>
          <w:sz w:val="18"/>
          <w:szCs w:val="18"/>
        </w:rPr>
        <w:t>V</w:t>
      </w:r>
      <w:r w:rsidR="00BA5426">
        <w:rPr>
          <w:rFonts w:ascii="Verdana" w:hAnsi="Verdana" w:cs="Univers"/>
          <w:sz w:val="18"/>
          <w:szCs w:val="18"/>
        </w:rPr>
        <w:t>oor hoger beroep in civiele en bestuursrechtelijke zaken worden v</w:t>
      </w:r>
      <w:r w:rsidR="009C1850">
        <w:rPr>
          <w:rFonts w:ascii="Verdana" w:hAnsi="Verdana" w:cs="Univers"/>
          <w:sz w:val="18"/>
          <w:szCs w:val="18"/>
        </w:rPr>
        <w:t xml:space="preserve">ergelijkbare </w:t>
      </w:r>
      <w:r w:rsidR="00C5649D">
        <w:rPr>
          <w:rFonts w:ascii="Verdana" w:hAnsi="Verdana" w:cs="Univers"/>
          <w:sz w:val="18"/>
          <w:szCs w:val="18"/>
        </w:rPr>
        <w:t xml:space="preserve">controle-, </w:t>
      </w:r>
      <w:r w:rsidR="00BA5426">
        <w:rPr>
          <w:rFonts w:ascii="Verdana" w:hAnsi="Verdana" w:cs="Univers"/>
          <w:sz w:val="18"/>
          <w:szCs w:val="18"/>
        </w:rPr>
        <w:t>herstel- en herkansingsfuncties</w:t>
      </w:r>
      <w:r w:rsidR="00064C71">
        <w:rPr>
          <w:rFonts w:ascii="Verdana" w:hAnsi="Verdana" w:cs="Univers"/>
          <w:sz w:val="18"/>
          <w:szCs w:val="18"/>
        </w:rPr>
        <w:t xml:space="preserve"> </w:t>
      </w:r>
      <w:r w:rsidR="0076226B">
        <w:rPr>
          <w:rFonts w:ascii="Verdana" w:hAnsi="Verdana" w:cs="Univers"/>
          <w:sz w:val="18"/>
          <w:szCs w:val="18"/>
        </w:rPr>
        <w:t xml:space="preserve">in de literatuur </w:t>
      </w:r>
      <w:r w:rsidR="00064C71">
        <w:rPr>
          <w:rFonts w:ascii="Verdana" w:hAnsi="Verdana" w:cs="Univers"/>
          <w:sz w:val="18"/>
          <w:szCs w:val="18"/>
        </w:rPr>
        <w:t>genoemd</w:t>
      </w:r>
      <w:r w:rsidR="00A63210">
        <w:rPr>
          <w:rFonts w:ascii="Verdana" w:hAnsi="Verdana" w:cs="Univers"/>
          <w:sz w:val="18"/>
          <w:szCs w:val="18"/>
        </w:rPr>
        <w:t>.</w:t>
      </w:r>
      <w:r w:rsidR="00A63210">
        <w:rPr>
          <w:rStyle w:val="Voetnootmarkering"/>
          <w:rFonts w:ascii="Verdana" w:hAnsi="Verdana" w:cs="Univers"/>
          <w:sz w:val="18"/>
          <w:szCs w:val="18"/>
        </w:rPr>
        <w:footnoteReference w:id="93"/>
      </w:r>
      <w:r w:rsidR="00A63210">
        <w:rPr>
          <w:rFonts w:ascii="Verdana" w:hAnsi="Verdana" w:cs="Univers"/>
          <w:sz w:val="18"/>
          <w:szCs w:val="18"/>
        </w:rPr>
        <w:t xml:space="preserve"> H</w:t>
      </w:r>
      <w:r w:rsidR="009C1850">
        <w:rPr>
          <w:rFonts w:ascii="Verdana" w:hAnsi="Verdana" w:cs="Univers"/>
          <w:sz w:val="18"/>
          <w:szCs w:val="18"/>
        </w:rPr>
        <w:t>et openstellen van hoger beroep dient de individuele rechtsbedeling en het proces van rechtsvorming; doordat een hogere instantie opnieuw over een zaak kan oordelen kunnen juridische fouten worden hersteld, alsmede onvolkomenheden in de feitenvaststelling worden ondervangen.</w:t>
      </w:r>
      <w:r w:rsidR="009C1850">
        <w:rPr>
          <w:rStyle w:val="Voetnootmarkering"/>
          <w:rFonts w:ascii="Verdana" w:hAnsi="Verdana" w:cs="Univers"/>
          <w:sz w:val="18"/>
          <w:szCs w:val="18"/>
        </w:rPr>
        <w:footnoteReference w:id="94"/>
      </w:r>
      <w:r w:rsidR="009C1850">
        <w:rPr>
          <w:rFonts w:ascii="Verdana" w:hAnsi="Verdana" w:cs="Univers"/>
          <w:sz w:val="18"/>
          <w:szCs w:val="18"/>
        </w:rPr>
        <w:t xml:space="preserve"> Daarbij kunnen partijen ook nieuwe argumenten naar voren brengen of bewijs aandragen ten opzichte van de behandeling van de zaak in eerste aanleg.</w:t>
      </w:r>
      <w:r w:rsidR="009C1850">
        <w:rPr>
          <w:rStyle w:val="Voetnootmarkering"/>
          <w:rFonts w:ascii="Verdana" w:hAnsi="Verdana" w:cs="Univers"/>
          <w:sz w:val="18"/>
          <w:szCs w:val="18"/>
        </w:rPr>
        <w:footnoteReference w:id="95"/>
      </w:r>
      <w:r w:rsidR="006339DC">
        <w:rPr>
          <w:rFonts w:ascii="Verdana" w:hAnsi="Verdana" w:cs="Univers"/>
          <w:sz w:val="18"/>
          <w:szCs w:val="18"/>
        </w:rPr>
        <w:t xml:space="preserve"> Dit evenwel binnen de grenzen van de geldende proceswetgeving.</w:t>
      </w:r>
      <w:r w:rsidRPr="00150697">
        <w:rPr>
          <w:rFonts w:ascii="Verdana" w:hAnsi="Verdana" w:cs="Univers"/>
          <w:sz w:val="18"/>
          <w:szCs w:val="18"/>
        </w:rPr>
        <w:t xml:space="preserve"> Vanwege de</w:t>
      </w:r>
      <w:r>
        <w:rPr>
          <w:rFonts w:ascii="Verdana" w:hAnsi="Verdana" w:cs="Univers"/>
          <w:sz w:val="18"/>
          <w:szCs w:val="18"/>
        </w:rPr>
        <w:t>ze</w:t>
      </w:r>
      <w:r w:rsidRPr="00150697">
        <w:rPr>
          <w:rFonts w:ascii="Verdana" w:hAnsi="Verdana" w:cs="Univers"/>
          <w:sz w:val="18"/>
          <w:szCs w:val="18"/>
        </w:rPr>
        <w:t xml:space="preserve"> </w:t>
      </w:r>
      <w:r>
        <w:rPr>
          <w:rFonts w:ascii="Verdana" w:hAnsi="Verdana" w:cs="Univers"/>
          <w:sz w:val="18"/>
          <w:szCs w:val="18"/>
        </w:rPr>
        <w:t xml:space="preserve">functies en </w:t>
      </w:r>
      <w:r w:rsidRPr="00150697">
        <w:rPr>
          <w:rFonts w:ascii="Verdana" w:hAnsi="Verdana" w:cs="Univers"/>
          <w:sz w:val="18"/>
          <w:szCs w:val="18"/>
        </w:rPr>
        <w:t xml:space="preserve">belangen kent het Nederlandse stelsel van de rechtspraak </w:t>
      </w:r>
      <w:r>
        <w:rPr>
          <w:rFonts w:ascii="Verdana" w:hAnsi="Verdana" w:cs="Univers"/>
          <w:sz w:val="18"/>
          <w:szCs w:val="18"/>
        </w:rPr>
        <w:t xml:space="preserve">in hoofdlijn </w:t>
      </w:r>
      <w:r w:rsidRPr="00150697">
        <w:rPr>
          <w:rFonts w:ascii="Verdana" w:hAnsi="Verdana" w:cs="Univers"/>
          <w:sz w:val="18"/>
          <w:szCs w:val="18"/>
        </w:rPr>
        <w:t>de mogel</w:t>
      </w:r>
      <w:r>
        <w:rPr>
          <w:rFonts w:ascii="Verdana" w:hAnsi="Verdana" w:cs="Univers"/>
          <w:sz w:val="18"/>
          <w:szCs w:val="18"/>
        </w:rPr>
        <w:t xml:space="preserve">ijkheid </w:t>
      </w:r>
      <w:r w:rsidRPr="00150697">
        <w:rPr>
          <w:rFonts w:ascii="Verdana" w:hAnsi="Verdana" w:cs="Univers"/>
          <w:sz w:val="18"/>
          <w:szCs w:val="18"/>
        </w:rPr>
        <w:t>tot bere</w:t>
      </w:r>
      <w:r>
        <w:rPr>
          <w:rFonts w:ascii="Verdana" w:hAnsi="Verdana" w:cs="Univers"/>
          <w:sz w:val="18"/>
          <w:szCs w:val="18"/>
        </w:rPr>
        <w:t>c</w:t>
      </w:r>
      <w:r w:rsidRPr="00150697">
        <w:rPr>
          <w:rFonts w:ascii="Verdana" w:hAnsi="Verdana" w:cs="Univers"/>
          <w:sz w:val="18"/>
          <w:szCs w:val="18"/>
        </w:rPr>
        <w:t>hting in</w:t>
      </w:r>
      <w:r>
        <w:rPr>
          <w:rFonts w:ascii="Verdana" w:hAnsi="Verdana" w:cs="Univers"/>
          <w:sz w:val="18"/>
          <w:szCs w:val="18"/>
        </w:rPr>
        <w:t xml:space="preserve"> </w:t>
      </w:r>
      <w:r w:rsidRPr="00150697">
        <w:rPr>
          <w:rFonts w:ascii="Verdana" w:hAnsi="Verdana" w:cs="Univers"/>
          <w:sz w:val="18"/>
          <w:szCs w:val="18"/>
        </w:rPr>
        <w:t>meer</w:t>
      </w:r>
      <w:r>
        <w:rPr>
          <w:rFonts w:ascii="Verdana" w:hAnsi="Verdana" w:cs="Univers"/>
          <w:sz w:val="18"/>
          <w:szCs w:val="18"/>
        </w:rPr>
        <w:t>dere</w:t>
      </w:r>
      <w:r w:rsidRPr="00150697">
        <w:rPr>
          <w:rFonts w:ascii="Verdana" w:hAnsi="Verdana" w:cs="Univers"/>
          <w:sz w:val="18"/>
          <w:szCs w:val="18"/>
        </w:rPr>
        <w:t xml:space="preserve"> in</w:t>
      </w:r>
      <w:r>
        <w:rPr>
          <w:rFonts w:ascii="Verdana" w:hAnsi="Verdana" w:cs="Univers"/>
          <w:sz w:val="18"/>
          <w:szCs w:val="18"/>
        </w:rPr>
        <w:t>s</w:t>
      </w:r>
      <w:r w:rsidRPr="00150697">
        <w:rPr>
          <w:rFonts w:ascii="Verdana" w:hAnsi="Verdana" w:cs="Univers"/>
          <w:sz w:val="18"/>
          <w:szCs w:val="18"/>
        </w:rPr>
        <w:t>t</w:t>
      </w:r>
      <w:r>
        <w:rPr>
          <w:rFonts w:ascii="Verdana" w:hAnsi="Verdana" w:cs="Univers"/>
          <w:sz w:val="18"/>
          <w:szCs w:val="18"/>
        </w:rPr>
        <w:t>anties</w:t>
      </w:r>
      <w:r w:rsidRPr="00150697">
        <w:rPr>
          <w:rFonts w:ascii="Verdana" w:hAnsi="Verdana" w:cs="Univers"/>
          <w:sz w:val="18"/>
          <w:szCs w:val="18"/>
        </w:rPr>
        <w:t>.</w:t>
      </w:r>
      <w:r>
        <w:rPr>
          <w:rFonts w:ascii="Verdana" w:hAnsi="Verdana" w:cs="Univers"/>
          <w:sz w:val="18"/>
          <w:szCs w:val="18"/>
        </w:rPr>
        <w:t xml:space="preserve"> </w:t>
      </w:r>
    </w:p>
    <w:p w:rsidR="00D816DD" w:rsidRDefault="00D816DD" w:rsidP="003202AB">
      <w:pPr>
        <w:autoSpaceDE w:val="0"/>
        <w:autoSpaceDN w:val="0"/>
        <w:adjustRightInd w:val="0"/>
        <w:spacing w:after="0" w:line="280" w:lineRule="atLeast"/>
        <w:rPr>
          <w:rFonts w:ascii="Verdana" w:hAnsi="Verdana" w:cs="Univers"/>
          <w:sz w:val="18"/>
          <w:szCs w:val="18"/>
        </w:rPr>
      </w:pPr>
    </w:p>
    <w:p w:rsidR="00D816DD" w:rsidRDefault="009F2353" w:rsidP="003202AB">
      <w:pPr>
        <w:autoSpaceDE w:val="0"/>
        <w:autoSpaceDN w:val="0"/>
        <w:adjustRightInd w:val="0"/>
        <w:spacing w:after="0" w:line="280" w:lineRule="atLeast"/>
        <w:rPr>
          <w:rFonts w:ascii="Verdana" w:hAnsi="Verdana" w:cs="Univers"/>
          <w:sz w:val="18"/>
          <w:szCs w:val="18"/>
        </w:rPr>
      </w:pPr>
      <w:r>
        <w:rPr>
          <w:rFonts w:ascii="Verdana" w:hAnsi="Verdana" w:cs="Univers"/>
          <w:sz w:val="18"/>
          <w:szCs w:val="18"/>
        </w:rPr>
        <w:t xml:space="preserve">Verankering van een </w:t>
      </w:r>
      <w:r w:rsidR="00D816DD">
        <w:rPr>
          <w:rFonts w:ascii="Verdana" w:hAnsi="Verdana" w:cs="Univers"/>
          <w:sz w:val="18"/>
          <w:szCs w:val="18"/>
        </w:rPr>
        <w:t xml:space="preserve">recht </w:t>
      </w:r>
      <w:r>
        <w:rPr>
          <w:rFonts w:ascii="Verdana" w:hAnsi="Verdana" w:cs="Univers"/>
          <w:sz w:val="18"/>
          <w:szCs w:val="18"/>
        </w:rPr>
        <w:t xml:space="preserve">op hoger beroep </w:t>
      </w:r>
      <w:r w:rsidR="00743FC2">
        <w:rPr>
          <w:rFonts w:ascii="Verdana" w:hAnsi="Verdana" w:cs="Univers"/>
          <w:sz w:val="18"/>
          <w:szCs w:val="18"/>
        </w:rPr>
        <w:t>in de Grondwet acht het kabinet</w:t>
      </w:r>
      <w:r w:rsidR="00BA5426">
        <w:rPr>
          <w:rFonts w:ascii="Verdana" w:hAnsi="Verdana" w:cs="Univers"/>
          <w:sz w:val="18"/>
          <w:szCs w:val="18"/>
        </w:rPr>
        <w:t xml:space="preserve"> </w:t>
      </w:r>
      <w:r w:rsidR="00D816DD">
        <w:rPr>
          <w:rFonts w:ascii="Verdana" w:hAnsi="Verdana" w:cs="Univers"/>
          <w:sz w:val="18"/>
          <w:szCs w:val="18"/>
        </w:rPr>
        <w:t>niet noodzakelijk</w:t>
      </w:r>
      <w:r w:rsidR="00D90664">
        <w:rPr>
          <w:rFonts w:ascii="Verdana" w:hAnsi="Verdana" w:cs="Univers"/>
          <w:sz w:val="18"/>
          <w:szCs w:val="18"/>
        </w:rPr>
        <w:t>. Dit is</w:t>
      </w:r>
      <w:r w:rsidR="00A226A8">
        <w:rPr>
          <w:rFonts w:ascii="Verdana" w:hAnsi="Verdana" w:cs="Univers"/>
          <w:sz w:val="18"/>
          <w:szCs w:val="18"/>
        </w:rPr>
        <w:t xml:space="preserve"> ook niet door de staatscommissie voorgesteld</w:t>
      </w:r>
      <w:r w:rsidR="00D816DD">
        <w:rPr>
          <w:rFonts w:ascii="Verdana" w:hAnsi="Verdana" w:cs="Univers"/>
          <w:sz w:val="18"/>
          <w:szCs w:val="18"/>
        </w:rPr>
        <w:t>. H</w:t>
      </w:r>
      <w:r w:rsidR="00E43B99">
        <w:rPr>
          <w:rFonts w:ascii="Verdana" w:hAnsi="Verdana" w:cs="Univers"/>
          <w:sz w:val="18"/>
          <w:szCs w:val="18"/>
        </w:rPr>
        <w:t>oger beroep</w:t>
      </w:r>
      <w:r w:rsidR="00D816DD">
        <w:rPr>
          <w:rFonts w:ascii="Verdana" w:hAnsi="Verdana" w:cs="Univers"/>
          <w:sz w:val="18"/>
          <w:szCs w:val="18"/>
        </w:rPr>
        <w:t xml:space="preserve"> is weliswaar van groot belang</w:t>
      </w:r>
      <w:r w:rsidR="00E43B99">
        <w:rPr>
          <w:rFonts w:ascii="Verdana" w:hAnsi="Verdana" w:cs="Univers"/>
          <w:sz w:val="18"/>
          <w:szCs w:val="18"/>
        </w:rPr>
        <w:t xml:space="preserve"> in de rechtspleging</w:t>
      </w:r>
      <w:r w:rsidR="00D816DD">
        <w:rPr>
          <w:rFonts w:ascii="Verdana" w:hAnsi="Verdana" w:cs="Univers"/>
          <w:sz w:val="18"/>
          <w:szCs w:val="18"/>
        </w:rPr>
        <w:t>, maar wordt in zijn algemeenheid niet gerekend tot de algemene of fundamentele rechtsbeginselen. Een belangrijke red</w:t>
      </w:r>
      <w:r w:rsidR="003202AB">
        <w:rPr>
          <w:rFonts w:ascii="Verdana" w:hAnsi="Verdana" w:cs="Univers"/>
          <w:sz w:val="18"/>
          <w:szCs w:val="18"/>
        </w:rPr>
        <w:t xml:space="preserve">en is </w:t>
      </w:r>
      <w:r w:rsidR="00D816DD">
        <w:rPr>
          <w:rFonts w:ascii="Verdana" w:hAnsi="Verdana" w:cs="Univers"/>
          <w:sz w:val="18"/>
          <w:szCs w:val="18"/>
        </w:rPr>
        <w:t xml:space="preserve">voorts gelegen in het sobere karakter van de Grondwet in relatie tot het navolgende. Het recht </w:t>
      </w:r>
      <w:r w:rsidR="0076226B">
        <w:rPr>
          <w:rFonts w:ascii="Verdana" w:hAnsi="Verdana" w:cs="Univers"/>
          <w:sz w:val="18"/>
          <w:szCs w:val="18"/>
        </w:rPr>
        <w:t xml:space="preserve">op hoger beroep </w:t>
      </w:r>
      <w:r w:rsidR="00D816DD">
        <w:rPr>
          <w:rFonts w:ascii="Verdana" w:hAnsi="Verdana" w:cs="Univers"/>
          <w:sz w:val="18"/>
          <w:szCs w:val="18"/>
        </w:rPr>
        <w:t xml:space="preserve">kent diverse uitzonderingen en nuanceringen, </w:t>
      </w:r>
      <w:r w:rsidR="00064C71">
        <w:rPr>
          <w:rFonts w:ascii="Verdana" w:hAnsi="Verdana" w:cs="Univers"/>
          <w:sz w:val="18"/>
          <w:szCs w:val="18"/>
        </w:rPr>
        <w:t xml:space="preserve">die in overeenstemming zijn met </w:t>
      </w:r>
      <w:r w:rsidR="00064C71" w:rsidRPr="00064C71">
        <w:rPr>
          <w:rFonts w:ascii="Verdana" w:hAnsi="Verdana" w:cs="Univers"/>
          <w:sz w:val="18"/>
          <w:szCs w:val="18"/>
        </w:rPr>
        <w:t>de</w:t>
      </w:r>
      <w:r w:rsidR="00D816DD" w:rsidRPr="00064C71">
        <w:rPr>
          <w:rFonts w:ascii="Verdana" w:hAnsi="Verdana" w:cs="Univers"/>
          <w:sz w:val="18"/>
          <w:szCs w:val="18"/>
        </w:rPr>
        <w:t xml:space="preserve"> internationale rechtsbronnen waarin het recht </w:t>
      </w:r>
      <w:r w:rsidR="00CC405E">
        <w:rPr>
          <w:rFonts w:ascii="Verdana" w:hAnsi="Verdana" w:cs="Univers"/>
          <w:sz w:val="18"/>
          <w:szCs w:val="18"/>
        </w:rPr>
        <w:t xml:space="preserve">ten dele </w:t>
      </w:r>
      <w:r w:rsidR="00D816DD" w:rsidRPr="00064C71">
        <w:rPr>
          <w:rFonts w:ascii="Verdana" w:hAnsi="Verdana" w:cs="Univers"/>
          <w:sz w:val="18"/>
          <w:szCs w:val="18"/>
        </w:rPr>
        <w:t>is verankerd.</w:t>
      </w:r>
      <w:r w:rsidR="00D816DD">
        <w:rPr>
          <w:rFonts w:ascii="Verdana" w:hAnsi="Verdana" w:cs="Univers"/>
          <w:sz w:val="18"/>
          <w:szCs w:val="18"/>
        </w:rPr>
        <w:t xml:space="preserve"> </w:t>
      </w:r>
    </w:p>
    <w:p w:rsidR="00655831" w:rsidRDefault="00655831" w:rsidP="00B524B7">
      <w:pPr>
        <w:pStyle w:val="Geenafstand"/>
        <w:spacing w:line="280" w:lineRule="atLeast"/>
        <w:rPr>
          <w:rFonts w:ascii="Verdana" w:hAnsi="Verdana"/>
          <w:sz w:val="18"/>
          <w:szCs w:val="18"/>
        </w:rPr>
      </w:pPr>
    </w:p>
    <w:p w:rsidR="009F2353" w:rsidRPr="0076226B" w:rsidRDefault="00D816DD" w:rsidP="00B524B7">
      <w:pPr>
        <w:pStyle w:val="Geenafstand"/>
        <w:spacing w:line="280" w:lineRule="atLeast"/>
        <w:rPr>
          <w:rFonts w:ascii="Verdana" w:hAnsi="Verdana"/>
          <w:sz w:val="18"/>
          <w:szCs w:val="18"/>
        </w:rPr>
      </w:pPr>
      <w:r w:rsidRPr="00913BCB">
        <w:rPr>
          <w:rFonts w:ascii="Verdana" w:hAnsi="Verdana"/>
          <w:sz w:val="18"/>
          <w:szCs w:val="18"/>
        </w:rPr>
        <w:t>Het recht op de berechting in meerdere instanties</w:t>
      </w:r>
      <w:r>
        <w:rPr>
          <w:rFonts w:ascii="Verdana" w:hAnsi="Verdana"/>
          <w:sz w:val="18"/>
          <w:szCs w:val="18"/>
        </w:rPr>
        <w:t xml:space="preserve"> </w:t>
      </w:r>
      <w:r w:rsidR="00064C71">
        <w:rPr>
          <w:rFonts w:ascii="Verdana" w:hAnsi="Verdana"/>
          <w:sz w:val="18"/>
          <w:szCs w:val="18"/>
        </w:rPr>
        <w:t>is internationaal verankerd in</w:t>
      </w:r>
      <w:r w:rsidR="00885F3A">
        <w:rPr>
          <w:rFonts w:ascii="Verdana" w:hAnsi="Verdana"/>
          <w:sz w:val="18"/>
          <w:szCs w:val="18"/>
        </w:rPr>
        <w:t xml:space="preserve"> </w:t>
      </w:r>
      <w:r w:rsidR="00064C71">
        <w:rPr>
          <w:rFonts w:ascii="Verdana" w:hAnsi="Verdana"/>
          <w:sz w:val="18"/>
          <w:szCs w:val="18"/>
        </w:rPr>
        <w:t>a</w:t>
      </w:r>
      <w:r w:rsidR="006323F2" w:rsidRPr="00504264">
        <w:rPr>
          <w:rFonts w:ascii="Verdana" w:hAnsi="Verdana"/>
          <w:sz w:val="18"/>
          <w:szCs w:val="18"/>
        </w:rPr>
        <w:t>rtikel 14, vijfde lid, IVBPR en artikel 2</w:t>
      </w:r>
      <w:r w:rsidR="00D07F98" w:rsidRPr="00504264">
        <w:rPr>
          <w:rFonts w:ascii="Verdana" w:hAnsi="Verdana"/>
          <w:sz w:val="18"/>
          <w:szCs w:val="18"/>
        </w:rPr>
        <w:t xml:space="preserve"> van het </w:t>
      </w:r>
      <w:r w:rsidR="006473D3">
        <w:rPr>
          <w:rFonts w:ascii="Verdana" w:hAnsi="Verdana"/>
          <w:sz w:val="18"/>
          <w:szCs w:val="18"/>
        </w:rPr>
        <w:t>Z</w:t>
      </w:r>
      <w:r w:rsidR="006323F2" w:rsidRPr="00504264">
        <w:rPr>
          <w:rFonts w:ascii="Verdana" w:hAnsi="Verdana"/>
          <w:sz w:val="18"/>
          <w:szCs w:val="18"/>
        </w:rPr>
        <w:t>evende</w:t>
      </w:r>
      <w:r w:rsidR="00D07F98" w:rsidRPr="00504264">
        <w:rPr>
          <w:rFonts w:ascii="Verdana" w:hAnsi="Verdana"/>
          <w:sz w:val="18"/>
          <w:szCs w:val="18"/>
        </w:rPr>
        <w:t xml:space="preserve"> </w:t>
      </w:r>
      <w:r w:rsidR="006473D3">
        <w:rPr>
          <w:rFonts w:ascii="Verdana" w:hAnsi="Verdana"/>
          <w:sz w:val="18"/>
          <w:szCs w:val="18"/>
        </w:rPr>
        <w:t>P</w:t>
      </w:r>
      <w:r w:rsidR="00D07F98" w:rsidRPr="00504264">
        <w:rPr>
          <w:rFonts w:ascii="Verdana" w:hAnsi="Verdana"/>
          <w:sz w:val="18"/>
          <w:szCs w:val="18"/>
        </w:rPr>
        <w:t>rotocol bij het EVRM</w:t>
      </w:r>
      <w:r w:rsidR="00064C71">
        <w:rPr>
          <w:rFonts w:ascii="Verdana" w:hAnsi="Verdana"/>
          <w:sz w:val="18"/>
          <w:szCs w:val="18"/>
        </w:rPr>
        <w:t>, welke bepalingen</w:t>
      </w:r>
      <w:r w:rsidR="00D07F98" w:rsidRPr="00504264">
        <w:rPr>
          <w:rFonts w:ascii="Verdana" w:hAnsi="Verdana"/>
          <w:sz w:val="18"/>
          <w:szCs w:val="18"/>
        </w:rPr>
        <w:t xml:space="preserve"> een recht op hoger beroep in strafzaken</w:t>
      </w:r>
      <w:r w:rsidR="00064C71">
        <w:rPr>
          <w:rFonts w:ascii="Verdana" w:hAnsi="Verdana"/>
          <w:sz w:val="18"/>
          <w:szCs w:val="18"/>
        </w:rPr>
        <w:t xml:space="preserve"> vestigen</w:t>
      </w:r>
      <w:r w:rsidR="00D07F98" w:rsidRPr="00504264">
        <w:rPr>
          <w:rFonts w:ascii="Verdana" w:hAnsi="Verdana"/>
          <w:sz w:val="18"/>
          <w:szCs w:val="18"/>
        </w:rPr>
        <w:t xml:space="preserve">. Nederland heeft een voorbehoud gemaakt bij de eerstgenoemde bepaling en het </w:t>
      </w:r>
      <w:r w:rsidR="006473D3">
        <w:rPr>
          <w:rFonts w:ascii="Verdana" w:hAnsi="Verdana"/>
          <w:sz w:val="18"/>
          <w:szCs w:val="18"/>
        </w:rPr>
        <w:t>Z</w:t>
      </w:r>
      <w:r w:rsidR="00B524B7">
        <w:rPr>
          <w:rFonts w:ascii="Verdana" w:hAnsi="Verdana"/>
          <w:sz w:val="18"/>
          <w:szCs w:val="18"/>
        </w:rPr>
        <w:t>evende</w:t>
      </w:r>
      <w:r w:rsidR="00D07F98" w:rsidRPr="00504264">
        <w:rPr>
          <w:rFonts w:ascii="Verdana" w:hAnsi="Verdana"/>
          <w:sz w:val="18"/>
          <w:szCs w:val="18"/>
        </w:rPr>
        <w:t xml:space="preserve"> </w:t>
      </w:r>
      <w:r w:rsidR="006473D3">
        <w:rPr>
          <w:rFonts w:ascii="Verdana" w:hAnsi="Verdana"/>
          <w:sz w:val="18"/>
          <w:szCs w:val="18"/>
        </w:rPr>
        <w:t>P</w:t>
      </w:r>
      <w:r w:rsidR="00D07F98" w:rsidRPr="00504264">
        <w:rPr>
          <w:rFonts w:ascii="Verdana" w:hAnsi="Verdana"/>
          <w:sz w:val="18"/>
          <w:szCs w:val="18"/>
        </w:rPr>
        <w:t>rotoc</w:t>
      </w:r>
      <w:r w:rsidR="006323F2" w:rsidRPr="00504264">
        <w:rPr>
          <w:rFonts w:ascii="Verdana" w:hAnsi="Verdana"/>
          <w:sz w:val="18"/>
          <w:szCs w:val="18"/>
        </w:rPr>
        <w:t xml:space="preserve">ol bij het EVRM </w:t>
      </w:r>
      <w:r w:rsidR="00A4000B">
        <w:rPr>
          <w:rFonts w:ascii="Verdana" w:hAnsi="Verdana"/>
          <w:sz w:val="18"/>
          <w:szCs w:val="18"/>
        </w:rPr>
        <w:t xml:space="preserve">(nog) </w:t>
      </w:r>
      <w:r w:rsidR="006323F2" w:rsidRPr="00504264">
        <w:rPr>
          <w:rFonts w:ascii="Verdana" w:hAnsi="Verdana"/>
          <w:sz w:val="18"/>
          <w:szCs w:val="18"/>
        </w:rPr>
        <w:t>niet geratificeerd</w:t>
      </w:r>
      <w:r w:rsidR="00D07F98" w:rsidRPr="00504264">
        <w:rPr>
          <w:rFonts w:ascii="Verdana" w:hAnsi="Verdana"/>
          <w:sz w:val="18"/>
          <w:szCs w:val="18"/>
        </w:rPr>
        <w:t xml:space="preserve">. </w:t>
      </w:r>
      <w:r w:rsidR="00B524B7">
        <w:rPr>
          <w:rFonts w:ascii="Verdana" w:hAnsi="Verdana"/>
          <w:sz w:val="18"/>
          <w:szCs w:val="18"/>
        </w:rPr>
        <w:t>Het Nederlandse voorbehoud bij artikel 14, vijfde lid, IVBPR geldt voor de berechting van leden van de Staten-Generaal, de ministers en staatssecretarissen wegens ambtsmisdrijven in die betrekkingen gepleegd door de Hoge Raad op grond van artikel 119 Grondwet</w:t>
      </w:r>
      <w:r w:rsidR="00B524B7" w:rsidRPr="009F2353">
        <w:rPr>
          <w:rFonts w:ascii="Verdana" w:hAnsi="Verdana"/>
          <w:sz w:val="18"/>
          <w:szCs w:val="18"/>
        </w:rPr>
        <w:t xml:space="preserve">. </w:t>
      </w:r>
      <w:r w:rsidR="00DF1B12">
        <w:rPr>
          <w:rFonts w:ascii="Verdana" w:hAnsi="Verdana"/>
          <w:sz w:val="18"/>
          <w:szCs w:val="18"/>
        </w:rPr>
        <w:t xml:space="preserve">De Hoge Raad treedt dan op als rechter in enige aanleg. </w:t>
      </w:r>
      <w:r w:rsidR="009F2353" w:rsidRPr="009F2353">
        <w:rPr>
          <w:rFonts w:ascii="Verdana" w:hAnsi="Verdana"/>
          <w:sz w:val="18"/>
          <w:szCs w:val="18"/>
        </w:rPr>
        <w:t>Het recht op hoger beroep in strafzaken in artikel 14, vijfde lid, IVBPR kent anders dan in het zevende protocol bij het EVRM geen uitzonderingen.</w:t>
      </w:r>
    </w:p>
    <w:p w:rsidR="00655831" w:rsidRDefault="00655831" w:rsidP="00B524B7">
      <w:pPr>
        <w:pStyle w:val="Geenafstand"/>
        <w:spacing w:line="280" w:lineRule="atLeast"/>
        <w:rPr>
          <w:rFonts w:ascii="Verdana" w:hAnsi="Verdana"/>
          <w:sz w:val="18"/>
          <w:szCs w:val="18"/>
        </w:rPr>
      </w:pPr>
    </w:p>
    <w:p w:rsidR="00B524B7" w:rsidRDefault="00B524B7" w:rsidP="00B524B7">
      <w:pPr>
        <w:pStyle w:val="Geenafstand"/>
        <w:spacing w:line="280" w:lineRule="atLeast"/>
        <w:rPr>
          <w:rFonts w:ascii="Verdana" w:hAnsi="Verdana"/>
          <w:sz w:val="18"/>
          <w:szCs w:val="18"/>
        </w:rPr>
      </w:pPr>
      <w:r>
        <w:rPr>
          <w:rFonts w:ascii="Verdana" w:hAnsi="Verdana"/>
          <w:sz w:val="18"/>
          <w:szCs w:val="18"/>
        </w:rPr>
        <w:t xml:space="preserve">Het niet ratificeren van het </w:t>
      </w:r>
      <w:r w:rsidR="006473D3">
        <w:rPr>
          <w:rFonts w:ascii="Verdana" w:hAnsi="Verdana"/>
          <w:sz w:val="18"/>
          <w:szCs w:val="18"/>
        </w:rPr>
        <w:t>Z</w:t>
      </w:r>
      <w:r>
        <w:rPr>
          <w:rFonts w:ascii="Verdana" w:hAnsi="Verdana"/>
          <w:sz w:val="18"/>
          <w:szCs w:val="18"/>
        </w:rPr>
        <w:t xml:space="preserve">evende </w:t>
      </w:r>
      <w:r w:rsidR="006473D3">
        <w:rPr>
          <w:rFonts w:ascii="Verdana" w:hAnsi="Verdana"/>
          <w:sz w:val="18"/>
          <w:szCs w:val="18"/>
        </w:rPr>
        <w:t>P</w:t>
      </w:r>
      <w:r>
        <w:rPr>
          <w:rFonts w:ascii="Verdana" w:hAnsi="Verdana"/>
          <w:sz w:val="18"/>
          <w:szCs w:val="18"/>
        </w:rPr>
        <w:t xml:space="preserve">rotocol </w:t>
      </w:r>
      <w:r w:rsidR="00D07F98" w:rsidRPr="00504264">
        <w:rPr>
          <w:rFonts w:ascii="Verdana" w:hAnsi="Verdana"/>
          <w:sz w:val="18"/>
          <w:szCs w:val="18"/>
        </w:rPr>
        <w:t>houdt verband met</w:t>
      </w:r>
      <w:r w:rsidR="00C82101" w:rsidRPr="00504264">
        <w:rPr>
          <w:rFonts w:ascii="Verdana" w:hAnsi="Verdana"/>
          <w:sz w:val="18"/>
          <w:szCs w:val="18"/>
        </w:rPr>
        <w:t xml:space="preserve"> </w:t>
      </w:r>
      <w:r w:rsidR="00504264" w:rsidRPr="00504264">
        <w:rPr>
          <w:rFonts w:ascii="Verdana" w:hAnsi="Verdana"/>
          <w:sz w:val="18"/>
          <w:szCs w:val="18"/>
        </w:rPr>
        <w:t>het gegeven dat oorspronkelijk niet werd ui</w:t>
      </w:r>
      <w:r>
        <w:rPr>
          <w:rFonts w:ascii="Verdana" w:hAnsi="Verdana"/>
          <w:sz w:val="18"/>
          <w:szCs w:val="18"/>
        </w:rPr>
        <w:t>tgesloten dat artikel 2 van dit p</w:t>
      </w:r>
      <w:r w:rsidR="00504264" w:rsidRPr="00504264">
        <w:rPr>
          <w:rFonts w:ascii="Verdana" w:hAnsi="Verdana"/>
          <w:sz w:val="18"/>
          <w:szCs w:val="18"/>
        </w:rPr>
        <w:t>rotocol in voorkomende gevallen ook hoger beroep in vreemdelingenzak</w:t>
      </w:r>
      <w:r>
        <w:rPr>
          <w:rFonts w:ascii="Verdana" w:hAnsi="Verdana"/>
          <w:sz w:val="18"/>
          <w:szCs w:val="18"/>
        </w:rPr>
        <w:t xml:space="preserve">en mogelijk zou maken, terwijl dit destijds </w:t>
      </w:r>
      <w:r w:rsidR="00504264" w:rsidRPr="00504264">
        <w:rPr>
          <w:rFonts w:ascii="Verdana" w:hAnsi="Verdana"/>
          <w:sz w:val="18"/>
          <w:szCs w:val="18"/>
        </w:rPr>
        <w:t xml:space="preserve">niet in nationale wetgeving was geregeld. </w:t>
      </w:r>
      <w:r w:rsidR="00504264" w:rsidRPr="00504264" w:rsidDel="00AA402E">
        <w:rPr>
          <w:rFonts w:ascii="Verdana" w:hAnsi="Verdana"/>
          <w:sz w:val="18"/>
          <w:szCs w:val="18"/>
        </w:rPr>
        <w:t xml:space="preserve">Thans is het </w:t>
      </w:r>
      <w:r w:rsidR="00451AE9">
        <w:rPr>
          <w:rFonts w:ascii="Verdana" w:hAnsi="Verdana"/>
          <w:sz w:val="18"/>
          <w:szCs w:val="18"/>
        </w:rPr>
        <w:t xml:space="preserve">echter </w:t>
      </w:r>
      <w:r w:rsidR="00504264" w:rsidRPr="00504264" w:rsidDel="00AA402E">
        <w:rPr>
          <w:rFonts w:ascii="Verdana" w:hAnsi="Verdana"/>
          <w:sz w:val="18"/>
          <w:szCs w:val="18"/>
        </w:rPr>
        <w:t xml:space="preserve">mogelijk om hoger beroep in vreemdelingenzaken in te stellen bij de Afdeling bestuursrechtspraak van de Raad van State. </w:t>
      </w:r>
      <w:r w:rsidR="00451AE9">
        <w:rPr>
          <w:rFonts w:ascii="Verdana" w:hAnsi="Verdana"/>
          <w:sz w:val="18"/>
          <w:szCs w:val="18"/>
        </w:rPr>
        <w:t>Om deze reden is het kabinet in beginsel bereid het Protoc</w:t>
      </w:r>
      <w:r w:rsidR="00321C2D">
        <w:rPr>
          <w:rFonts w:ascii="Verdana" w:hAnsi="Verdana"/>
          <w:sz w:val="18"/>
          <w:szCs w:val="18"/>
        </w:rPr>
        <w:t>ol alsnog te ratificeren</w:t>
      </w:r>
      <w:r w:rsidR="00451AE9">
        <w:rPr>
          <w:rFonts w:ascii="Verdana" w:hAnsi="Verdana"/>
          <w:sz w:val="18"/>
          <w:szCs w:val="18"/>
        </w:rPr>
        <w:t>.</w:t>
      </w:r>
      <w:r w:rsidR="003202AB">
        <w:rPr>
          <w:rStyle w:val="Voetnootmarkering"/>
          <w:rFonts w:ascii="Verdana" w:hAnsi="Verdana"/>
          <w:sz w:val="18"/>
          <w:szCs w:val="18"/>
        </w:rPr>
        <w:footnoteReference w:id="96"/>
      </w:r>
      <w:r w:rsidR="00451AE9">
        <w:rPr>
          <w:rFonts w:ascii="Verdana" w:hAnsi="Verdana"/>
          <w:sz w:val="18"/>
          <w:szCs w:val="18"/>
        </w:rPr>
        <w:t xml:space="preserve"> </w:t>
      </w:r>
      <w:r w:rsidR="003C45E9">
        <w:rPr>
          <w:rFonts w:ascii="Verdana" w:hAnsi="Verdana"/>
          <w:sz w:val="18"/>
          <w:szCs w:val="18"/>
        </w:rPr>
        <w:t>Dat neemt niet weg dat het</w:t>
      </w:r>
      <w:r w:rsidR="00504264" w:rsidRPr="00504264">
        <w:rPr>
          <w:rFonts w:ascii="Verdana" w:hAnsi="Verdana"/>
          <w:sz w:val="18"/>
          <w:szCs w:val="18"/>
        </w:rPr>
        <w:t xml:space="preserve"> kabinet </w:t>
      </w:r>
      <w:r w:rsidR="003C45E9">
        <w:rPr>
          <w:rFonts w:ascii="Verdana" w:hAnsi="Verdana"/>
          <w:sz w:val="18"/>
          <w:szCs w:val="18"/>
        </w:rPr>
        <w:t>van</w:t>
      </w:r>
      <w:r w:rsidR="00321C2D">
        <w:rPr>
          <w:rFonts w:ascii="Verdana" w:hAnsi="Verdana"/>
          <w:sz w:val="18"/>
          <w:szCs w:val="18"/>
        </w:rPr>
        <w:t xml:space="preserve"> </w:t>
      </w:r>
      <w:r w:rsidR="00504264" w:rsidRPr="00504264">
        <w:rPr>
          <w:rFonts w:ascii="Verdana" w:hAnsi="Verdana"/>
          <w:sz w:val="18"/>
          <w:szCs w:val="18"/>
        </w:rPr>
        <w:t xml:space="preserve">oordeel </w:t>
      </w:r>
      <w:r w:rsidR="003C45E9">
        <w:rPr>
          <w:rFonts w:ascii="Verdana" w:hAnsi="Verdana"/>
          <w:sz w:val="18"/>
          <w:szCs w:val="18"/>
        </w:rPr>
        <w:t xml:space="preserve">is </w:t>
      </w:r>
      <w:r w:rsidR="00504264" w:rsidRPr="00504264">
        <w:rPr>
          <w:rFonts w:ascii="Verdana" w:hAnsi="Verdana"/>
          <w:sz w:val="18"/>
          <w:szCs w:val="18"/>
        </w:rPr>
        <w:t xml:space="preserve">dat niet in alle gevallen hoger beroep in strafrechtelijke </w:t>
      </w:r>
      <w:r w:rsidR="0061575D">
        <w:rPr>
          <w:rFonts w:ascii="Verdana" w:hAnsi="Verdana"/>
          <w:sz w:val="18"/>
          <w:szCs w:val="18"/>
        </w:rPr>
        <w:t xml:space="preserve">of andere </w:t>
      </w:r>
      <w:r w:rsidR="00504264" w:rsidRPr="00504264">
        <w:rPr>
          <w:rFonts w:ascii="Verdana" w:hAnsi="Verdana"/>
          <w:sz w:val="18"/>
          <w:szCs w:val="18"/>
        </w:rPr>
        <w:t>procedures dient open te staan</w:t>
      </w:r>
      <w:r w:rsidR="00451AE9">
        <w:rPr>
          <w:rFonts w:ascii="Verdana" w:hAnsi="Verdana"/>
          <w:sz w:val="18"/>
          <w:szCs w:val="18"/>
        </w:rPr>
        <w:t>;</w:t>
      </w:r>
      <w:r w:rsidR="00504264" w:rsidRPr="00504264">
        <w:rPr>
          <w:rFonts w:ascii="Verdana" w:hAnsi="Verdana"/>
          <w:sz w:val="18"/>
          <w:szCs w:val="18"/>
        </w:rPr>
        <w:t xml:space="preserve"> </w:t>
      </w:r>
      <w:r w:rsidR="00451AE9">
        <w:rPr>
          <w:rFonts w:ascii="Verdana" w:hAnsi="Verdana"/>
          <w:sz w:val="18"/>
          <w:szCs w:val="18"/>
        </w:rPr>
        <w:t>d</w:t>
      </w:r>
      <w:r w:rsidR="00504264" w:rsidRPr="00504264">
        <w:rPr>
          <w:rFonts w:ascii="Verdana" w:hAnsi="Verdana"/>
          <w:sz w:val="18"/>
          <w:szCs w:val="18"/>
        </w:rPr>
        <w:t>e beperking die de wet aanbrengt in de gevallen waarin hoger beroep openstaat acht het kabinet onontbeerlijk met het oog op het streven de rechterlijke macht niet onnodig te belasten.</w:t>
      </w:r>
      <w:r w:rsidR="00504264">
        <w:rPr>
          <w:rStyle w:val="Voetnootmarkering"/>
          <w:rFonts w:ascii="Verdana" w:hAnsi="Verdana"/>
          <w:sz w:val="18"/>
          <w:szCs w:val="18"/>
        </w:rPr>
        <w:footnoteReference w:id="97"/>
      </w:r>
      <w:r w:rsidR="00504264" w:rsidRPr="00504264">
        <w:rPr>
          <w:rFonts w:ascii="Verdana" w:hAnsi="Verdana"/>
          <w:sz w:val="18"/>
          <w:szCs w:val="18"/>
        </w:rPr>
        <w:t xml:space="preserve"> </w:t>
      </w:r>
      <w:r w:rsidR="001821CE">
        <w:rPr>
          <w:rFonts w:ascii="Verdana" w:hAnsi="Verdana"/>
          <w:sz w:val="18"/>
          <w:szCs w:val="18"/>
        </w:rPr>
        <w:t>R</w:t>
      </w:r>
      <w:r w:rsidR="007847CB" w:rsidRPr="007847CB">
        <w:rPr>
          <w:rFonts w:ascii="Verdana" w:hAnsi="Verdana"/>
          <w:sz w:val="18"/>
          <w:szCs w:val="18"/>
        </w:rPr>
        <w:t xml:space="preserve">egulering van de mogelijkheid in hoger beroep te komen </w:t>
      </w:r>
      <w:r w:rsidR="003C45E9">
        <w:rPr>
          <w:rFonts w:ascii="Verdana" w:hAnsi="Verdana"/>
          <w:sz w:val="18"/>
          <w:szCs w:val="18"/>
        </w:rPr>
        <w:t xml:space="preserve">blijft </w:t>
      </w:r>
      <w:r w:rsidR="00321C2D">
        <w:rPr>
          <w:rFonts w:ascii="Verdana" w:hAnsi="Verdana"/>
          <w:sz w:val="18"/>
          <w:szCs w:val="18"/>
        </w:rPr>
        <w:t xml:space="preserve">mogelijk </w:t>
      </w:r>
      <w:r w:rsidR="00451AE9">
        <w:rPr>
          <w:rFonts w:ascii="Verdana" w:hAnsi="Verdana"/>
          <w:sz w:val="18"/>
          <w:szCs w:val="18"/>
        </w:rPr>
        <w:t xml:space="preserve">vanwege </w:t>
      </w:r>
      <w:r w:rsidR="007847CB" w:rsidRPr="007847CB">
        <w:rPr>
          <w:rFonts w:ascii="Verdana" w:hAnsi="Verdana"/>
          <w:sz w:val="18"/>
          <w:szCs w:val="18"/>
        </w:rPr>
        <w:t xml:space="preserve">het tweede lid van artikel 2 van het Zevende Protocol, dat bepaalt dat uitzonderingen op het recht op hoger beroep in strafzaken mogelijk zijn met betrekking tot lichte overtredingen, zoals bepaald in de wet, </w:t>
      </w:r>
      <w:r w:rsidR="007847CB" w:rsidRPr="007847CB">
        <w:rPr>
          <w:rFonts w:ascii="Verdana" w:hAnsi="Verdana"/>
          <w:sz w:val="18"/>
          <w:szCs w:val="18"/>
        </w:rPr>
        <w:lastRenderedPageBreak/>
        <w:t xml:space="preserve">of in gevallen waarin de betrokkene in eerste aanleg werd berecht door het hoogste gerecht of werd veroordeeld na een beroep tegen vrijspraak. </w:t>
      </w:r>
    </w:p>
    <w:p w:rsidR="003202AB" w:rsidRPr="00B524B7" w:rsidRDefault="003202AB" w:rsidP="00B524B7">
      <w:pPr>
        <w:pStyle w:val="Geenafstand"/>
        <w:spacing w:line="280" w:lineRule="atLeast"/>
        <w:rPr>
          <w:rFonts w:ascii="Verdana" w:hAnsi="Verdana"/>
          <w:sz w:val="18"/>
          <w:szCs w:val="18"/>
        </w:rPr>
      </w:pPr>
    </w:p>
    <w:p w:rsidR="005B7032" w:rsidRPr="007847CB" w:rsidRDefault="005B7032" w:rsidP="007847CB">
      <w:pPr>
        <w:autoSpaceDE w:val="0"/>
        <w:autoSpaceDN w:val="0"/>
        <w:adjustRightInd w:val="0"/>
        <w:spacing w:after="0" w:line="240" w:lineRule="auto"/>
        <w:rPr>
          <w:rFonts w:ascii="Futura Std" w:hAnsi="Futura Std" w:cs="Futura Std"/>
          <w:color w:val="000000"/>
          <w:sz w:val="24"/>
          <w:szCs w:val="24"/>
        </w:rPr>
      </w:pPr>
    </w:p>
    <w:p w:rsidR="003560F3" w:rsidRPr="007847CB" w:rsidRDefault="00F47F94" w:rsidP="007847CB">
      <w:pPr>
        <w:pStyle w:val="Geenafstand"/>
        <w:spacing w:line="280" w:lineRule="atLeast"/>
        <w:rPr>
          <w:rFonts w:ascii="Verdana" w:hAnsi="Verdana"/>
          <w:b/>
          <w:sz w:val="18"/>
          <w:szCs w:val="18"/>
        </w:rPr>
      </w:pPr>
      <w:r>
        <w:rPr>
          <w:rFonts w:ascii="Verdana" w:hAnsi="Verdana"/>
          <w:b/>
          <w:sz w:val="18"/>
          <w:szCs w:val="18"/>
        </w:rPr>
        <w:t>8</w:t>
      </w:r>
      <w:r w:rsidR="004C682C" w:rsidRPr="007847CB">
        <w:rPr>
          <w:rFonts w:ascii="Verdana" w:hAnsi="Verdana"/>
          <w:b/>
          <w:sz w:val="18"/>
          <w:szCs w:val="18"/>
        </w:rPr>
        <w:t xml:space="preserve">. </w:t>
      </w:r>
      <w:r w:rsidR="004C682C" w:rsidRPr="007847CB">
        <w:rPr>
          <w:rFonts w:ascii="Verdana" w:hAnsi="Verdana"/>
          <w:b/>
          <w:sz w:val="18"/>
          <w:szCs w:val="18"/>
        </w:rPr>
        <w:tab/>
      </w:r>
      <w:r w:rsidR="003560F3" w:rsidRPr="007847CB">
        <w:rPr>
          <w:rFonts w:ascii="Verdana" w:hAnsi="Verdana"/>
          <w:b/>
          <w:sz w:val="18"/>
          <w:szCs w:val="18"/>
        </w:rPr>
        <w:t>Verhouding tot internationale regelgeving</w:t>
      </w:r>
    </w:p>
    <w:p w:rsidR="007847CB" w:rsidRDefault="007847CB" w:rsidP="007847CB">
      <w:pPr>
        <w:pStyle w:val="Geenafstand"/>
        <w:spacing w:line="280" w:lineRule="atLeast"/>
        <w:rPr>
          <w:rFonts w:ascii="Verdana" w:hAnsi="Verdana"/>
          <w:sz w:val="18"/>
          <w:szCs w:val="18"/>
        </w:rPr>
      </w:pPr>
    </w:p>
    <w:p w:rsidR="000868D5" w:rsidRPr="000868D5" w:rsidRDefault="000B5DC1" w:rsidP="000868D5">
      <w:pPr>
        <w:pStyle w:val="Geenafstand"/>
        <w:spacing w:line="280" w:lineRule="atLeast"/>
        <w:rPr>
          <w:rFonts w:ascii="Verdana" w:hAnsi="Verdana"/>
          <w:sz w:val="18"/>
          <w:szCs w:val="18"/>
        </w:rPr>
      </w:pPr>
      <w:r>
        <w:rPr>
          <w:rFonts w:ascii="Verdana" w:hAnsi="Verdana"/>
          <w:sz w:val="18"/>
          <w:szCs w:val="18"/>
        </w:rPr>
        <w:t>In het voorgaande is stilgestaan bij diverse verdragsbepalingen die het recht op een eerlijk proces garanderen, in het bijzonder</w:t>
      </w:r>
      <w:r w:rsidR="00743FC2">
        <w:rPr>
          <w:rFonts w:ascii="Verdana" w:hAnsi="Verdana"/>
          <w:sz w:val="18"/>
          <w:szCs w:val="18"/>
        </w:rPr>
        <w:t xml:space="preserve"> arti</w:t>
      </w:r>
      <w:r w:rsidR="00D82C6A">
        <w:rPr>
          <w:rFonts w:ascii="Verdana" w:hAnsi="Verdana"/>
          <w:sz w:val="18"/>
          <w:szCs w:val="18"/>
        </w:rPr>
        <w:t>kel 6 EVRM, artikel 47</w:t>
      </w:r>
      <w:r>
        <w:rPr>
          <w:rFonts w:ascii="Verdana" w:hAnsi="Verdana"/>
          <w:sz w:val="18"/>
          <w:szCs w:val="18"/>
        </w:rPr>
        <w:t xml:space="preserve"> EU-Handvest en artikel 14 IVBPR. </w:t>
      </w:r>
      <w:r w:rsidR="006C6FC6">
        <w:rPr>
          <w:rFonts w:ascii="Verdana" w:hAnsi="Verdana"/>
          <w:sz w:val="18"/>
          <w:szCs w:val="18"/>
        </w:rPr>
        <w:t>I</w:t>
      </w:r>
      <w:r w:rsidR="00793C78">
        <w:rPr>
          <w:rFonts w:ascii="Verdana" w:hAnsi="Verdana"/>
          <w:sz w:val="18"/>
          <w:szCs w:val="18"/>
        </w:rPr>
        <w:t>n enkel</w:t>
      </w:r>
      <w:r w:rsidR="006C6FC6">
        <w:rPr>
          <w:rFonts w:ascii="Verdana" w:hAnsi="Verdana"/>
          <w:sz w:val="18"/>
          <w:szCs w:val="18"/>
        </w:rPr>
        <w:t>e adviezen is gevraagd om nader in te gaan op de verhouding van het voorgestelde artikel 17, eerste lid, tot deze verdragsbepalingen</w:t>
      </w:r>
      <w:r w:rsidR="00F7634B">
        <w:rPr>
          <w:rFonts w:ascii="Verdana" w:hAnsi="Verdana"/>
          <w:sz w:val="18"/>
          <w:szCs w:val="18"/>
        </w:rPr>
        <w:t xml:space="preserve"> (OM, </w:t>
      </w:r>
      <w:r w:rsidR="0028560A">
        <w:rPr>
          <w:rFonts w:ascii="Verdana" w:hAnsi="Verdana"/>
          <w:sz w:val="18"/>
          <w:szCs w:val="18"/>
        </w:rPr>
        <w:t>Rvdr</w:t>
      </w:r>
      <w:r w:rsidR="00F7634B">
        <w:rPr>
          <w:rFonts w:ascii="Verdana" w:hAnsi="Verdana"/>
          <w:sz w:val="18"/>
          <w:szCs w:val="18"/>
        </w:rPr>
        <w:t>). De HR merkte op dat de voorgestelde bepaling codificeert wat krachtens verdragsrecht grotendeels al geldend recht is en dat om die reden niet behoeft te worden gevreesd voor problemen van overgangsrecht</w:t>
      </w:r>
      <w:r w:rsidR="006C6FC6">
        <w:rPr>
          <w:rFonts w:ascii="Verdana" w:hAnsi="Verdana"/>
          <w:sz w:val="18"/>
          <w:szCs w:val="18"/>
        </w:rPr>
        <w:t xml:space="preserve">. </w:t>
      </w:r>
      <w:r w:rsidR="00F7634B">
        <w:rPr>
          <w:rFonts w:ascii="Verdana" w:hAnsi="Verdana"/>
          <w:sz w:val="18"/>
          <w:szCs w:val="18"/>
        </w:rPr>
        <w:t>H</w:t>
      </w:r>
      <w:r w:rsidR="006C6FC6">
        <w:rPr>
          <w:rFonts w:ascii="Verdana" w:hAnsi="Verdana"/>
          <w:sz w:val="18"/>
          <w:szCs w:val="18"/>
        </w:rPr>
        <w:t xml:space="preserve">et OM vroeg </w:t>
      </w:r>
      <w:r w:rsidR="00AB3A56">
        <w:rPr>
          <w:rFonts w:ascii="Verdana" w:hAnsi="Verdana"/>
          <w:sz w:val="18"/>
          <w:szCs w:val="18"/>
        </w:rPr>
        <w:t>of het voorgestelde grondrecht op een eerlijk proces volgens het kabinet dezelfde betekenis heeft als het recht op een eerlijk proces in de genoemde verdragsbepalingen, alsmede of het kabinet artikel 6 EVRM in de Grondwet wil incorporeren of een eigenstandig recht op een eerlijk proces wil creëren.</w:t>
      </w:r>
      <w:r w:rsidR="006C6FC6">
        <w:rPr>
          <w:rFonts w:ascii="Verdana" w:hAnsi="Verdana"/>
          <w:sz w:val="18"/>
          <w:szCs w:val="18"/>
        </w:rPr>
        <w:t xml:space="preserve"> </w:t>
      </w:r>
      <w:r w:rsidR="00860C6E">
        <w:rPr>
          <w:rFonts w:ascii="Verdana" w:hAnsi="Verdana"/>
          <w:sz w:val="18"/>
          <w:szCs w:val="18"/>
        </w:rPr>
        <w:t>Het voorgestelde nieuwe a</w:t>
      </w:r>
      <w:r w:rsidR="006C6FC6">
        <w:rPr>
          <w:rFonts w:ascii="Verdana" w:hAnsi="Verdana"/>
          <w:sz w:val="18"/>
          <w:szCs w:val="18"/>
        </w:rPr>
        <w:t>rtikel 17 van de Grondwet, is net als alle andere in de Grondwet v</w:t>
      </w:r>
      <w:r w:rsidR="00860C6E">
        <w:rPr>
          <w:rFonts w:ascii="Verdana" w:hAnsi="Verdana"/>
          <w:sz w:val="18"/>
          <w:szCs w:val="18"/>
        </w:rPr>
        <w:t>erankerde grondrechten een zelf</w:t>
      </w:r>
      <w:r w:rsidR="006C6FC6">
        <w:rPr>
          <w:rFonts w:ascii="Verdana" w:hAnsi="Verdana"/>
          <w:sz w:val="18"/>
          <w:szCs w:val="18"/>
        </w:rPr>
        <w:t xml:space="preserve">standig recht naast de </w:t>
      </w:r>
      <w:r w:rsidR="00F7634B">
        <w:rPr>
          <w:rFonts w:ascii="Verdana" w:hAnsi="Verdana"/>
          <w:sz w:val="18"/>
          <w:szCs w:val="18"/>
        </w:rPr>
        <w:t xml:space="preserve">een </w:t>
      </w:r>
      <w:r w:rsidR="006339DC">
        <w:rPr>
          <w:rFonts w:ascii="Verdana" w:hAnsi="Verdana"/>
          <w:sz w:val="18"/>
          <w:szCs w:val="18"/>
        </w:rPr>
        <w:t xml:space="preserve">ieder </w:t>
      </w:r>
      <w:r w:rsidR="00F7634B">
        <w:rPr>
          <w:rFonts w:ascii="Verdana" w:hAnsi="Verdana"/>
          <w:sz w:val="18"/>
          <w:szCs w:val="18"/>
        </w:rPr>
        <w:t xml:space="preserve">verbindende </w:t>
      </w:r>
      <w:r w:rsidR="006C6FC6">
        <w:rPr>
          <w:rFonts w:ascii="Verdana" w:hAnsi="Verdana"/>
          <w:sz w:val="18"/>
          <w:szCs w:val="18"/>
        </w:rPr>
        <w:t>verdrags</w:t>
      </w:r>
      <w:r w:rsidR="00F7634B">
        <w:rPr>
          <w:rFonts w:ascii="Verdana" w:hAnsi="Verdana"/>
          <w:sz w:val="18"/>
          <w:szCs w:val="18"/>
        </w:rPr>
        <w:t>bepaling</w:t>
      </w:r>
      <w:r w:rsidR="00793C78">
        <w:rPr>
          <w:rFonts w:ascii="Verdana" w:hAnsi="Verdana"/>
          <w:sz w:val="18"/>
          <w:szCs w:val="18"/>
        </w:rPr>
        <w:t xml:space="preserve">en die </w:t>
      </w:r>
      <w:r w:rsidR="006C6FC6">
        <w:rPr>
          <w:rFonts w:ascii="Verdana" w:hAnsi="Verdana"/>
          <w:sz w:val="18"/>
          <w:szCs w:val="18"/>
        </w:rPr>
        <w:t xml:space="preserve">direct doorwerken in de nationale rechtsorde via de artikelen 93 en 94 van de Grondwet. Dat betekent dat de grondwettelijke bepaling en de verdragsbepalingen </w:t>
      </w:r>
      <w:r w:rsidR="00860C6E">
        <w:rPr>
          <w:rFonts w:ascii="Verdana" w:hAnsi="Verdana"/>
          <w:sz w:val="18"/>
          <w:szCs w:val="18"/>
        </w:rPr>
        <w:t>over het recht op een eerlijk proces elkaar aanvullen</w:t>
      </w:r>
      <w:r w:rsidR="008504B3">
        <w:rPr>
          <w:rFonts w:ascii="Verdana" w:hAnsi="Verdana"/>
          <w:sz w:val="18"/>
          <w:szCs w:val="18"/>
        </w:rPr>
        <w:t xml:space="preserve">, maar ieder een eigen betekenis hebben, die voor een </w:t>
      </w:r>
      <w:r w:rsidR="00640819">
        <w:rPr>
          <w:rFonts w:ascii="Verdana" w:hAnsi="Verdana"/>
          <w:sz w:val="18"/>
          <w:szCs w:val="18"/>
        </w:rPr>
        <w:t xml:space="preserve">groot </w:t>
      </w:r>
      <w:r w:rsidR="008504B3">
        <w:rPr>
          <w:rFonts w:ascii="Verdana" w:hAnsi="Verdana"/>
          <w:sz w:val="18"/>
          <w:szCs w:val="18"/>
        </w:rPr>
        <w:t>deel overlappend zal zijn</w:t>
      </w:r>
      <w:r w:rsidR="006C6FC6">
        <w:rPr>
          <w:rFonts w:ascii="Verdana" w:hAnsi="Verdana"/>
          <w:sz w:val="18"/>
          <w:szCs w:val="18"/>
        </w:rPr>
        <w:t xml:space="preserve">. </w:t>
      </w:r>
      <w:r w:rsidR="0095214D">
        <w:rPr>
          <w:rFonts w:ascii="Verdana" w:hAnsi="Verdana"/>
          <w:sz w:val="18"/>
          <w:szCs w:val="18"/>
        </w:rPr>
        <w:t xml:space="preserve">In hun onderlinge verhouding wordt het minimale beschermingsniveau bepaald door </w:t>
      </w:r>
      <w:r w:rsidR="006C6FC6">
        <w:rPr>
          <w:rFonts w:ascii="Verdana" w:hAnsi="Verdana"/>
          <w:sz w:val="18"/>
          <w:szCs w:val="18"/>
        </w:rPr>
        <w:t>de verdragsbep</w:t>
      </w:r>
      <w:r w:rsidR="0095214D">
        <w:rPr>
          <w:rFonts w:ascii="Verdana" w:hAnsi="Verdana"/>
          <w:sz w:val="18"/>
          <w:szCs w:val="18"/>
        </w:rPr>
        <w:t>alingen</w:t>
      </w:r>
      <w:r w:rsidR="00AB3A56">
        <w:rPr>
          <w:rFonts w:ascii="Verdana" w:hAnsi="Verdana"/>
          <w:sz w:val="18"/>
          <w:szCs w:val="18"/>
        </w:rPr>
        <w:t>.</w:t>
      </w:r>
      <w:r w:rsidR="006C6FC6">
        <w:rPr>
          <w:rFonts w:ascii="Verdana" w:hAnsi="Verdana"/>
          <w:sz w:val="18"/>
          <w:szCs w:val="18"/>
        </w:rPr>
        <w:t xml:space="preserve"> </w:t>
      </w:r>
      <w:r w:rsidR="00793C78">
        <w:rPr>
          <w:rFonts w:ascii="Verdana" w:hAnsi="Verdana"/>
          <w:sz w:val="18"/>
          <w:szCs w:val="18"/>
        </w:rPr>
        <w:t>Dat</w:t>
      </w:r>
      <w:r w:rsidR="00AB3A56">
        <w:rPr>
          <w:rFonts w:ascii="Verdana" w:hAnsi="Verdana"/>
          <w:sz w:val="18"/>
          <w:szCs w:val="18"/>
        </w:rPr>
        <w:t xml:space="preserve"> in de toelichting </w:t>
      </w:r>
      <w:r w:rsidR="00793C78">
        <w:rPr>
          <w:rFonts w:ascii="Verdana" w:hAnsi="Verdana"/>
          <w:sz w:val="18"/>
          <w:szCs w:val="18"/>
        </w:rPr>
        <w:t xml:space="preserve">geregeld </w:t>
      </w:r>
      <w:r w:rsidR="00AB3A56">
        <w:rPr>
          <w:rFonts w:ascii="Verdana" w:hAnsi="Verdana"/>
          <w:sz w:val="18"/>
          <w:szCs w:val="18"/>
        </w:rPr>
        <w:t xml:space="preserve">wordt verwezen naar </w:t>
      </w:r>
      <w:r w:rsidR="008504B3">
        <w:rPr>
          <w:rFonts w:ascii="Verdana" w:hAnsi="Verdana"/>
          <w:sz w:val="18"/>
          <w:szCs w:val="18"/>
        </w:rPr>
        <w:t xml:space="preserve">de </w:t>
      </w:r>
      <w:r w:rsidR="00AB3A56">
        <w:rPr>
          <w:rFonts w:ascii="Verdana" w:hAnsi="Verdana"/>
          <w:sz w:val="18"/>
          <w:szCs w:val="18"/>
        </w:rPr>
        <w:t xml:space="preserve">jurisprudentie van het EHRM </w:t>
      </w:r>
      <w:r w:rsidR="00793C78">
        <w:rPr>
          <w:rFonts w:ascii="Verdana" w:hAnsi="Verdana"/>
          <w:sz w:val="18"/>
          <w:szCs w:val="18"/>
        </w:rPr>
        <w:t>over de uitleg van het re</w:t>
      </w:r>
      <w:r w:rsidR="008504B3">
        <w:rPr>
          <w:rFonts w:ascii="Verdana" w:hAnsi="Verdana"/>
          <w:sz w:val="18"/>
          <w:szCs w:val="18"/>
        </w:rPr>
        <w:t xml:space="preserve">cht op een eerlijk proces en </w:t>
      </w:r>
      <w:r w:rsidR="00793C78">
        <w:rPr>
          <w:rFonts w:ascii="Verdana" w:hAnsi="Verdana"/>
          <w:sz w:val="18"/>
          <w:szCs w:val="18"/>
        </w:rPr>
        <w:t>toegang tot de rechter</w:t>
      </w:r>
      <w:r w:rsidR="000868D5">
        <w:rPr>
          <w:rFonts w:ascii="Verdana" w:hAnsi="Verdana"/>
          <w:sz w:val="18"/>
          <w:szCs w:val="18"/>
        </w:rPr>
        <w:t>,</w:t>
      </w:r>
      <w:r w:rsidR="00793C78">
        <w:rPr>
          <w:rFonts w:ascii="Verdana" w:hAnsi="Verdana"/>
          <w:sz w:val="18"/>
          <w:szCs w:val="18"/>
        </w:rPr>
        <w:t xml:space="preserve"> </w:t>
      </w:r>
      <w:r w:rsidR="00AB3A56">
        <w:rPr>
          <w:rFonts w:ascii="Verdana" w:hAnsi="Verdana"/>
          <w:sz w:val="18"/>
          <w:szCs w:val="18"/>
        </w:rPr>
        <w:t>is omdat d</w:t>
      </w:r>
      <w:r w:rsidR="00793C78">
        <w:rPr>
          <w:rFonts w:ascii="Verdana" w:hAnsi="Verdana"/>
          <w:sz w:val="18"/>
          <w:szCs w:val="18"/>
        </w:rPr>
        <w:t>eze jurisprudentie</w:t>
      </w:r>
      <w:r w:rsidR="00AB3A56">
        <w:rPr>
          <w:rFonts w:ascii="Verdana" w:hAnsi="Verdana"/>
          <w:sz w:val="18"/>
          <w:szCs w:val="18"/>
        </w:rPr>
        <w:t xml:space="preserve"> een richtinggevend kader vormt voor de </w:t>
      </w:r>
      <w:r w:rsidR="000868D5">
        <w:rPr>
          <w:rFonts w:ascii="Verdana" w:hAnsi="Verdana"/>
          <w:sz w:val="18"/>
          <w:szCs w:val="18"/>
        </w:rPr>
        <w:t xml:space="preserve">nationale wetgever en </w:t>
      </w:r>
      <w:r w:rsidR="00AB3A56">
        <w:rPr>
          <w:rFonts w:ascii="Verdana" w:hAnsi="Verdana"/>
          <w:sz w:val="18"/>
          <w:szCs w:val="18"/>
        </w:rPr>
        <w:t>rechter</w:t>
      </w:r>
      <w:r w:rsidR="00793C78">
        <w:rPr>
          <w:rFonts w:ascii="Verdana" w:hAnsi="Verdana"/>
          <w:sz w:val="18"/>
          <w:szCs w:val="18"/>
        </w:rPr>
        <w:t>.</w:t>
      </w:r>
      <w:r w:rsidR="000868D5">
        <w:rPr>
          <w:rFonts w:ascii="Verdana" w:hAnsi="Verdana"/>
          <w:sz w:val="18"/>
          <w:szCs w:val="18"/>
        </w:rPr>
        <w:t xml:space="preserve"> Nu</w:t>
      </w:r>
      <w:r w:rsidR="00AB3A56">
        <w:rPr>
          <w:rFonts w:ascii="Verdana" w:hAnsi="Verdana"/>
          <w:sz w:val="18"/>
          <w:szCs w:val="18"/>
        </w:rPr>
        <w:t xml:space="preserve"> en </w:t>
      </w:r>
      <w:r w:rsidR="0095214D">
        <w:rPr>
          <w:rFonts w:ascii="Verdana" w:hAnsi="Verdana"/>
          <w:sz w:val="18"/>
          <w:szCs w:val="18"/>
        </w:rPr>
        <w:t>ook zodra</w:t>
      </w:r>
      <w:r w:rsidR="00793C78">
        <w:rPr>
          <w:rFonts w:ascii="Verdana" w:hAnsi="Verdana"/>
          <w:sz w:val="18"/>
          <w:szCs w:val="18"/>
        </w:rPr>
        <w:t xml:space="preserve"> de onderhavige grondwetsbepaling </w:t>
      </w:r>
      <w:r w:rsidR="0095214D">
        <w:rPr>
          <w:rFonts w:ascii="Verdana" w:hAnsi="Verdana"/>
          <w:sz w:val="18"/>
          <w:szCs w:val="18"/>
        </w:rPr>
        <w:t>in werking treedt</w:t>
      </w:r>
      <w:r w:rsidR="00793C78">
        <w:rPr>
          <w:rFonts w:ascii="Verdana" w:hAnsi="Verdana"/>
          <w:sz w:val="18"/>
          <w:szCs w:val="18"/>
        </w:rPr>
        <w:t xml:space="preserve">, </w:t>
      </w:r>
      <w:r w:rsidR="00AB3A56">
        <w:rPr>
          <w:rFonts w:ascii="Verdana" w:hAnsi="Verdana"/>
          <w:sz w:val="18"/>
          <w:szCs w:val="18"/>
        </w:rPr>
        <w:t>zal sprake moeten zijn van v</w:t>
      </w:r>
      <w:r w:rsidR="006C6FC6">
        <w:rPr>
          <w:rFonts w:ascii="Verdana" w:hAnsi="Verdana"/>
          <w:sz w:val="18"/>
          <w:szCs w:val="18"/>
        </w:rPr>
        <w:t>erdragsconforme interpretatie</w:t>
      </w:r>
      <w:r w:rsidR="00AB3A56">
        <w:rPr>
          <w:rFonts w:ascii="Verdana" w:hAnsi="Verdana"/>
          <w:sz w:val="18"/>
          <w:szCs w:val="18"/>
        </w:rPr>
        <w:t xml:space="preserve"> aangaande de</w:t>
      </w:r>
      <w:r w:rsidR="000868D5">
        <w:rPr>
          <w:rFonts w:ascii="Verdana" w:hAnsi="Verdana"/>
          <w:sz w:val="18"/>
          <w:szCs w:val="18"/>
        </w:rPr>
        <w:t>ze</w:t>
      </w:r>
      <w:r w:rsidR="00AB3A56">
        <w:rPr>
          <w:rFonts w:ascii="Verdana" w:hAnsi="Verdana"/>
          <w:sz w:val="18"/>
          <w:szCs w:val="18"/>
        </w:rPr>
        <w:t xml:space="preserve"> minimum beschermingsnormen</w:t>
      </w:r>
      <w:r w:rsidR="00E97B23">
        <w:rPr>
          <w:rFonts w:ascii="Verdana" w:hAnsi="Verdana"/>
          <w:sz w:val="18"/>
          <w:szCs w:val="18"/>
        </w:rPr>
        <w:t xml:space="preserve"> voor zover het de interpretatie van dezelfde (deel)norm betreft, zoals bijvoorbeeld het begrip onpartijdigheid</w:t>
      </w:r>
      <w:r w:rsidR="006C6FC6">
        <w:rPr>
          <w:rFonts w:ascii="Verdana" w:hAnsi="Verdana"/>
          <w:sz w:val="18"/>
          <w:szCs w:val="18"/>
        </w:rPr>
        <w:t xml:space="preserve">. </w:t>
      </w:r>
      <w:r w:rsidR="00AB3A56">
        <w:rPr>
          <w:rFonts w:ascii="Verdana" w:hAnsi="Verdana"/>
          <w:sz w:val="18"/>
          <w:szCs w:val="18"/>
        </w:rPr>
        <w:t xml:space="preserve">Het is evenwel goed denkbaar dat </w:t>
      </w:r>
      <w:r w:rsidR="006C6FC6">
        <w:rPr>
          <w:rFonts w:ascii="Verdana" w:hAnsi="Verdana"/>
          <w:sz w:val="18"/>
          <w:szCs w:val="18"/>
        </w:rPr>
        <w:t>de wetgever of</w:t>
      </w:r>
      <w:r w:rsidR="00AB3A56">
        <w:rPr>
          <w:rFonts w:ascii="Verdana" w:hAnsi="Verdana"/>
          <w:sz w:val="18"/>
          <w:szCs w:val="18"/>
        </w:rPr>
        <w:t xml:space="preserve"> </w:t>
      </w:r>
      <w:r w:rsidR="00860C6E">
        <w:rPr>
          <w:rFonts w:ascii="Verdana" w:hAnsi="Verdana"/>
          <w:sz w:val="18"/>
          <w:szCs w:val="18"/>
        </w:rPr>
        <w:t xml:space="preserve">nationale </w:t>
      </w:r>
      <w:r w:rsidR="00AB3A56">
        <w:rPr>
          <w:rFonts w:ascii="Verdana" w:hAnsi="Verdana"/>
          <w:sz w:val="18"/>
          <w:szCs w:val="18"/>
        </w:rPr>
        <w:t>rechter ruimte of reden zie</w:t>
      </w:r>
      <w:r w:rsidR="0095214D">
        <w:rPr>
          <w:rFonts w:ascii="Verdana" w:hAnsi="Verdana"/>
          <w:sz w:val="18"/>
          <w:szCs w:val="18"/>
        </w:rPr>
        <w:t>t</w:t>
      </w:r>
      <w:r w:rsidR="00AB3A56">
        <w:rPr>
          <w:rFonts w:ascii="Verdana" w:hAnsi="Verdana"/>
          <w:sz w:val="18"/>
          <w:szCs w:val="18"/>
        </w:rPr>
        <w:t xml:space="preserve"> </w:t>
      </w:r>
      <w:r w:rsidR="006C6FC6">
        <w:rPr>
          <w:rFonts w:ascii="Verdana" w:hAnsi="Verdana"/>
          <w:sz w:val="18"/>
          <w:szCs w:val="18"/>
        </w:rPr>
        <w:t xml:space="preserve">om boven het beschermingsniveau van de verdragsbepalingen </w:t>
      </w:r>
      <w:r w:rsidR="00AB3A56">
        <w:rPr>
          <w:rFonts w:ascii="Verdana" w:hAnsi="Verdana"/>
          <w:sz w:val="18"/>
          <w:szCs w:val="18"/>
        </w:rPr>
        <w:t>uit te gaan waar het de interpretatie v</w:t>
      </w:r>
      <w:r w:rsidR="000868D5">
        <w:rPr>
          <w:rFonts w:ascii="Verdana" w:hAnsi="Verdana"/>
          <w:sz w:val="18"/>
          <w:szCs w:val="18"/>
        </w:rPr>
        <w:t>an het grondwettelijke recht</w:t>
      </w:r>
      <w:r w:rsidR="00AB3A56">
        <w:rPr>
          <w:rFonts w:ascii="Verdana" w:hAnsi="Verdana"/>
          <w:sz w:val="18"/>
          <w:szCs w:val="18"/>
        </w:rPr>
        <w:t xml:space="preserve"> </w:t>
      </w:r>
      <w:r w:rsidR="00793C78">
        <w:rPr>
          <w:rFonts w:ascii="Verdana" w:hAnsi="Verdana"/>
          <w:sz w:val="18"/>
          <w:szCs w:val="18"/>
        </w:rPr>
        <w:t xml:space="preserve">op een eerlijk proces </w:t>
      </w:r>
      <w:r w:rsidR="000868D5">
        <w:rPr>
          <w:rFonts w:ascii="Verdana" w:hAnsi="Verdana"/>
          <w:sz w:val="18"/>
          <w:szCs w:val="18"/>
        </w:rPr>
        <w:t>betreft.</w:t>
      </w:r>
      <w:r w:rsidR="00E97B23">
        <w:rPr>
          <w:rFonts w:ascii="Verdana" w:hAnsi="Verdana"/>
          <w:sz w:val="18"/>
          <w:szCs w:val="18"/>
        </w:rPr>
        <w:t xml:space="preserve"> </w:t>
      </w:r>
      <w:r w:rsidR="00D31711">
        <w:rPr>
          <w:rFonts w:ascii="Verdana" w:hAnsi="Verdana"/>
          <w:sz w:val="18"/>
          <w:szCs w:val="18"/>
        </w:rPr>
        <w:t>Voor de onderlinge verhouding tussen rechtsnormen die dezelfde materie bestrijken, gelden de</w:t>
      </w:r>
      <w:r w:rsidR="000868D5">
        <w:rPr>
          <w:rFonts w:ascii="Verdana" w:hAnsi="Verdana"/>
          <w:sz w:val="18"/>
          <w:szCs w:val="18"/>
        </w:rPr>
        <w:t xml:space="preserve"> artikelen 53 EVRM en 53</w:t>
      </w:r>
      <w:r w:rsidR="006C6FC6">
        <w:rPr>
          <w:rFonts w:ascii="Verdana" w:hAnsi="Verdana"/>
          <w:sz w:val="18"/>
          <w:szCs w:val="18"/>
        </w:rPr>
        <w:t xml:space="preserve"> EU-Handvest</w:t>
      </w:r>
      <w:r w:rsidR="00D31711">
        <w:rPr>
          <w:rFonts w:ascii="Verdana" w:hAnsi="Verdana"/>
          <w:sz w:val="18"/>
          <w:szCs w:val="18"/>
        </w:rPr>
        <w:t xml:space="preserve">, waarin is bepaald </w:t>
      </w:r>
      <w:r w:rsidR="000868D5">
        <w:rPr>
          <w:rFonts w:ascii="Verdana" w:hAnsi="Verdana"/>
          <w:sz w:val="18"/>
          <w:szCs w:val="18"/>
        </w:rPr>
        <w:t>dat geen bepaling van het</w:t>
      </w:r>
      <w:r w:rsidR="00860C6E">
        <w:rPr>
          <w:rFonts w:ascii="Verdana" w:hAnsi="Verdana"/>
          <w:sz w:val="18"/>
          <w:szCs w:val="18"/>
        </w:rPr>
        <w:t xml:space="preserve"> EVRM</w:t>
      </w:r>
      <w:r w:rsidR="000868D5" w:rsidRPr="000868D5">
        <w:rPr>
          <w:rFonts w:ascii="Verdana" w:hAnsi="Verdana"/>
          <w:sz w:val="18"/>
          <w:szCs w:val="18"/>
        </w:rPr>
        <w:t xml:space="preserve"> </w:t>
      </w:r>
      <w:r w:rsidR="000868D5">
        <w:rPr>
          <w:rFonts w:ascii="Verdana" w:hAnsi="Verdana"/>
          <w:sz w:val="18"/>
          <w:szCs w:val="18"/>
        </w:rPr>
        <w:t>of EU-Handvest mag</w:t>
      </w:r>
      <w:r w:rsidR="000868D5" w:rsidRPr="000868D5">
        <w:rPr>
          <w:rFonts w:ascii="Verdana" w:hAnsi="Verdana"/>
          <w:sz w:val="18"/>
          <w:szCs w:val="18"/>
        </w:rPr>
        <w:t xml:space="preserve"> worden uitgelegd als</w:t>
      </w:r>
      <w:r w:rsidR="000868D5">
        <w:rPr>
          <w:rFonts w:ascii="Verdana" w:hAnsi="Verdana"/>
          <w:sz w:val="18"/>
          <w:szCs w:val="18"/>
        </w:rPr>
        <w:t xml:space="preserve"> </w:t>
      </w:r>
      <w:r w:rsidR="00860C6E">
        <w:rPr>
          <w:rFonts w:ascii="Verdana" w:hAnsi="Verdana"/>
          <w:sz w:val="18"/>
          <w:szCs w:val="18"/>
        </w:rPr>
        <w:t>zou zij</w:t>
      </w:r>
      <w:r w:rsidR="000868D5" w:rsidRPr="000868D5">
        <w:rPr>
          <w:rFonts w:ascii="Verdana" w:hAnsi="Verdana"/>
          <w:sz w:val="18"/>
          <w:szCs w:val="18"/>
        </w:rPr>
        <w:t xml:space="preserve"> een beperki</w:t>
      </w:r>
      <w:r w:rsidR="000868D5">
        <w:rPr>
          <w:rFonts w:ascii="Verdana" w:hAnsi="Verdana"/>
          <w:sz w:val="18"/>
          <w:szCs w:val="18"/>
        </w:rPr>
        <w:t xml:space="preserve">ng vormen van </w:t>
      </w:r>
      <w:r w:rsidR="000868D5" w:rsidRPr="000868D5">
        <w:rPr>
          <w:rFonts w:ascii="Verdana" w:hAnsi="Verdana"/>
          <w:sz w:val="18"/>
          <w:szCs w:val="18"/>
        </w:rPr>
        <w:t>of afbreuk doen aan de rechten van de mens en de fundamen</w:t>
      </w:r>
      <w:r w:rsidR="000868D5">
        <w:rPr>
          <w:rFonts w:ascii="Verdana" w:hAnsi="Verdana"/>
          <w:sz w:val="18"/>
          <w:szCs w:val="18"/>
        </w:rPr>
        <w:t>tele vrijheden die verzekerd worden</w:t>
      </w:r>
      <w:r w:rsidR="000868D5" w:rsidRPr="000868D5">
        <w:rPr>
          <w:rFonts w:ascii="Verdana" w:hAnsi="Verdana"/>
          <w:sz w:val="18"/>
          <w:szCs w:val="18"/>
        </w:rPr>
        <w:t xml:space="preserve"> door het recht van de Un</w:t>
      </w:r>
      <w:r w:rsidR="000868D5">
        <w:rPr>
          <w:rFonts w:ascii="Verdana" w:hAnsi="Verdana"/>
          <w:sz w:val="18"/>
          <w:szCs w:val="18"/>
        </w:rPr>
        <w:t>ie, het internationaal recht</w:t>
      </w:r>
      <w:r w:rsidR="00A32FC9">
        <w:rPr>
          <w:rFonts w:ascii="Verdana" w:hAnsi="Verdana"/>
          <w:sz w:val="18"/>
          <w:szCs w:val="18"/>
        </w:rPr>
        <w:t>, waaronder het EVRM</w:t>
      </w:r>
      <w:r w:rsidR="000868D5">
        <w:rPr>
          <w:rFonts w:ascii="Verdana" w:hAnsi="Verdana"/>
          <w:sz w:val="18"/>
          <w:szCs w:val="18"/>
        </w:rPr>
        <w:t xml:space="preserve">, alsmede door de </w:t>
      </w:r>
      <w:r w:rsidR="000868D5" w:rsidRPr="000868D5">
        <w:rPr>
          <w:rFonts w:ascii="Verdana" w:hAnsi="Verdana"/>
          <w:sz w:val="18"/>
          <w:szCs w:val="18"/>
        </w:rPr>
        <w:t>grondwetten van de lidstaten.</w:t>
      </w:r>
      <w:r w:rsidR="00A32FC9">
        <w:rPr>
          <w:rFonts w:ascii="Verdana" w:hAnsi="Verdana"/>
          <w:sz w:val="18"/>
          <w:szCs w:val="18"/>
        </w:rPr>
        <w:t xml:space="preserve"> </w:t>
      </w:r>
      <w:r w:rsidR="00860C6E">
        <w:rPr>
          <w:rFonts w:ascii="Verdana" w:hAnsi="Verdana"/>
          <w:sz w:val="18"/>
          <w:szCs w:val="18"/>
        </w:rPr>
        <w:t>De norm die de hoogste bescherming biedt in Nederland heeft dus te gelden als het gaat om de verzekering van die norm aan haar burgers door de nationale autoriteiten.</w:t>
      </w:r>
      <w:r w:rsidR="00E97B23">
        <w:rPr>
          <w:rStyle w:val="Voetnootmarkering"/>
          <w:rFonts w:ascii="Verdana" w:hAnsi="Verdana"/>
          <w:sz w:val="18"/>
          <w:szCs w:val="18"/>
        </w:rPr>
        <w:footnoteReference w:id="98"/>
      </w:r>
    </w:p>
    <w:p w:rsidR="000868D5" w:rsidRDefault="000868D5" w:rsidP="000868D5">
      <w:pPr>
        <w:pStyle w:val="Geenafstand"/>
        <w:spacing w:line="280" w:lineRule="atLeast"/>
        <w:rPr>
          <w:rFonts w:ascii="Verdana" w:hAnsi="Verdana"/>
          <w:sz w:val="18"/>
          <w:szCs w:val="18"/>
        </w:rPr>
      </w:pPr>
    </w:p>
    <w:p w:rsidR="004C682C" w:rsidRDefault="00743FC2" w:rsidP="00EE39B9">
      <w:pPr>
        <w:pStyle w:val="Geenafstand"/>
        <w:spacing w:line="280" w:lineRule="atLeast"/>
        <w:rPr>
          <w:rFonts w:ascii="Verdana" w:hAnsi="Verdana"/>
          <w:sz w:val="18"/>
          <w:szCs w:val="18"/>
        </w:rPr>
      </w:pPr>
      <w:r>
        <w:rPr>
          <w:rFonts w:ascii="Verdana" w:hAnsi="Verdana"/>
          <w:sz w:val="18"/>
          <w:szCs w:val="18"/>
        </w:rPr>
        <w:t>Naast deze een ieder verbind</w:t>
      </w:r>
      <w:r w:rsidR="000B5DC1">
        <w:rPr>
          <w:rFonts w:ascii="Verdana" w:hAnsi="Verdana"/>
          <w:sz w:val="18"/>
          <w:szCs w:val="18"/>
        </w:rPr>
        <w:t>ende verdragsbepalingen zijn er ook binnen de Europese Unie</w:t>
      </w:r>
      <w:r w:rsidR="00336640">
        <w:rPr>
          <w:rFonts w:ascii="Verdana" w:hAnsi="Verdana"/>
          <w:sz w:val="18"/>
          <w:szCs w:val="18"/>
        </w:rPr>
        <w:t xml:space="preserve"> verschillende </w:t>
      </w:r>
      <w:r w:rsidR="00CD2074">
        <w:rPr>
          <w:rFonts w:ascii="Verdana" w:hAnsi="Verdana"/>
          <w:sz w:val="18"/>
          <w:szCs w:val="18"/>
        </w:rPr>
        <w:t>richtlijnen</w:t>
      </w:r>
      <w:r w:rsidR="00336640">
        <w:rPr>
          <w:rFonts w:ascii="Verdana" w:hAnsi="Verdana"/>
          <w:sz w:val="18"/>
          <w:szCs w:val="18"/>
        </w:rPr>
        <w:t xml:space="preserve"> </w:t>
      </w:r>
      <w:r w:rsidR="00ED3692" w:rsidRPr="007847CB">
        <w:rPr>
          <w:rFonts w:ascii="Verdana" w:hAnsi="Verdana"/>
          <w:sz w:val="18"/>
          <w:szCs w:val="18"/>
        </w:rPr>
        <w:t>om de procedurele waarborgen in strafprocedures verder te verbeteren</w:t>
      </w:r>
      <w:r>
        <w:rPr>
          <w:rFonts w:ascii="Verdana" w:hAnsi="Verdana"/>
          <w:sz w:val="18"/>
          <w:szCs w:val="18"/>
        </w:rPr>
        <w:t xml:space="preserve">. </w:t>
      </w:r>
      <w:r w:rsidR="00ED3692" w:rsidRPr="007847CB">
        <w:rPr>
          <w:rFonts w:ascii="Verdana" w:hAnsi="Verdana"/>
          <w:sz w:val="18"/>
          <w:szCs w:val="18"/>
        </w:rPr>
        <w:t xml:space="preserve">Het doel </w:t>
      </w:r>
      <w:r w:rsidR="00E1733A">
        <w:rPr>
          <w:rFonts w:ascii="Verdana" w:hAnsi="Verdana"/>
          <w:sz w:val="18"/>
          <w:szCs w:val="18"/>
        </w:rPr>
        <w:t xml:space="preserve">daarvan </w:t>
      </w:r>
      <w:r w:rsidR="00ED3692" w:rsidRPr="007847CB">
        <w:rPr>
          <w:rFonts w:ascii="Verdana" w:hAnsi="Verdana"/>
          <w:sz w:val="18"/>
          <w:szCs w:val="18"/>
        </w:rPr>
        <w:t>is alle burgers van de Europese Unie te verzekeren van een eerlijk proces</w:t>
      </w:r>
      <w:r w:rsidR="007E4E22">
        <w:rPr>
          <w:rFonts w:ascii="Verdana" w:hAnsi="Verdana"/>
          <w:sz w:val="18"/>
          <w:szCs w:val="18"/>
        </w:rPr>
        <w:t xml:space="preserve"> en het wederzijdse vertrouwen in de rechtsstelsels van de lidstaten </w:t>
      </w:r>
      <w:r w:rsidR="004634C7">
        <w:rPr>
          <w:rFonts w:ascii="Verdana" w:hAnsi="Verdana"/>
          <w:sz w:val="18"/>
          <w:szCs w:val="18"/>
        </w:rPr>
        <w:t xml:space="preserve">te </w:t>
      </w:r>
      <w:r w:rsidR="007E4E22">
        <w:rPr>
          <w:rFonts w:ascii="Verdana" w:hAnsi="Verdana"/>
          <w:sz w:val="18"/>
          <w:szCs w:val="18"/>
        </w:rPr>
        <w:t>bevorderen en daarmee ook de werking van de Europese rechtsruimte</w:t>
      </w:r>
      <w:r w:rsidR="00ED3692" w:rsidRPr="007847CB">
        <w:rPr>
          <w:rFonts w:ascii="Verdana" w:hAnsi="Verdana"/>
          <w:sz w:val="18"/>
          <w:szCs w:val="18"/>
        </w:rPr>
        <w:t xml:space="preserve">. De </w:t>
      </w:r>
      <w:r w:rsidR="006339DC">
        <w:rPr>
          <w:rFonts w:ascii="Verdana" w:hAnsi="Verdana"/>
          <w:sz w:val="18"/>
          <w:szCs w:val="18"/>
        </w:rPr>
        <w:t>richtlijn</w:t>
      </w:r>
      <w:r w:rsidR="00B55719">
        <w:rPr>
          <w:rFonts w:ascii="Verdana" w:hAnsi="Verdana"/>
          <w:sz w:val="18"/>
          <w:szCs w:val="18"/>
        </w:rPr>
        <w:t>en</w:t>
      </w:r>
      <w:r w:rsidR="00ED3692" w:rsidRPr="007847CB">
        <w:rPr>
          <w:rFonts w:ascii="Verdana" w:hAnsi="Verdana"/>
          <w:sz w:val="18"/>
          <w:szCs w:val="18"/>
        </w:rPr>
        <w:t xml:space="preserve"> moeten ervoor zorgen dat het beginsel van het vermoeden van onschuld en het recht bij het proces aanwezig te zijn, in acht worden genomen, dat er voor </w:t>
      </w:r>
      <w:r w:rsidR="006339DC">
        <w:rPr>
          <w:rFonts w:ascii="Verdana" w:hAnsi="Verdana"/>
          <w:sz w:val="18"/>
          <w:szCs w:val="18"/>
        </w:rPr>
        <w:t>minderjarigen</w:t>
      </w:r>
      <w:r w:rsidR="00ED3692" w:rsidRPr="007847CB">
        <w:rPr>
          <w:rFonts w:ascii="Verdana" w:hAnsi="Verdana"/>
          <w:sz w:val="18"/>
          <w:szCs w:val="18"/>
        </w:rPr>
        <w:t xml:space="preserve"> in strafprocedures speciale waarborgen gelden en dat verdachten en beklaagden in een vroeg stadium van het proces toegang hebben tot voorlopige rechtsbijstand, </w:t>
      </w:r>
      <w:r w:rsidR="00ED3692" w:rsidRPr="007847CB">
        <w:rPr>
          <w:rFonts w:ascii="Verdana" w:hAnsi="Verdana"/>
          <w:sz w:val="18"/>
          <w:szCs w:val="18"/>
        </w:rPr>
        <w:lastRenderedPageBreak/>
        <w:t>met name als er een Europees aanhoudingsbevel tegen hen is uitgevaardigd.</w:t>
      </w:r>
      <w:r w:rsidR="00653B37">
        <w:rPr>
          <w:rStyle w:val="Voetnootmarkering"/>
          <w:rFonts w:ascii="Verdana" w:hAnsi="Verdana"/>
          <w:sz w:val="18"/>
          <w:szCs w:val="18"/>
        </w:rPr>
        <w:footnoteReference w:id="99"/>
      </w:r>
      <w:r w:rsidR="007E4E22">
        <w:rPr>
          <w:rFonts w:ascii="Verdana" w:hAnsi="Verdana"/>
          <w:sz w:val="18"/>
          <w:szCs w:val="18"/>
        </w:rPr>
        <w:t xml:space="preserve"> </w:t>
      </w:r>
      <w:r w:rsidR="00ED3692" w:rsidRPr="007847CB">
        <w:rPr>
          <w:rFonts w:ascii="Verdana" w:hAnsi="Verdana"/>
          <w:sz w:val="18"/>
          <w:szCs w:val="18"/>
        </w:rPr>
        <w:t>De</w:t>
      </w:r>
      <w:r w:rsidR="00653B37">
        <w:rPr>
          <w:rFonts w:ascii="Verdana" w:hAnsi="Verdana"/>
          <w:sz w:val="18"/>
          <w:szCs w:val="18"/>
        </w:rPr>
        <w:t xml:space="preserve">ze </w:t>
      </w:r>
      <w:r w:rsidR="00E1733A">
        <w:rPr>
          <w:rFonts w:ascii="Verdana" w:hAnsi="Verdana"/>
          <w:sz w:val="18"/>
          <w:szCs w:val="18"/>
        </w:rPr>
        <w:t xml:space="preserve">recent aangenomen </w:t>
      </w:r>
      <w:r w:rsidR="00653B37">
        <w:rPr>
          <w:rFonts w:ascii="Verdana" w:hAnsi="Verdana"/>
          <w:sz w:val="18"/>
          <w:szCs w:val="18"/>
        </w:rPr>
        <w:t>richtlijn</w:t>
      </w:r>
      <w:r w:rsidR="001F79A4">
        <w:rPr>
          <w:rFonts w:ascii="Verdana" w:hAnsi="Verdana"/>
          <w:sz w:val="18"/>
          <w:szCs w:val="18"/>
        </w:rPr>
        <w:t>en</w:t>
      </w:r>
      <w:r w:rsidR="00ED3692" w:rsidRPr="007847CB">
        <w:rPr>
          <w:rFonts w:ascii="Verdana" w:hAnsi="Verdana"/>
          <w:sz w:val="18"/>
          <w:szCs w:val="18"/>
        </w:rPr>
        <w:t xml:space="preserve"> vormen een aanvulling op he</w:t>
      </w:r>
      <w:r>
        <w:rPr>
          <w:rFonts w:ascii="Verdana" w:hAnsi="Verdana"/>
          <w:sz w:val="18"/>
          <w:szCs w:val="18"/>
        </w:rPr>
        <w:t>t pakket van drie</w:t>
      </w:r>
      <w:r w:rsidR="00C54752">
        <w:rPr>
          <w:rFonts w:ascii="Verdana" w:hAnsi="Verdana"/>
          <w:sz w:val="18"/>
          <w:szCs w:val="18"/>
        </w:rPr>
        <w:t xml:space="preserve"> </w:t>
      </w:r>
      <w:r w:rsidR="00E1733A">
        <w:rPr>
          <w:rFonts w:ascii="Verdana" w:hAnsi="Verdana"/>
          <w:sz w:val="18"/>
          <w:szCs w:val="18"/>
        </w:rPr>
        <w:t xml:space="preserve">eerder vastgestelde </w:t>
      </w:r>
      <w:r w:rsidR="00C54752">
        <w:rPr>
          <w:rFonts w:ascii="Verdana" w:hAnsi="Verdana"/>
          <w:sz w:val="18"/>
          <w:szCs w:val="18"/>
        </w:rPr>
        <w:t>EU-richtlijn</w:t>
      </w:r>
      <w:r w:rsidR="00ED3692" w:rsidRPr="007847CB">
        <w:rPr>
          <w:rFonts w:ascii="Verdana" w:hAnsi="Verdana"/>
          <w:sz w:val="18"/>
          <w:szCs w:val="18"/>
        </w:rPr>
        <w:t>en die</w:t>
      </w:r>
      <w:r w:rsidR="00C54752">
        <w:rPr>
          <w:rFonts w:ascii="Verdana" w:hAnsi="Verdana"/>
          <w:sz w:val="18"/>
          <w:szCs w:val="18"/>
        </w:rPr>
        <w:t xml:space="preserve"> betrekking hebb</w:t>
      </w:r>
      <w:r w:rsidR="00ED3692" w:rsidRPr="007847CB">
        <w:rPr>
          <w:rFonts w:ascii="Verdana" w:hAnsi="Verdana"/>
          <w:sz w:val="18"/>
          <w:szCs w:val="18"/>
        </w:rPr>
        <w:t>en op het re</w:t>
      </w:r>
      <w:r w:rsidR="000F7E7E">
        <w:rPr>
          <w:rFonts w:ascii="Verdana" w:hAnsi="Verdana"/>
          <w:sz w:val="18"/>
          <w:szCs w:val="18"/>
        </w:rPr>
        <w:t>cht op vertolking en vertaling</w:t>
      </w:r>
      <w:r w:rsidR="00ED3692" w:rsidRPr="007847CB">
        <w:rPr>
          <w:rFonts w:ascii="Verdana" w:hAnsi="Verdana"/>
          <w:sz w:val="18"/>
          <w:szCs w:val="18"/>
        </w:rPr>
        <w:t>,</w:t>
      </w:r>
      <w:r w:rsidR="00C54752">
        <w:rPr>
          <w:rStyle w:val="Voetnootmarkering"/>
          <w:rFonts w:ascii="Verdana" w:hAnsi="Verdana"/>
          <w:sz w:val="18"/>
          <w:szCs w:val="18"/>
        </w:rPr>
        <w:footnoteReference w:id="100"/>
      </w:r>
      <w:r w:rsidR="00ED3692" w:rsidRPr="007847CB">
        <w:rPr>
          <w:rFonts w:ascii="Verdana" w:hAnsi="Verdana"/>
          <w:sz w:val="18"/>
          <w:szCs w:val="18"/>
        </w:rPr>
        <w:t xml:space="preserve"> het recht op informatie</w:t>
      </w:r>
      <w:r w:rsidR="000F7E7E">
        <w:rPr>
          <w:rStyle w:val="Voetnootmarkering"/>
          <w:rFonts w:ascii="Verdana" w:hAnsi="Verdana"/>
          <w:sz w:val="18"/>
          <w:szCs w:val="18"/>
        </w:rPr>
        <w:footnoteReference w:id="101"/>
      </w:r>
      <w:r w:rsidR="000F7E7E">
        <w:rPr>
          <w:rFonts w:ascii="Verdana" w:hAnsi="Verdana"/>
          <w:sz w:val="18"/>
          <w:szCs w:val="18"/>
        </w:rPr>
        <w:t xml:space="preserve"> </w:t>
      </w:r>
      <w:r w:rsidR="00ED3692" w:rsidRPr="007847CB">
        <w:rPr>
          <w:rFonts w:ascii="Verdana" w:hAnsi="Verdana"/>
          <w:sz w:val="18"/>
          <w:szCs w:val="18"/>
        </w:rPr>
        <w:t>en het rec</w:t>
      </w:r>
      <w:r>
        <w:rPr>
          <w:rFonts w:ascii="Verdana" w:hAnsi="Verdana"/>
          <w:sz w:val="18"/>
          <w:szCs w:val="18"/>
        </w:rPr>
        <w:t>ht op toegang tot een advocaat</w:t>
      </w:r>
      <w:r w:rsidR="00ED3692" w:rsidRPr="007847CB">
        <w:rPr>
          <w:rFonts w:ascii="Verdana" w:hAnsi="Verdana"/>
          <w:sz w:val="18"/>
          <w:szCs w:val="18"/>
        </w:rPr>
        <w:t>.</w:t>
      </w:r>
      <w:r w:rsidR="000F7E7E">
        <w:rPr>
          <w:rStyle w:val="Voetnootmarkering"/>
          <w:rFonts w:ascii="Verdana" w:hAnsi="Verdana"/>
          <w:sz w:val="18"/>
          <w:szCs w:val="18"/>
        </w:rPr>
        <w:footnoteReference w:id="102"/>
      </w:r>
      <w:r w:rsidR="00ED3692" w:rsidRPr="007847CB">
        <w:rPr>
          <w:rFonts w:ascii="Verdana" w:hAnsi="Verdana"/>
          <w:sz w:val="18"/>
          <w:szCs w:val="18"/>
        </w:rPr>
        <w:t xml:space="preserve"> De </w:t>
      </w:r>
      <w:r w:rsidR="00CD2074">
        <w:rPr>
          <w:rFonts w:ascii="Verdana" w:hAnsi="Verdana"/>
          <w:sz w:val="18"/>
          <w:szCs w:val="18"/>
        </w:rPr>
        <w:t>richtlijnen</w:t>
      </w:r>
      <w:r w:rsidR="00ED3692" w:rsidRPr="007847CB">
        <w:rPr>
          <w:rFonts w:ascii="Verdana" w:hAnsi="Verdana"/>
          <w:sz w:val="18"/>
          <w:szCs w:val="18"/>
        </w:rPr>
        <w:t xml:space="preserve"> bevorderen het beginsel van </w:t>
      </w:r>
      <w:proofErr w:type="spellStart"/>
      <w:r w:rsidR="00C71AC2" w:rsidRPr="00C71AC2">
        <w:rPr>
          <w:rFonts w:ascii="Verdana" w:hAnsi="Verdana"/>
          <w:i/>
          <w:sz w:val="18"/>
          <w:szCs w:val="18"/>
        </w:rPr>
        <w:t>equality</w:t>
      </w:r>
      <w:proofErr w:type="spellEnd"/>
      <w:r w:rsidR="00C71AC2" w:rsidRPr="00C71AC2">
        <w:rPr>
          <w:rFonts w:ascii="Verdana" w:hAnsi="Verdana"/>
          <w:i/>
          <w:sz w:val="18"/>
          <w:szCs w:val="18"/>
        </w:rPr>
        <w:t xml:space="preserve"> of arms</w:t>
      </w:r>
      <w:r w:rsidR="00ED3692" w:rsidRPr="007847CB">
        <w:rPr>
          <w:rFonts w:ascii="Verdana" w:hAnsi="Verdana"/>
          <w:sz w:val="18"/>
          <w:szCs w:val="18"/>
        </w:rPr>
        <w:t xml:space="preserve">, op grond waarvan voor een eerlijk proces een billijk evenwicht tussen de procespartijen is vereist. </w:t>
      </w:r>
      <w:r w:rsidR="009C6A3A">
        <w:rPr>
          <w:rFonts w:ascii="Verdana" w:hAnsi="Verdana"/>
          <w:sz w:val="18"/>
          <w:szCs w:val="18"/>
        </w:rPr>
        <w:t>Daarnaast bevat de EU richtlijn minimumnormen slachtoffers</w:t>
      </w:r>
      <w:r w:rsidR="009C6A3A">
        <w:rPr>
          <w:rStyle w:val="Voetnootmarkering"/>
          <w:rFonts w:ascii="Verdana" w:hAnsi="Verdana"/>
          <w:sz w:val="18"/>
          <w:szCs w:val="18"/>
        </w:rPr>
        <w:footnoteReference w:id="103"/>
      </w:r>
      <w:r w:rsidR="009C6A3A">
        <w:rPr>
          <w:rFonts w:ascii="Verdana" w:hAnsi="Verdana"/>
          <w:sz w:val="18"/>
          <w:szCs w:val="18"/>
        </w:rPr>
        <w:t xml:space="preserve"> specifieke normen over de deelname van slachtoffers van strafbare feiten aan de strafprocedure. Met de richtlijn wordt beoogd in de EU een minimumniveau aan rechten, ondersteuning en bescherming van slachtoffers van strafbare feiten te garanderen.</w:t>
      </w:r>
      <w:r w:rsidR="006339DC">
        <w:rPr>
          <w:rFonts w:ascii="Verdana" w:hAnsi="Verdana"/>
          <w:sz w:val="18"/>
          <w:szCs w:val="18"/>
        </w:rPr>
        <w:t xml:space="preserve"> </w:t>
      </w:r>
      <w:r w:rsidR="00640819">
        <w:rPr>
          <w:rFonts w:ascii="Verdana" w:hAnsi="Verdana"/>
          <w:sz w:val="18"/>
          <w:szCs w:val="18"/>
        </w:rPr>
        <w:t xml:space="preserve">Bepalingen uit deze richtlijnen mogen evenmin worden opgevat als een beperking of afwijking van de rechten en procedurele waarborgen die zijn vastgelegd in het EU-Handvest, het EVRM of andere relevante bepalingen van internationaal recht of van het recht van een lidstaat die een hoger beschermingsniveau bieden (art. 13 Richtlijn 2016/343/EU en art. 23 Richtlijn 2016/800/EU). </w:t>
      </w:r>
      <w:r w:rsidR="006339DC">
        <w:rPr>
          <w:rFonts w:ascii="Verdana" w:hAnsi="Verdana"/>
          <w:sz w:val="18"/>
          <w:szCs w:val="18"/>
        </w:rPr>
        <w:t xml:space="preserve">Ook voor deze </w:t>
      </w:r>
      <w:r w:rsidR="00AB3A56">
        <w:rPr>
          <w:rFonts w:ascii="Verdana" w:hAnsi="Verdana"/>
          <w:sz w:val="18"/>
          <w:szCs w:val="18"/>
        </w:rPr>
        <w:t xml:space="preserve">rechtsnormen op Europees niveau geldt </w:t>
      </w:r>
      <w:r w:rsidR="00640819">
        <w:rPr>
          <w:rFonts w:ascii="Verdana" w:hAnsi="Verdana"/>
          <w:sz w:val="18"/>
          <w:szCs w:val="18"/>
        </w:rPr>
        <w:t xml:space="preserve">dus </w:t>
      </w:r>
      <w:r w:rsidR="00AB3A56">
        <w:rPr>
          <w:rFonts w:ascii="Verdana" w:hAnsi="Verdana"/>
          <w:sz w:val="18"/>
          <w:szCs w:val="18"/>
        </w:rPr>
        <w:t xml:space="preserve">dat </w:t>
      </w:r>
      <w:r w:rsidR="00346968">
        <w:rPr>
          <w:rFonts w:ascii="Verdana" w:hAnsi="Verdana"/>
          <w:sz w:val="18"/>
          <w:szCs w:val="18"/>
        </w:rPr>
        <w:t>zij</w:t>
      </w:r>
      <w:r w:rsidR="00AB3A56">
        <w:rPr>
          <w:rFonts w:ascii="Verdana" w:hAnsi="Verdana"/>
          <w:sz w:val="18"/>
          <w:szCs w:val="18"/>
        </w:rPr>
        <w:t xml:space="preserve"> een minimumstandaard vestigen.</w:t>
      </w:r>
      <w:r w:rsidR="00793C78">
        <w:rPr>
          <w:rFonts w:ascii="Verdana" w:hAnsi="Verdana"/>
          <w:sz w:val="18"/>
          <w:szCs w:val="18"/>
        </w:rPr>
        <w:t xml:space="preserve"> Deze </w:t>
      </w:r>
      <w:r w:rsidR="006339DC">
        <w:rPr>
          <w:rFonts w:ascii="Verdana" w:hAnsi="Verdana"/>
          <w:sz w:val="18"/>
          <w:szCs w:val="18"/>
        </w:rPr>
        <w:t xml:space="preserve">specifieke normen </w:t>
      </w:r>
      <w:r w:rsidR="00640819">
        <w:rPr>
          <w:rFonts w:ascii="Verdana" w:hAnsi="Verdana"/>
          <w:sz w:val="18"/>
          <w:szCs w:val="18"/>
        </w:rPr>
        <w:t xml:space="preserve">in het strafproces </w:t>
      </w:r>
      <w:r w:rsidR="006339DC">
        <w:rPr>
          <w:rFonts w:ascii="Verdana" w:hAnsi="Verdana"/>
          <w:sz w:val="18"/>
          <w:szCs w:val="18"/>
        </w:rPr>
        <w:t>-</w:t>
      </w:r>
      <w:r w:rsidR="00793C78">
        <w:rPr>
          <w:rFonts w:ascii="Verdana" w:hAnsi="Verdana"/>
          <w:sz w:val="18"/>
          <w:szCs w:val="18"/>
        </w:rPr>
        <w:t xml:space="preserve"> worden voor </w:t>
      </w:r>
      <w:r w:rsidR="00346968">
        <w:rPr>
          <w:rFonts w:ascii="Verdana" w:hAnsi="Verdana"/>
          <w:sz w:val="18"/>
          <w:szCs w:val="18"/>
        </w:rPr>
        <w:t>zover zij</w:t>
      </w:r>
      <w:r w:rsidR="00793C78">
        <w:rPr>
          <w:rFonts w:ascii="Verdana" w:hAnsi="Verdana"/>
          <w:sz w:val="18"/>
          <w:szCs w:val="18"/>
        </w:rPr>
        <w:t xml:space="preserve"> implementatie vergen </w:t>
      </w:r>
      <w:r w:rsidR="006339DC">
        <w:rPr>
          <w:rFonts w:ascii="Verdana" w:hAnsi="Verdana"/>
          <w:sz w:val="18"/>
          <w:szCs w:val="18"/>
        </w:rPr>
        <w:t xml:space="preserve">- in de </w:t>
      </w:r>
      <w:r w:rsidR="00E1733A">
        <w:rPr>
          <w:rFonts w:ascii="Verdana" w:hAnsi="Verdana"/>
          <w:sz w:val="18"/>
          <w:szCs w:val="18"/>
        </w:rPr>
        <w:t xml:space="preserve">Nederlandse </w:t>
      </w:r>
      <w:r w:rsidR="006339DC">
        <w:rPr>
          <w:rFonts w:ascii="Verdana" w:hAnsi="Verdana"/>
          <w:sz w:val="18"/>
          <w:szCs w:val="18"/>
        </w:rPr>
        <w:t>straf</w:t>
      </w:r>
      <w:r w:rsidR="00793C78">
        <w:rPr>
          <w:rFonts w:ascii="Verdana" w:hAnsi="Verdana"/>
          <w:sz w:val="18"/>
          <w:szCs w:val="18"/>
        </w:rPr>
        <w:t>wetgeving opgenomen.</w:t>
      </w:r>
      <w:r w:rsidR="00640819">
        <w:rPr>
          <w:rFonts w:ascii="Verdana" w:hAnsi="Verdana"/>
          <w:sz w:val="18"/>
          <w:szCs w:val="18"/>
        </w:rPr>
        <w:t xml:space="preserve"> </w:t>
      </w:r>
    </w:p>
    <w:p w:rsidR="00020290" w:rsidRDefault="00020290" w:rsidP="00480B6F">
      <w:pPr>
        <w:rPr>
          <w:rFonts w:ascii="Verdana" w:hAnsi="Verdana"/>
          <w:b/>
          <w:sz w:val="18"/>
          <w:szCs w:val="18"/>
        </w:rPr>
      </w:pPr>
    </w:p>
    <w:p w:rsidR="009D6BC5" w:rsidRDefault="00BA7D64" w:rsidP="00480B6F">
      <w:pPr>
        <w:rPr>
          <w:rFonts w:ascii="Verdana" w:hAnsi="Verdana"/>
          <w:b/>
          <w:sz w:val="18"/>
          <w:szCs w:val="18"/>
        </w:rPr>
      </w:pPr>
      <w:r>
        <w:rPr>
          <w:rFonts w:ascii="Verdana" w:hAnsi="Verdana"/>
          <w:b/>
          <w:sz w:val="18"/>
          <w:szCs w:val="18"/>
        </w:rPr>
        <w:t>9</w:t>
      </w:r>
      <w:r w:rsidR="004C682C">
        <w:rPr>
          <w:rFonts w:ascii="Verdana" w:hAnsi="Verdana"/>
          <w:b/>
          <w:sz w:val="18"/>
          <w:szCs w:val="18"/>
        </w:rPr>
        <w:t xml:space="preserve">. </w:t>
      </w:r>
      <w:r w:rsidR="00C82101">
        <w:rPr>
          <w:rFonts w:ascii="Verdana" w:hAnsi="Verdana"/>
          <w:b/>
          <w:sz w:val="18"/>
          <w:szCs w:val="18"/>
        </w:rPr>
        <w:tab/>
      </w:r>
      <w:r w:rsidR="00CB1909">
        <w:rPr>
          <w:rFonts w:ascii="Verdana" w:hAnsi="Verdana"/>
          <w:b/>
          <w:sz w:val="18"/>
          <w:szCs w:val="18"/>
        </w:rPr>
        <w:t>Administratieve</w:t>
      </w:r>
      <w:r w:rsidR="00190A77">
        <w:rPr>
          <w:rFonts w:ascii="Verdana" w:hAnsi="Verdana"/>
          <w:b/>
          <w:sz w:val="18"/>
          <w:szCs w:val="18"/>
        </w:rPr>
        <w:t xml:space="preserve"> lasten</w:t>
      </w:r>
    </w:p>
    <w:p w:rsidR="00B53CB8" w:rsidRDefault="003949C5" w:rsidP="00480B6F">
      <w:pPr>
        <w:rPr>
          <w:rFonts w:ascii="Verdana" w:hAnsi="Verdana"/>
          <w:b/>
          <w:sz w:val="18"/>
          <w:szCs w:val="18"/>
        </w:rPr>
      </w:pPr>
      <w:r>
        <w:rPr>
          <w:rFonts w:ascii="Verdana" w:hAnsi="Verdana"/>
          <w:color w:val="000000"/>
          <w:sz w:val="18"/>
          <w:szCs w:val="18"/>
        </w:rPr>
        <w:t>Uit dit wetsvoorstel tot wijziging van</w:t>
      </w:r>
      <w:r w:rsidR="00EE4FA5">
        <w:rPr>
          <w:rFonts w:ascii="Verdana" w:hAnsi="Verdana"/>
          <w:color w:val="000000"/>
          <w:sz w:val="18"/>
          <w:szCs w:val="18"/>
        </w:rPr>
        <w:t xml:space="preserve"> </w:t>
      </w:r>
      <w:r>
        <w:rPr>
          <w:rFonts w:ascii="Verdana" w:hAnsi="Verdana"/>
          <w:color w:val="000000"/>
          <w:sz w:val="18"/>
          <w:szCs w:val="18"/>
        </w:rPr>
        <w:t>artikel 17 van de Grondwet vloeien geen administr</w:t>
      </w:r>
      <w:r w:rsidR="008E2D4C">
        <w:rPr>
          <w:rFonts w:ascii="Verdana" w:hAnsi="Verdana"/>
          <w:color w:val="000000"/>
          <w:sz w:val="18"/>
          <w:szCs w:val="18"/>
        </w:rPr>
        <w:t>atieve lasten voort</w:t>
      </w:r>
      <w:r w:rsidR="00190A77">
        <w:rPr>
          <w:rFonts w:ascii="Verdana" w:hAnsi="Verdana"/>
          <w:color w:val="000000"/>
          <w:sz w:val="18"/>
          <w:szCs w:val="18"/>
        </w:rPr>
        <w:t xml:space="preserve"> voor burgers en bedrijven</w:t>
      </w:r>
      <w:r w:rsidR="008E2D4C">
        <w:rPr>
          <w:rFonts w:ascii="Verdana" w:hAnsi="Verdana"/>
          <w:color w:val="000000"/>
          <w:sz w:val="18"/>
          <w:szCs w:val="18"/>
        </w:rPr>
        <w:t>.</w:t>
      </w:r>
      <w:r>
        <w:rPr>
          <w:rFonts w:ascii="Verdana" w:hAnsi="Verdana"/>
          <w:color w:val="000000"/>
          <w:sz w:val="18"/>
          <w:szCs w:val="18"/>
        </w:rPr>
        <w:t xml:space="preserve"> </w:t>
      </w:r>
    </w:p>
    <w:p w:rsidR="00A872FD" w:rsidRDefault="00A872FD" w:rsidP="00480B6F">
      <w:pPr>
        <w:rPr>
          <w:rFonts w:ascii="Verdana" w:hAnsi="Verdana"/>
          <w:b/>
          <w:sz w:val="18"/>
          <w:szCs w:val="18"/>
        </w:rPr>
      </w:pPr>
    </w:p>
    <w:p w:rsidR="009D6BC5" w:rsidRPr="0096780C" w:rsidRDefault="00B70BC4" w:rsidP="00480B6F">
      <w:pPr>
        <w:rPr>
          <w:rFonts w:ascii="Verdana" w:hAnsi="Verdana"/>
          <w:b/>
          <w:sz w:val="18"/>
          <w:szCs w:val="18"/>
        </w:rPr>
      </w:pPr>
      <w:r w:rsidRPr="00B70BC4">
        <w:rPr>
          <w:rFonts w:ascii="Verdana" w:hAnsi="Verdana"/>
          <w:b/>
          <w:sz w:val="18"/>
          <w:szCs w:val="18"/>
        </w:rPr>
        <w:t xml:space="preserve">II. </w:t>
      </w:r>
      <w:r w:rsidRPr="00B70BC4">
        <w:rPr>
          <w:rFonts w:ascii="Verdana" w:hAnsi="Verdana"/>
          <w:b/>
          <w:sz w:val="18"/>
          <w:szCs w:val="18"/>
        </w:rPr>
        <w:tab/>
        <w:t>ARTIKELSGEWIJZE TOELICHTING</w:t>
      </w:r>
    </w:p>
    <w:p w:rsidR="006A6FD7" w:rsidRDefault="006A6FD7" w:rsidP="00C70B84">
      <w:pPr>
        <w:spacing w:line="280" w:lineRule="atLeast"/>
        <w:rPr>
          <w:rFonts w:ascii="Verdana" w:hAnsi="Verdana"/>
          <w:i/>
          <w:sz w:val="18"/>
          <w:szCs w:val="18"/>
        </w:rPr>
      </w:pPr>
      <w:r>
        <w:rPr>
          <w:rFonts w:ascii="Verdana" w:hAnsi="Verdana"/>
          <w:i/>
          <w:sz w:val="18"/>
          <w:szCs w:val="18"/>
        </w:rPr>
        <w:t>Artikel II</w:t>
      </w:r>
    </w:p>
    <w:p w:rsidR="008176F4" w:rsidRDefault="00E1384D" w:rsidP="00855F95">
      <w:pPr>
        <w:spacing w:line="280" w:lineRule="atLeast"/>
        <w:rPr>
          <w:rFonts w:ascii="Verdana" w:hAnsi="Verdana"/>
          <w:sz w:val="18"/>
          <w:szCs w:val="18"/>
        </w:rPr>
      </w:pPr>
      <w:r>
        <w:rPr>
          <w:rFonts w:ascii="Verdana" w:hAnsi="Verdana"/>
          <w:sz w:val="18"/>
          <w:szCs w:val="18"/>
        </w:rPr>
        <w:t>In artikel II is</w:t>
      </w:r>
      <w:r w:rsidR="00377E39">
        <w:rPr>
          <w:rFonts w:ascii="Verdana" w:hAnsi="Verdana"/>
          <w:sz w:val="18"/>
          <w:szCs w:val="18"/>
        </w:rPr>
        <w:t xml:space="preserve"> in aansluiting op het huidige artikel 17 </w:t>
      </w:r>
      <w:r w:rsidR="00855F95">
        <w:rPr>
          <w:rFonts w:ascii="Verdana" w:hAnsi="Verdana"/>
          <w:sz w:val="18"/>
          <w:szCs w:val="18"/>
        </w:rPr>
        <w:t xml:space="preserve">vanuit een oogpunt van consistente grondwetsterminologie </w:t>
      </w:r>
      <w:r>
        <w:rPr>
          <w:rFonts w:ascii="Verdana" w:hAnsi="Verdana"/>
          <w:sz w:val="18"/>
          <w:szCs w:val="18"/>
        </w:rPr>
        <w:t xml:space="preserve">gekozen voor het gebruik van de term ‘rechter’. </w:t>
      </w:r>
      <w:r w:rsidR="008361D2">
        <w:rPr>
          <w:rFonts w:ascii="Verdana" w:hAnsi="Verdana"/>
          <w:sz w:val="18"/>
          <w:szCs w:val="18"/>
        </w:rPr>
        <w:t xml:space="preserve">Ook de staatscommissie koos </w:t>
      </w:r>
      <w:r w:rsidR="00855F95">
        <w:rPr>
          <w:rFonts w:ascii="Verdana" w:hAnsi="Verdana"/>
          <w:sz w:val="18"/>
          <w:szCs w:val="18"/>
        </w:rPr>
        <w:t xml:space="preserve">in beide tekstvoorstellen </w:t>
      </w:r>
      <w:r w:rsidR="008361D2">
        <w:rPr>
          <w:rFonts w:ascii="Verdana" w:hAnsi="Verdana"/>
          <w:sz w:val="18"/>
          <w:szCs w:val="18"/>
        </w:rPr>
        <w:t xml:space="preserve">voor </w:t>
      </w:r>
      <w:r w:rsidR="00F7634B">
        <w:rPr>
          <w:rFonts w:ascii="Verdana" w:hAnsi="Verdana"/>
          <w:sz w:val="18"/>
          <w:szCs w:val="18"/>
        </w:rPr>
        <w:t>‘</w:t>
      </w:r>
      <w:r w:rsidR="008361D2">
        <w:rPr>
          <w:rFonts w:ascii="Verdana" w:hAnsi="Verdana"/>
          <w:sz w:val="18"/>
          <w:szCs w:val="18"/>
        </w:rPr>
        <w:t>het begrip rechter</w:t>
      </w:r>
      <w:r w:rsidR="00F7634B">
        <w:rPr>
          <w:rFonts w:ascii="Verdana" w:hAnsi="Verdana"/>
          <w:sz w:val="18"/>
          <w:szCs w:val="18"/>
        </w:rPr>
        <w:t>’</w:t>
      </w:r>
      <w:r w:rsidR="008361D2">
        <w:rPr>
          <w:rFonts w:ascii="Verdana" w:hAnsi="Verdana"/>
          <w:sz w:val="18"/>
          <w:szCs w:val="18"/>
        </w:rPr>
        <w:t xml:space="preserve">, dat eveneens is terug te vinden in de artikelen 13 en 15 Grondwet. </w:t>
      </w:r>
      <w:r w:rsidR="007A0BBA">
        <w:rPr>
          <w:rFonts w:ascii="Verdana" w:hAnsi="Verdana"/>
          <w:sz w:val="18"/>
          <w:szCs w:val="18"/>
        </w:rPr>
        <w:t xml:space="preserve">Duidelijk </w:t>
      </w:r>
      <w:r w:rsidR="00F7634B">
        <w:rPr>
          <w:rFonts w:ascii="Verdana" w:hAnsi="Verdana"/>
          <w:sz w:val="18"/>
          <w:szCs w:val="18"/>
        </w:rPr>
        <w:t xml:space="preserve">moet zijn </w:t>
      </w:r>
      <w:r w:rsidR="007A0BBA">
        <w:rPr>
          <w:rFonts w:ascii="Verdana" w:hAnsi="Verdana"/>
          <w:sz w:val="18"/>
          <w:szCs w:val="18"/>
        </w:rPr>
        <w:t>v</w:t>
      </w:r>
      <w:r w:rsidR="00855F95">
        <w:rPr>
          <w:rFonts w:ascii="Verdana" w:hAnsi="Verdana"/>
          <w:sz w:val="18"/>
          <w:szCs w:val="18"/>
        </w:rPr>
        <w:t xml:space="preserve">oor welke </w:t>
      </w:r>
      <w:r w:rsidR="00855F95" w:rsidRPr="007A0BBA">
        <w:rPr>
          <w:rFonts w:ascii="Verdana" w:hAnsi="Verdana"/>
          <w:sz w:val="18"/>
          <w:szCs w:val="18"/>
        </w:rPr>
        <w:t>rechters en gerechten</w:t>
      </w:r>
      <w:r w:rsidR="00855F95">
        <w:rPr>
          <w:rFonts w:ascii="Verdana" w:hAnsi="Verdana"/>
          <w:sz w:val="18"/>
          <w:szCs w:val="18"/>
        </w:rPr>
        <w:t xml:space="preserve"> het recht op een eerlijk proces</w:t>
      </w:r>
      <w:r w:rsidR="007A0BBA">
        <w:rPr>
          <w:rFonts w:ascii="Verdana" w:hAnsi="Verdana"/>
          <w:sz w:val="18"/>
          <w:szCs w:val="18"/>
        </w:rPr>
        <w:t xml:space="preserve"> geldt.</w:t>
      </w:r>
      <w:r w:rsidR="00855F95">
        <w:rPr>
          <w:rFonts w:ascii="Verdana" w:hAnsi="Verdana"/>
          <w:sz w:val="18"/>
          <w:szCs w:val="18"/>
        </w:rPr>
        <w:t xml:space="preserve"> </w:t>
      </w:r>
    </w:p>
    <w:p w:rsidR="00855F95" w:rsidRPr="00C06230" w:rsidRDefault="00E11FF2" w:rsidP="00855F95">
      <w:pPr>
        <w:spacing w:line="280" w:lineRule="atLeast"/>
        <w:rPr>
          <w:rFonts w:ascii="Verdana" w:hAnsi="Verdana"/>
          <w:sz w:val="18"/>
          <w:szCs w:val="18"/>
        </w:rPr>
      </w:pPr>
      <w:r>
        <w:rPr>
          <w:rFonts w:ascii="Verdana" w:hAnsi="Verdana"/>
          <w:sz w:val="18"/>
          <w:szCs w:val="18"/>
        </w:rPr>
        <w:t>Het begrip ‘rechter’ is niet gedefinieerd in de Grondwet</w:t>
      </w:r>
      <w:r w:rsidR="008176F4">
        <w:rPr>
          <w:rFonts w:ascii="Verdana" w:hAnsi="Verdana"/>
          <w:sz w:val="18"/>
          <w:szCs w:val="18"/>
        </w:rPr>
        <w:t xml:space="preserve"> en evenmin</w:t>
      </w:r>
      <w:r w:rsidR="008361D2">
        <w:rPr>
          <w:rFonts w:ascii="Verdana" w:hAnsi="Verdana"/>
          <w:sz w:val="18"/>
          <w:szCs w:val="18"/>
        </w:rPr>
        <w:t xml:space="preserve"> zijn </w:t>
      </w:r>
      <w:r w:rsidR="008176F4">
        <w:rPr>
          <w:rFonts w:ascii="Verdana" w:hAnsi="Verdana"/>
          <w:sz w:val="18"/>
          <w:szCs w:val="18"/>
        </w:rPr>
        <w:t>daarover</w:t>
      </w:r>
      <w:r w:rsidR="008361D2">
        <w:rPr>
          <w:rFonts w:ascii="Verdana" w:hAnsi="Verdana"/>
          <w:sz w:val="18"/>
          <w:szCs w:val="18"/>
        </w:rPr>
        <w:t xml:space="preserve"> beschouwingen gehouden tijdens de parlementaire behandeling van de grondwetsherziening van 1983. </w:t>
      </w:r>
      <w:r>
        <w:rPr>
          <w:rFonts w:ascii="Verdana" w:hAnsi="Verdana"/>
          <w:sz w:val="18"/>
          <w:szCs w:val="18"/>
        </w:rPr>
        <w:t xml:space="preserve">In de </w:t>
      </w:r>
      <w:r>
        <w:rPr>
          <w:rFonts w:ascii="Verdana" w:hAnsi="Verdana"/>
          <w:sz w:val="18"/>
          <w:szCs w:val="18"/>
        </w:rPr>
        <w:lastRenderedPageBreak/>
        <w:t>literatuu</w:t>
      </w:r>
      <w:r w:rsidR="008176F4">
        <w:rPr>
          <w:rFonts w:ascii="Verdana" w:hAnsi="Verdana"/>
          <w:sz w:val="18"/>
          <w:szCs w:val="18"/>
        </w:rPr>
        <w:t>r over de Grondwet is</w:t>
      </w:r>
      <w:r>
        <w:rPr>
          <w:rFonts w:ascii="Verdana" w:hAnsi="Verdana"/>
          <w:sz w:val="18"/>
          <w:szCs w:val="18"/>
        </w:rPr>
        <w:t xml:space="preserve"> aangenomen dat het begrip ‘rechter’ in elk geva</w:t>
      </w:r>
      <w:r w:rsidR="008176F4">
        <w:rPr>
          <w:rFonts w:ascii="Verdana" w:hAnsi="Verdana"/>
          <w:sz w:val="18"/>
          <w:szCs w:val="18"/>
        </w:rPr>
        <w:t xml:space="preserve">l de betekenis heeft van een </w:t>
      </w:r>
      <w:r>
        <w:rPr>
          <w:rFonts w:ascii="Verdana" w:hAnsi="Verdana"/>
          <w:sz w:val="18"/>
          <w:szCs w:val="18"/>
        </w:rPr>
        <w:t>van het openbaar bestuur onafhankelijke instantie.</w:t>
      </w:r>
      <w:r>
        <w:rPr>
          <w:rStyle w:val="Voetnootmarkering"/>
          <w:rFonts w:ascii="Verdana" w:hAnsi="Verdana"/>
          <w:sz w:val="18"/>
          <w:szCs w:val="18"/>
        </w:rPr>
        <w:footnoteReference w:id="104"/>
      </w:r>
      <w:r>
        <w:rPr>
          <w:rFonts w:ascii="Verdana" w:hAnsi="Verdana"/>
          <w:sz w:val="18"/>
          <w:szCs w:val="18"/>
        </w:rPr>
        <w:t xml:space="preserve"> </w:t>
      </w:r>
      <w:r w:rsidR="008361D2">
        <w:rPr>
          <w:rFonts w:ascii="Verdana" w:hAnsi="Verdana"/>
          <w:sz w:val="18"/>
          <w:szCs w:val="18"/>
        </w:rPr>
        <w:t>Duidelijk is dat het begrip ook kan zien op rechters bij gerechten die niet tot de rechterlijke macht behoren.</w:t>
      </w:r>
      <w:r w:rsidR="008361D2">
        <w:rPr>
          <w:rStyle w:val="Voetnootmarkering"/>
          <w:rFonts w:ascii="Verdana" w:hAnsi="Verdana"/>
          <w:sz w:val="18"/>
          <w:szCs w:val="18"/>
        </w:rPr>
        <w:footnoteReference w:id="105"/>
      </w:r>
      <w:r w:rsidR="008361D2">
        <w:rPr>
          <w:rFonts w:ascii="Verdana" w:hAnsi="Verdana"/>
          <w:sz w:val="18"/>
          <w:szCs w:val="18"/>
        </w:rPr>
        <w:t xml:space="preserve"> </w:t>
      </w:r>
      <w:r w:rsidR="00EE39B9">
        <w:rPr>
          <w:rFonts w:ascii="Verdana" w:hAnsi="Verdana"/>
          <w:sz w:val="18"/>
          <w:szCs w:val="18"/>
        </w:rPr>
        <w:t xml:space="preserve">De term ‘rechter’ in artikel 17 Grondwet </w:t>
      </w:r>
      <w:r w:rsidR="008176F4">
        <w:rPr>
          <w:rFonts w:ascii="Verdana" w:hAnsi="Verdana"/>
          <w:sz w:val="18"/>
          <w:szCs w:val="18"/>
        </w:rPr>
        <w:t>moet worden gezien als</w:t>
      </w:r>
      <w:r w:rsidR="00EE39B9">
        <w:rPr>
          <w:rFonts w:ascii="Verdana" w:hAnsi="Verdana"/>
          <w:sz w:val="18"/>
          <w:szCs w:val="18"/>
        </w:rPr>
        <w:t xml:space="preserve"> een institutioneel begrip</w:t>
      </w:r>
      <w:r w:rsidR="008176F4">
        <w:rPr>
          <w:rFonts w:ascii="Verdana" w:hAnsi="Verdana"/>
          <w:sz w:val="18"/>
          <w:szCs w:val="18"/>
        </w:rPr>
        <w:t>, een begrip dat gaat over de bevoegde rechter in een rechtszaak</w:t>
      </w:r>
      <w:r w:rsidR="00F7634B">
        <w:rPr>
          <w:rFonts w:ascii="Verdana" w:hAnsi="Verdana"/>
          <w:sz w:val="18"/>
          <w:szCs w:val="18"/>
        </w:rPr>
        <w:t xml:space="preserve"> in institutionele zin</w:t>
      </w:r>
      <w:r w:rsidR="008176F4">
        <w:rPr>
          <w:rFonts w:ascii="Verdana" w:hAnsi="Verdana"/>
          <w:sz w:val="18"/>
          <w:szCs w:val="18"/>
        </w:rPr>
        <w:t>.</w:t>
      </w:r>
      <w:r w:rsidR="00EE39B9">
        <w:rPr>
          <w:rFonts w:ascii="Verdana" w:hAnsi="Verdana"/>
          <w:sz w:val="18"/>
          <w:szCs w:val="18"/>
        </w:rPr>
        <w:t xml:space="preserve"> </w:t>
      </w:r>
      <w:r w:rsidR="008176F4">
        <w:rPr>
          <w:rFonts w:ascii="Verdana" w:hAnsi="Verdana"/>
          <w:sz w:val="18"/>
          <w:szCs w:val="18"/>
        </w:rPr>
        <w:t xml:space="preserve">Dat kan een rechterlijk college betreffen, bestaande uit meerdere rechters, of een alleensprekende rechter. Eenzelfde uitleg is van toepassing op het voorgestelde eerste lid van artikel 17 Grondwet. </w:t>
      </w:r>
      <w:r w:rsidR="00855F95" w:rsidRPr="00C06230">
        <w:rPr>
          <w:rFonts w:ascii="Verdana" w:hAnsi="Verdana"/>
          <w:sz w:val="18"/>
          <w:szCs w:val="18"/>
        </w:rPr>
        <w:t xml:space="preserve">De term rechter maakt duidelijk dat het recht </w:t>
      </w:r>
      <w:r w:rsidR="00855F95">
        <w:rPr>
          <w:rFonts w:ascii="Verdana" w:hAnsi="Verdana"/>
          <w:sz w:val="18"/>
          <w:szCs w:val="18"/>
        </w:rPr>
        <w:t xml:space="preserve">op een eerlijk proces </w:t>
      </w:r>
      <w:r w:rsidR="00855F95" w:rsidRPr="00C06230">
        <w:rPr>
          <w:rFonts w:ascii="Verdana" w:hAnsi="Verdana"/>
          <w:sz w:val="18"/>
          <w:szCs w:val="18"/>
        </w:rPr>
        <w:t xml:space="preserve">geldt voor elke </w:t>
      </w:r>
      <w:r w:rsidR="007A0BBA">
        <w:rPr>
          <w:rFonts w:ascii="Verdana" w:hAnsi="Verdana"/>
          <w:sz w:val="18"/>
          <w:szCs w:val="18"/>
        </w:rPr>
        <w:t>overheids</w:t>
      </w:r>
      <w:r w:rsidR="00855F95" w:rsidRPr="00C06230">
        <w:rPr>
          <w:rFonts w:ascii="Verdana" w:hAnsi="Verdana"/>
          <w:sz w:val="18"/>
          <w:szCs w:val="18"/>
        </w:rPr>
        <w:t>rechter, dat wil zeggen voor elk persoon die, of co</w:t>
      </w:r>
      <w:r w:rsidR="00855F95">
        <w:rPr>
          <w:rFonts w:ascii="Verdana" w:hAnsi="Verdana"/>
          <w:sz w:val="18"/>
          <w:szCs w:val="18"/>
        </w:rPr>
        <w:t>lle</w:t>
      </w:r>
      <w:r w:rsidR="007A0BBA">
        <w:rPr>
          <w:rFonts w:ascii="Verdana" w:hAnsi="Verdana"/>
          <w:sz w:val="18"/>
          <w:szCs w:val="18"/>
        </w:rPr>
        <w:t xml:space="preserve">ge dat, een </w:t>
      </w:r>
      <w:r w:rsidR="00855F95">
        <w:rPr>
          <w:rFonts w:ascii="Verdana" w:hAnsi="Verdana"/>
          <w:sz w:val="18"/>
          <w:szCs w:val="18"/>
        </w:rPr>
        <w:t>rechterlijke</w:t>
      </w:r>
      <w:r w:rsidR="00855F95" w:rsidRPr="00C06230">
        <w:rPr>
          <w:rFonts w:ascii="Verdana" w:hAnsi="Verdana"/>
          <w:sz w:val="18"/>
          <w:szCs w:val="18"/>
        </w:rPr>
        <w:t xml:space="preserve"> functie vervult</w:t>
      </w:r>
      <w:r w:rsidR="007A0BBA">
        <w:rPr>
          <w:rFonts w:ascii="Verdana" w:hAnsi="Verdana"/>
          <w:sz w:val="18"/>
          <w:szCs w:val="18"/>
        </w:rPr>
        <w:t xml:space="preserve"> in een gerecht</w:t>
      </w:r>
      <w:r w:rsidR="00855F95" w:rsidRPr="00C06230">
        <w:rPr>
          <w:rFonts w:ascii="Verdana" w:hAnsi="Verdana"/>
          <w:sz w:val="18"/>
          <w:szCs w:val="18"/>
        </w:rPr>
        <w:t xml:space="preserve">. </w:t>
      </w:r>
      <w:r w:rsidR="00855F95">
        <w:rPr>
          <w:rFonts w:ascii="Verdana" w:hAnsi="Verdana"/>
          <w:sz w:val="18"/>
          <w:szCs w:val="18"/>
        </w:rPr>
        <w:t>D</w:t>
      </w:r>
      <w:r w:rsidR="00855F95" w:rsidRPr="00C06230">
        <w:rPr>
          <w:rFonts w:ascii="Verdana" w:hAnsi="Verdana"/>
          <w:sz w:val="18"/>
          <w:szCs w:val="18"/>
        </w:rPr>
        <w:t xml:space="preserve">e term rechter </w:t>
      </w:r>
      <w:r w:rsidR="00855F95">
        <w:rPr>
          <w:rFonts w:ascii="Verdana" w:hAnsi="Verdana"/>
          <w:sz w:val="18"/>
          <w:szCs w:val="18"/>
        </w:rPr>
        <w:t xml:space="preserve">in het voorgestelde artikel 17 omvat dus </w:t>
      </w:r>
      <w:r w:rsidR="00855F95" w:rsidRPr="00C06230">
        <w:rPr>
          <w:rFonts w:ascii="Verdana" w:hAnsi="Verdana"/>
          <w:sz w:val="18"/>
          <w:szCs w:val="18"/>
        </w:rPr>
        <w:t xml:space="preserve">alle gerechten die in hoofdstuk 6 </w:t>
      </w:r>
      <w:r w:rsidR="007A0BBA">
        <w:rPr>
          <w:rFonts w:ascii="Verdana" w:hAnsi="Verdana"/>
          <w:sz w:val="18"/>
          <w:szCs w:val="18"/>
        </w:rPr>
        <w:t xml:space="preserve">van de </w:t>
      </w:r>
      <w:r w:rsidR="00855F95">
        <w:rPr>
          <w:rFonts w:ascii="Verdana" w:hAnsi="Verdana"/>
          <w:sz w:val="18"/>
          <w:szCs w:val="18"/>
        </w:rPr>
        <w:t xml:space="preserve">Grondwet </w:t>
      </w:r>
      <w:r w:rsidR="00855F95" w:rsidRPr="00C06230">
        <w:rPr>
          <w:rFonts w:ascii="Verdana" w:hAnsi="Verdana"/>
          <w:sz w:val="18"/>
          <w:szCs w:val="18"/>
        </w:rPr>
        <w:t>worden geno</w:t>
      </w:r>
      <w:r w:rsidR="00855F95">
        <w:rPr>
          <w:rFonts w:ascii="Verdana" w:hAnsi="Verdana"/>
          <w:sz w:val="18"/>
          <w:szCs w:val="18"/>
        </w:rPr>
        <w:t>emd, alsmede tuchtrechtelijke colleges die van overheidswege zijn ingesteld (zie ook paragraaf 5.2 van het algemene deel van de memorie van toelichting)</w:t>
      </w:r>
      <w:r w:rsidR="00855F95" w:rsidRPr="00C06230">
        <w:rPr>
          <w:rFonts w:ascii="Verdana" w:hAnsi="Verdana"/>
          <w:sz w:val="18"/>
          <w:szCs w:val="18"/>
        </w:rPr>
        <w:t>.</w:t>
      </w:r>
    </w:p>
    <w:p w:rsidR="000000C2" w:rsidRPr="000C1AE7" w:rsidRDefault="000000C2" w:rsidP="000C1AE7">
      <w:pPr>
        <w:pStyle w:val="Geenafstand"/>
        <w:rPr>
          <w:rFonts w:ascii="Verdana" w:hAnsi="Verdana"/>
          <w:sz w:val="18"/>
          <w:szCs w:val="18"/>
        </w:rPr>
      </w:pPr>
    </w:p>
    <w:p w:rsidR="000000C2" w:rsidRDefault="000000C2" w:rsidP="000C1AE7">
      <w:pPr>
        <w:pStyle w:val="Geenafstand"/>
        <w:rPr>
          <w:rFonts w:ascii="Verdana" w:hAnsi="Verdana" w:cs="KJJFG H+ Univers"/>
          <w:color w:val="000000"/>
          <w:sz w:val="18"/>
          <w:szCs w:val="18"/>
        </w:rPr>
      </w:pPr>
      <w:r w:rsidRPr="000C1AE7">
        <w:rPr>
          <w:rFonts w:ascii="Verdana" w:hAnsi="Verdana" w:cs="KJJFG H+ Univers"/>
          <w:color w:val="000000"/>
          <w:sz w:val="18"/>
          <w:szCs w:val="18"/>
        </w:rPr>
        <w:t>De Minister-President, Minister van Algemene Zaken,</w:t>
      </w:r>
    </w:p>
    <w:p w:rsidR="000C1AE7" w:rsidRDefault="000C1AE7" w:rsidP="000C1AE7">
      <w:pPr>
        <w:pStyle w:val="Geenafstand"/>
        <w:rPr>
          <w:rFonts w:ascii="Verdana" w:hAnsi="Verdana" w:cs="KJJFG H+ Univers"/>
          <w:color w:val="000000"/>
          <w:sz w:val="18"/>
          <w:szCs w:val="18"/>
        </w:rPr>
      </w:pPr>
    </w:p>
    <w:p w:rsidR="000C1AE7" w:rsidRDefault="000C1AE7" w:rsidP="000C1AE7">
      <w:pPr>
        <w:pStyle w:val="Geenafstand"/>
        <w:rPr>
          <w:rFonts w:ascii="Verdana" w:hAnsi="Verdana" w:cs="KJJFG H+ Univers"/>
          <w:color w:val="000000"/>
          <w:sz w:val="18"/>
          <w:szCs w:val="18"/>
        </w:rPr>
      </w:pPr>
    </w:p>
    <w:p w:rsidR="000C1AE7" w:rsidRDefault="000C1AE7" w:rsidP="000C1AE7">
      <w:pPr>
        <w:pStyle w:val="Geenafstand"/>
        <w:rPr>
          <w:rFonts w:ascii="Verdana" w:hAnsi="Verdana" w:cs="KJJFG H+ Univers"/>
          <w:color w:val="000000"/>
          <w:sz w:val="18"/>
          <w:szCs w:val="18"/>
        </w:rPr>
      </w:pPr>
    </w:p>
    <w:p w:rsidR="000C1AE7" w:rsidRDefault="000C1AE7" w:rsidP="000C1AE7">
      <w:pPr>
        <w:pStyle w:val="Geenafstand"/>
        <w:rPr>
          <w:rFonts w:ascii="Verdana" w:hAnsi="Verdana" w:cs="KJJFG H+ Univers"/>
          <w:color w:val="000000"/>
          <w:sz w:val="18"/>
          <w:szCs w:val="18"/>
        </w:rPr>
      </w:pPr>
    </w:p>
    <w:p w:rsidR="000C1AE7" w:rsidRDefault="000C1AE7" w:rsidP="000C1AE7">
      <w:pPr>
        <w:pStyle w:val="Geenafstand"/>
        <w:rPr>
          <w:rFonts w:ascii="Verdana" w:hAnsi="Verdana" w:cs="KJJFG H+ Univers"/>
          <w:color w:val="000000"/>
          <w:sz w:val="18"/>
          <w:szCs w:val="18"/>
        </w:rPr>
      </w:pPr>
    </w:p>
    <w:p w:rsidR="000C1AE7" w:rsidRPr="000C1AE7" w:rsidRDefault="000C1AE7" w:rsidP="000C1AE7">
      <w:pPr>
        <w:pStyle w:val="Geenafstand"/>
        <w:rPr>
          <w:rFonts w:ascii="Verdana" w:hAnsi="Verdana" w:cs="KJJFG H+ Univers"/>
          <w:color w:val="000000"/>
          <w:sz w:val="18"/>
          <w:szCs w:val="18"/>
        </w:rPr>
      </w:pPr>
      <w:r>
        <w:rPr>
          <w:rFonts w:ascii="Verdana" w:hAnsi="Verdana" w:cs="KJJFG H+ Univers"/>
          <w:color w:val="000000"/>
          <w:sz w:val="18"/>
          <w:szCs w:val="18"/>
        </w:rPr>
        <w:t>Drs. M. Rutte</w:t>
      </w:r>
    </w:p>
    <w:p w:rsidR="000000C2" w:rsidRPr="000C1AE7" w:rsidRDefault="000000C2" w:rsidP="000C1AE7">
      <w:pPr>
        <w:pStyle w:val="Geenafstand"/>
        <w:rPr>
          <w:rFonts w:ascii="Verdana" w:hAnsi="Verdana" w:cs="KJJFG H+ Univers"/>
          <w:sz w:val="18"/>
          <w:szCs w:val="18"/>
        </w:rPr>
      </w:pPr>
    </w:p>
    <w:p w:rsidR="000000C2" w:rsidRPr="000C1AE7" w:rsidRDefault="000000C2" w:rsidP="000C1AE7">
      <w:pPr>
        <w:pStyle w:val="Geenafstand"/>
        <w:rPr>
          <w:rFonts w:ascii="Verdana" w:hAnsi="Verdana" w:cs="KJJFG H+ Univers"/>
          <w:color w:val="000000"/>
          <w:sz w:val="18"/>
          <w:szCs w:val="18"/>
        </w:rPr>
      </w:pPr>
    </w:p>
    <w:p w:rsidR="000000C2" w:rsidRDefault="000000C2" w:rsidP="000C1AE7">
      <w:pPr>
        <w:pStyle w:val="Geenafstand"/>
        <w:rPr>
          <w:rFonts w:ascii="Verdana" w:hAnsi="Verdana" w:cs="KJJFG H+ Univers"/>
          <w:color w:val="000000"/>
          <w:sz w:val="18"/>
          <w:szCs w:val="18"/>
        </w:rPr>
      </w:pPr>
    </w:p>
    <w:p w:rsidR="000C1AE7" w:rsidRDefault="000C1AE7" w:rsidP="000C1AE7">
      <w:pPr>
        <w:pStyle w:val="Geenafstand"/>
        <w:rPr>
          <w:rFonts w:ascii="Verdana" w:hAnsi="Verdana" w:cs="KJJFG H+ Univers"/>
          <w:color w:val="000000"/>
          <w:sz w:val="18"/>
          <w:szCs w:val="18"/>
        </w:rPr>
      </w:pPr>
    </w:p>
    <w:p w:rsidR="000C1AE7" w:rsidRPr="000C1AE7" w:rsidRDefault="000C1AE7" w:rsidP="000C1AE7">
      <w:pPr>
        <w:pStyle w:val="Geenafstand"/>
        <w:rPr>
          <w:rFonts w:ascii="Verdana" w:hAnsi="Verdana" w:cs="KJJFG H+ Univers"/>
          <w:color w:val="000000"/>
          <w:sz w:val="18"/>
          <w:szCs w:val="18"/>
        </w:rPr>
      </w:pPr>
    </w:p>
    <w:p w:rsidR="000000C2" w:rsidRPr="000C1AE7" w:rsidRDefault="000000C2" w:rsidP="000C1AE7">
      <w:pPr>
        <w:pStyle w:val="Geenafstand"/>
        <w:rPr>
          <w:rFonts w:ascii="Verdana" w:hAnsi="Verdana" w:cs="KJJFG H+ Univers"/>
          <w:color w:val="000000"/>
          <w:sz w:val="18"/>
          <w:szCs w:val="18"/>
        </w:rPr>
      </w:pPr>
      <w:r w:rsidRPr="000C1AE7">
        <w:rPr>
          <w:rFonts w:ascii="Verdana" w:hAnsi="Verdana" w:cs="KJJFG H+ Univers"/>
          <w:color w:val="000000"/>
          <w:sz w:val="18"/>
          <w:szCs w:val="18"/>
        </w:rPr>
        <w:t xml:space="preserve">De Minister van Binnenlandse Zaken en Koninkrijksrelaties, </w:t>
      </w:r>
    </w:p>
    <w:p w:rsidR="000C1AE7" w:rsidRPr="000C1AE7" w:rsidRDefault="000C1AE7" w:rsidP="000C1AE7">
      <w:pPr>
        <w:pStyle w:val="Geenafstand"/>
        <w:rPr>
          <w:rFonts w:ascii="Verdana" w:hAnsi="Verdana" w:cs="KJJFG H+ Univers"/>
          <w:color w:val="000000"/>
          <w:sz w:val="18"/>
          <w:szCs w:val="18"/>
        </w:rPr>
      </w:pPr>
    </w:p>
    <w:p w:rsidR="000C1AE7" w:rsidRPr="000C1AE7" w:rsidRDefault="000C1AE7" w:rsidP="000C1AE7">
      <w:pPr>
        <w:pStyle w:val="Geenafstand"/>
        <w:rPr>
          <w:rFonts w:ascii="Verdana" w:hAnsi="Verdana" w:cs="KJJFG H+ Univers"/>
          <w:color w:val="000000"/>
          <w:sz w:val="18"/>
          <w:szCs w:val="18"/>
        </w:rPr>
      </w:pPr>
    </w:p>
    <w:p w:rsidR="000C1AE7" w:rsidRPr="000C1AE7" w:rsidRDefault="000C1AE7" w:rsidP="000C1AE7">
      <w:pPr>
        <w:pStyle w:val="Geenafstand"/>
        <w:rPr>
          <w:rFonts w:ascii="Verdana" w:hAnsi="Verdana" w:cs="KJJFG H+ Univers"/>
          <w:color w:val="000000"/>
          <w:sz w:val="18"/>
          <w:szCs w:val="18"/>
        </w:rPr>
      </w:pPr>
    </w:p>
    <w:p w:rsidR="000C1AE7" w:rsidRDefault="000C1AE7" w:rsidP="000C1AE7">
      <w:pPr>
        <w:pStyle w:val="Geenafstand"/>
        <w:rPr>
          <w:rFonts w:ascii="Verdana" w:hAnsi="Verdana" w:cs="KJJFG H+ Univers"/>
          <w:color w:val="000000"/>
          <w:sz w:val="18"/>
          <w:szCs w:val="18"/>
        </w:rPr>
      </w:pPr>
    </w:p>
    <w:p w:rsidR="000C1AE7" w:rsidRPr="000C1AE7" w:rsidRDefault="000C1AE7" w:rsidP="000C1AE7">
      <w:pPr>
        <w:pStyle w:val="Geenafstand"/>
        <w:rPr>
          <w:rFonts w:ascii="Verdana" w:hAnsi="Verdana" w:cs="KJJFG H+ Univers"/>
          <w:color w:val="000000"/>
          <w:sz w:val="18"/>
          <w:szCs w:val="18"/>
        </w:rPr>
      </w:pPr>
    </w:p>
    <w:p w:rsidR="000C1AE7" w:rsidRPr="000C1AE7" w:rsidRDefault="000C1AE7" w:rsidP="000C1AE7">
      <w:pPr>
        <w:pStyle w:val="Geenafstand"/>
        <w:rPr>
          <w:rFonts w:ascii="Verdana" w:hAnsi="Verdana" w:cs="KJJFG H+ Univers"/>
          <w:color w:val="000000"/>
          <w:sz w:val="18"/>
          <w:szCs w:val="18"/>
        </w:rPr>
      </w:pPr>
      <w:r w:rsidRPr="000C1AE7">
        <w:rPr>
          <w:rFonts w:ascii="Verdana" w:hAnsi="Verdana" w:cs="KJJFG H+ Univers"/>
          <w:color w:val="000000"/>
          <w:sz w:val="18"/>
          <w:szCs w:val="18"/>
        </w:rPr>
        <w:t>Drs. S.A. Blok</w:t>
      </w:r>
    </w:p>
    <w:p w:rsidR="000000C2" w:rsidRPr="000C1AE7" w:rsidRDefault="000000C2" w:rsidP="000C1AE7">
      <w:pPr>
        <w:pStyle w:val="Geenafstand"/>
        <w:rPr>
          <w:rFonts w:ascii="Verdana" w:hAnsi="Verdana" w:cs="KJJFG H+ Univers"/>
          <w:color w:val="000000"/>
          <w:sz w:val="18"/>
          <w:szCs w:val="18"/>
        </w:rPr>
      </w:pPr>
    </w:p>
    <w:p w:rsidR="000000C2" w:rsidRPr="000C1AE7" w:rsidRDefault="000000C2" w:rsidP="000C1AE7">
      <w:pPr>
        <w:pStyle w:val="Geenafstand"/>
        <w:rPr>
          <w:rFonts w:ascii="Verdana" w:hAnsi="Verdana" w:cs="KJJFG H+ Univers"/>
          <w:color w:val="000000"/>
          <w:sz w:val="18"/>
          <w:szCs w:val="18"/>
        </w:rPr>
      </w:pPr>
    </w:p>
    <w:p w:rsidR="000000C2" w:rsidRDefault="000000C2" w:rsidP="000C1AE7">
      <w:pPr>
        <w:pStyle w:val="Geenafstand"/>
        <w:rPr>
          <w:rFonts w:ascii="Verdana" w:hAnsi="Verdana"/>
          <w:color w:val="000000"/>
          <w:sz w:val="18"/>
          <w:szCs w:val="18"/>
        </w:rPr>
      </w:pPr>
    </w:p>
    <w:p w:rsidR="000C1AE7" w:rsidRDefault="000C1AE7" w:rsidP="000C1AE7">
      <w:pPr>
        <w:pStyle w:val="Geenafstand"/>
        <w:rPr>
          <w:rFonts w:ascii="Verdana" w:hAnsi="Verdana"/>
          <w:color w:val="000000"/>
          <w:sz w:val="18"/>
          <w:szCs w:val="18"/>
        </w:rPr>
      </w:pPr>
    </w:p>
    <w:p w:rsidR="000C1AE7" w:rsidRPr="000C1AE7" w:rsidRDefault="000C1AE7" w:rsidP="000C1AE7">
      <w:pPr>
        <w:pStyle w:val="Geenafstand"/>
        <w:rPr>
          <w:rFonts w:ascii="Verdana" w:hAnsi="Verdana"/>
          <w:color w:val="000000"/>
          <w:sz w:val="18"/>
          <w:szCs w:val="18"/>
        </w:rPr>
      </w:pPr>
    </w:p>
    <w:p w:rsidR="000000C2" w:rsidRPr="000C1AE7" w:rsidRDefault="000000C2" w:rsidP="000C1AE7">
      <w:pPr>
        <w:pStyle w:val="Geenafstand"/>
        <w:rPr>
          <w:rFonts w:ascii="Verdana" w:hAnsi="Verdana"/>
          <w:color w:val="000000"/>
          <w:sz w:val="18"/>
          <w:szCs w:val="18"/>
        </w:rPr>
      </w:pPr>
      <w:r w:rsidRPr="000C1AE7">
        <w:rPr>
          <w:rFonts w:ascii="Verdana" w:hAnsi="Verdana"/>
          <w:color w:val="000000"/>
          <w:sz w:val="18"/>
          <w:szCs w:val="18"/>
        </w:rPr>
        <w:t xml:space="preserve">De Minister van Veiligheid en Justitie, </w:t>
      </w:r>
    </w:p>
    <w:p w:rsidR="000000C2" w:rsidRDefault="000000C2" w:rsidP="000C1AE7">
      <w:pPr>
        <w:pStyle w:val="Geenafstand"/>
        <w:rPr>
          <w:rFonts w:ascii="Verdana" w:hAnsi="Verdana"/>
          <w:color w:val="000000"/>
          <w:sz w:val="18"/>
          <w:szCs w:val="18"/>
        </w:rPr>
      </w:pPr>
    </w:p>
    <w:p w:rsidR="000C1AE7" w:rsidRDefault="000C1AE7" w:rsidP="000C1AE7">
      <w:pPr>
        <w:pStyle w:val="Geenafstand"/>
        <w:rPr>
          <w:rFonts w:ascii="Verdana" w:hAnsi="Verdana"/>
          <w:color w:val="000000"/>
          <w:sz w:val="18"/>
          <w:szCs w:val="18"/>
        </w:rPr>
      </w:pPr>
    </w:p>
    <w:p w:rsidR="000C1AE7" w:rsidRDefault="000C1AE7" w:rsidP="000C1AE7">
      <w:pPr>
        <w:pStyle w:val="Geenafstand"/>
        <w:rPr>
          <w:rFonts w:ascii="Verdana" w:hAnsi="Verdana"/>
          <w:color w:val="000000"/>
          <w:sz w:val="18"/>
          <w:szCs w:val="18"/>
        </w:rPr>
      </w:pPr>
    </w:p>
    <w:p w:rsidR="000C1AE7" w:rsidRDefault="000C1AE7" w:rsidP="000C1AE7">
      <w:pPr>
        <w:pStyle w:val="Geenafstand"/>
        <w:rPr>
          <w:rFonts w:ascii="Verdana" w:hAnsi="Verdana"/>
          <w:color w:val="000000"/>
          <w:sz w:val="18"/>
          <w:szCs w:val="18"/>
        </w:rPr>
      </w:pPr>
    </w:p>
    <w:p w:rsidR="000C1AE7" w:rsidRDefault="000C1AE7" w:rsidP="000C1AE7">
      <w:pPr>
        <w:pStyle w:val="Geenafstand"/>
        <w:rPr>
          <w:rFonts w:ascii="Verdana" w:hAnsi="Verdana"/>
          <w:color w:val="000000"/>
          <w:sz w:val="18"/>
          <w:szCs w:val="18"/>
        </w:rPr>
      </w:pPr>
    </w:p>
    <w:p w:rsidR="000C1AE7" w:rsidRPr="000C1AE7" w:rsidRDefault="000C1AE7" w:rsidP="000C1AE7">
      <w:pPr>
        <w:pStyle w:val="Geenafstand"/>
        <w:rPr>
          <w:rFonts w:ascii="Verdana" w:hAnsi="Verdana"/>
          <w:color w:val="000000"/>
          <w:sz w:val="18"/>
          <w:szCs w:val="18"/>
        </w:rPr>
      </w:pPr>
      <w:r>
        <w:rPr>
          <w:rFonts w:ascii="Verdana" w:hAnsi="Verdana"/>
          <w:color w:val="000000"/>
          <w:sz w:val="18"/>
          <w:szCs w:val="18"/>
        </w:rPr>
        <w:t>Mr. G.A. van der Steur</w:t>
      </w:r>
    </w:p>
    <w:p w:rsidR="000000C2" w:rsidRPr="000C1AE7" w:rsidRDefault="000000C2" w:rsidP="000C1AE7">
      <w:pPr>
        <w:pStyle w:val="Geenafstand"/>
        <w:rPr>
          <w:rFonts w:ascii="Verdana" w:hAnsi="Verdana"/>
          <w:sz w:val="18"/>
          <w:szCs w:val="18"/>
        </w:rPr>
      </w:pPr>
    </w:p>
    <w:sectPr w:rsidR="000000C2" w:rsidRPr="000C1AE7" w:rsidSect="00A17C6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963" w:rsidRDefault="001D1963" w:rsidP="0062374E">
      <w:pPr>
        <w:spacing w:after="0" w:line="240" w:lineRule="auto"/>
      </w:pPr>
      <w:r>
        <w:separator/>
      </w:r>
    </w:p>
  </w:endnote>
  <w:endnote w:type="continuationSeparator" w:id="0">
    <w:p w:rsidR="001D1963" w:rsidRDefault="001D1963" w:rsidP="0062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JKIN D+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Std">
    <w:altName w:val="Futura Std"/>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20">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Univers">
    <w:altName w:val="Arial"/>
    <w:panose1 w:val="00000000000000000000"/>
    <w:charset w:val="00"/>
    <w:family w:val="auto"/>
    <w:notTrueType/>
    <w:pitch w:val="default"/>
    <w:sig w:usb0="00000003" w:usb1="00000000" w:usb2="00000000" w:usb3="00000000" w:csb0="00000001" w:csb1="00000000"/>
  </w:font>
  <w:font w:name="KJJFG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63" w:rsidRDefault="001D196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7836"/>
      <w:docPartObj>
        <w:docPartGallery w:val="Page Numbers (Bottom of Page)"/>
        <w:docPartUnique/>
      </w:docPartObj>
    </w:sdtPr>
    <w:sdtEndPr/>
    <w:sdtContent>
      <w:p w:rsidR="001D1963" w:rsidRDefault="00AF4A8F">
        <w:pPr>
          <w:pStyle w:val="Voettekst"/>
          <w:jc w:val="right"/>
        </w:pPr>
        <w:r>
          <w:fldChar w:fldCharType="begin"/>
        </w:r>
        <w:r>
          <w:instrText xml:space="preserve"> PAGE   \* MERGEFORMAT </w:instrText>
        </w:r>
        <w:r>
          <w:fldChar w:fldCharType="separate"/>
        </w:r>
        <w:r>
          <w:rPr>
            <w:noProof/>
          </w:rPr>
          <w:t>1</w:t>
        </w:r>
        <w:r>
          <w:rPr>
            <w:noProof/>
          </w:rPr>
          <w:fldChar w:fldCharType="end"/>
        </w:r>
      </w:p>
    </w:sdtContent>
  </w:sdt>
  <w:p w:rsidR="001D1963" w:rsidRDefault="001D196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63" w:rsidRDefault="001D196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963" w:rsidRDefault="001D1963" w:rsidP="0062374E">
      <w:pPr>
        <w:spacing w:after="0" w:line="240" w:lineRule="auto"/>
      </w:pPr>
      <w:r>
        <w:separator/>
      </w:r>
    </w:p>
  </w:footnote>
  <w:footnote w:type="continuationSeparator" w:id="0">
    <w:p w:rsidR="001D1963" w:rsidRDefault="001D1963" w:rsidP="0062374E">
      <w:pPr>
        <w:spacing w:after="0" w:line="240" w:lineRule="auto"/>
      </w:pPr>
      <w:r>
        <w:continuationSeparator/>
      </w:r>
    </w:p>
  </w:footnote>
  <w:footnote w:id="1">
    <w:p w:rsidR="001D1963" w:rsidRPr="007D61EB" w:rsidRDefault="001D1963" w:rsidP="004F74E5">
      <w:pPr>
        <w:pStyle w:val="Voetnoottekst"/>
        <w:rPr>
          <w:rFonts w:ascii="Verdana" w:hAnsi="Verdana"/>
          <w:sz w:val="16"/>
          <w:szCs w:val="16"/>
        </w:rPr>
      </w:pPr>
      <w:r w:rsidRPr="007D61EB">
        <w:rPr>
          <w:rStyle w:val="Voetnootmarkering"/>
          <w:rFonts w:ascii="Verdana" w:hAnsi="Verdana"/>
          <w:sz w:val="16"/>
          <w:szCs w:val="16"/>
        </w:rPr>
        <w:footnoteRef/>
      </w:r>
      <w:r w:rsidRPr="007D61EB">
        <w:rPr>
          <w:rFonts w:ascii="Verdana" w:hAnsi="Verdana"/>
          <w:sz w:val="16"/>
          <w:szCs w:val="16"/>
        </w:rPr>
        <w:t xml:space="preserve"> </w:t>
      </w:r>
      <w:r w:rsidRPr="00290B7B">
        <w:rPr>
          <w:rFonts w:ascii="Verdana" w:hAnsi="Verdana" w:cs="Arial"/>
          <w:sz w:val="16"/>
          <w:szCs w:val="16"/>
        </w:rPr>
        <w:t xml:space="preserve">Kamerstukken I </w:t>
      </w:r>
      <w:r w:rsidRPr="007D61EB">
        <w:rPr>
          <w:rFonts w:ascii="Verdana" w:hAnsi="Verdana" w:cs="Arial"/>
          <w:sz w:val="16"/>
          <w:szCs w:val="16"/>
        </w:rPr>
        <w:t>2011/12, 31 570, C.</w:t>
      </w:r>
    </w:p>
  </w:footnote>
  <w:footnote w:id="2">
    <w:p w:rsidR="001D1963" w:rsidRPr="0027442F" w:rsidRDefault="001D1963" w:rsidP="004F74E5">
      <w:pPr>
        <w:pStyle w:val="Voetnoottekst"/>
        <w:rPr>
          <w:rFonts w:ascii="Verdana" w:hAnsi="Verdana"/>
          <w:sz w:val="16"/>
          <w:szCs w:val="16"/>
        </w:rPr>
      </w:pPr>
      <w:r w:rsidRPr="0027442F">
        <w:rPr>
          <w:rStyle w:val="Voetnootmarkering"/>
          <w:rFonts w:ascii="Verdana" w:hAnsi="Verdana"/>
          <w:sz w:val="16"/>
          <w:szCs w:val="16"/>
        </w:rPr>
        <w:footnoteRef/>
      </w:r>
      <w:r w:rsidRPr="0027442F">
        <w:rPr>
          <w:rFonts w:ascii="Verdana" w:hAnsi="Verdana"/>
          <w:sz w:val="16"/>
          <w:szCs w:val="16"/>
        </w:rPr>
        <w:t xml:space="preserve"> </w:t>
      </w:r>
      <w:r w:rsidRPr="00290B7B">
        <w:rPr>
          <w:rFonts w:ascii="Verdana" w:hAnsi="Verdana" w:cs="Arial"/>
          <w:sz w:val="16"/>
          <w:szCs w:val="16"/>
        </w:rPr>
        <w:t xml:space="preserve">Kamerstukken I </w:t>
      </w:r>
      <w:r w:rsidRPr="0027442F">
        <w:rPr>
          <w:rFonts w:ascii="Verdana" w:hAnsi="Verdana" w:cs="Arial"/>
          <w:sz w:val="16"/>
          <w:szCs w:val="16"/>
        </w:rPr>
        <w:t>2012/13, 31 570, G.</w:t>
      </w:r>
    </w:p>
  </w:footnote>
  <w:footnote w:id="3">
    <w:p w:rsidR="001D1963" w:rsidRPr="0027442F" w:rsidRDefault="001D1963" w:rsidP="004F74E5">
      <w:pPr>
        <w:pStyle w:val="Voetnoottekst"/>
        <w:rPr>
          <w:rFonts w:ascii="Verdana" w:hAnsi="Verdana"/>
          <w:sz w:val="16"/>
          <w:szCs w:val="16"/>
        </w:rPr>
      </w:pPr>
      <w:r w:rsidRPr="0027442F">
        <w:rPr>
          <w:rStyle w:val="Voetnootmarkering"/>
          <w:rFonts w:ascii="Verdana" w:hAnsi="Verdana"/>
          <w:sz w:val="16"/>
          <w:szCs w:val="16"/>
        </w:rPr>
        <w:footnoteRef/>
      </w:r>
      <w:r w:rsidRPr="0027442F">
        <w:rPr>
          <w:rFonts w:ascii="Verdana" w:hAnsi="Verdana"/>
          <w:sz w:val="16"/>
          <w:szCs w:val="16"/>
        </w:rPr>
        <w:t xml:space="preserve"> </w:t>
      </w:r>
      <w:r w:rsidRPr="00290B7B">
        <w:rPr>
          <w:rFonts w:ascii="Verdana" w:hAnsi="Verdana" w:cs="Arial"/>
          <w:sz w:val="16"/>
          <w:szCs w:val="16"/>
        </w:rPr>
        <w:t xml:space="preserve">Kamerstukken I </w:t>
      </w:r>
      <w:r w:rsidRPr="0027442F">
        <w:rPr>
          <w:rFonts w:ascii="Verdana" w:hAnsi="Verdana" w:cs="Arial"/>
          <w:sz w:val="16"/>
          <w:szCs w:val="16"/>
        </w:rPr>
        <w:t>2012/13, 31 570, H.</w:t>
      </w:r>
    </w:p>
  </w:footnote>
  <w:footnote w:id="4">
    <w:p w:rsidR="001D1963" w:rsidRPr="0027442F" w:rsidRDefault="001D1963" w:rsidP="004F74E5">
      <w:pPr>
        <w:pStyle w:val="Voetnoottekst"/>
        <w:rPr>
          <w:rFonts w:ascii="Verdana" w:hAnsi="Verdana"/>
          <w:sz w:val="16"/>
          <w:szCs w:val="16"/>
        </w:rPr>
      </w:pPr>
      <w:r w:rsidRPr="0027442F">
        <w:rPr>
          <w:rStyle w:val="Voetnootmarkering"/>
          <w:rFonts w:ascii="Verdana" w:hAnsi="Verdana"/>
          <w:sz w:val="16"/>
          <w:szCs w:val="16"/>
        </w:rPr>
        <w:footnoteRef/>
      </w:r>
      <w:r w:rsidRPr="0027442F">
        <w:rPr>
          <w:rFonts w:ascii="Verdana" w:hAnsi="Verdana"/>
          <w:sz w:val="16"/>
          <w:szCs w:val="16"/>
        </w:rPr>
        <w:t xml:space="preserve"> </w:t>
      </w:r>
      <w:r w:rsidRPr="00290B7B">
        <w:rPr>
          <w:rFonts w:ascii="Verdana" w:hAnsi="Verdana" w:cs="Arial"/>
          <w:sz w:val="16"/>
          <w:szCs w:val="16"/>
        </w:rPr>
        <w:t xml:space="preserve">Kamerstukken II </w:t>
      </w:r>
      <w:r w:rsidRPr="0027442F">
        <w:rPr>
          <w:rFonts w:ascii="Verdana" w:hAnsi="Verdana"/>
          <w:sz w:val="16"/>
          <w:szCs w:val="16"/>
        </w:rPr>
        <w:t>2012/13, 33 400 VII, nr. 83</w:t>
      </w:r>
      <w:r>
        <w:rPr>
          <w:rFonts w:ascii="Verdana" w:hAnsi="Verdana" w:cs="Arial"/>
          <w:sz w:val="16"/>
          <w:szCs w:val="16"/>
        </w:rPr>
        <w:t>.</w:t>
      </w:r>
    </w:p>
  </w:footnote>
  <w:footnote w:id="5">
    <w:p w:rsidR="001D1963" w:rsidRPr="0027442F" w:rsidRDefault="001D1963" w:rsidP="004F74E5">
      <w:pPr>
        <w:pStyle w:val="Voetnoottekst"/>
        <w:rPr>
          <w:rFonts w:ascii="Verdana" w:hAnsi="Verdana"/>
          <w:sz w:val="16"/>
          <w:szCs w:val="16"/>
        </w:rPr>
      </w:pPr>
      <w:r w:rsidRPr="0027442F">
        <w:rPr>
          <w:rStyle w:val="Voetnootmarkering"/>
          <w:rFonts w:ascii="Verdana" w:hAnsi="Verdana"/>
          <w:sz w:val="16"/>
          <w:szCs w:val="16"/>
        </w:rPr>
        <w:footnoteRef/>
      </w:r>
      <w:r w:rsidRPr="0027442F">
        <w:rPr>
          <w:rFonts w:ascii="Verdana" w:hAnsi="Verdana"/>
          <w:sz w:val="16"/>
          <w:szCs w:val="16"/>
        </w:rPr>
        <w:t xml:space="preserve"> </w:t>
      </w:r>
      <w:r w:rsidRPr="00290B7B">
        <w:rPr>
          <w:rFonts w:ascii="Verdana" w:hAnsi="Verdana" w:cs="Arial"/>
          <w:sz w:val="16"/>
          <w:szCs w:val="16"/>
        </w:rPr>
        <w:t xml:space="preserve">Kamerstukken II </w:t>
      </w:r>
      <w:r w:rsidRPr="0027442F">
        <w:rPr>
          <w:rFonts w:ascii="Verdana" w:hAnsi="Verdana" w:cs="Arial"/>
          <w:sz w:val="16"/>
          <w:szCs w:val="16"/>
        </w:rPr>
        <w:t xml:space="preserve">2013/14, </w:t>
      </w:r>
      <w:r>
        <w:rPr>
          <w:rFonts w:ascii="Verdana" w:hAnsi="Verdana" w:cs="Arial"/>
          <w:sz w:val="16"/>
          <w:szCs w:val="16"/>
        </w:rPr>
        <w:t xml:space="preserve">33 826, nr. 1 en Bijlage: Nationaal Actieplan Mensenrechten. </w:t>
      </w:r>
    </w:p>
  </w:footnote>
  <w:footnote w:id="6">
    <w:p w:rsidR="001D1963" w:rsidRPr="00A80BCF" w:rsidRDefault="001D1963" w:rsidP="004F74E5">
      <w:pPr>
        <w:pStyle w:val="Voetnoottekst"/>
        <w:rPr>
          <w:rFonts w:ascii="Verdana" w:hAnsi="Verdana"/>
          <w:sz w:val="16"/>
          <w:szCs w:val="16"/>
        </w:rPr>
      </w:pPr>
      <w:r w:rsidRPr="00A80BCF">
        <w:rPr>
          <w:rStyle w:val="Voetnootmarkering"/>
          <w:rFonts w:ascii="Verdana" w:hAnsi="Verdana"/>
          <w:sz w:val="16"/>
          <w:szCs w:val="16"/>
        </w:rPr>
        <w:footnoteRef/>
      </w:r>
      <w:r>
        <w:rPr>
          <w:rFonts w:ascii="Verdana" w:hAnsi="Verdana"/>
          <w:sz w:val="16"/>
          <w:szCs w:val="16"/>
        </w:rPr>
        <w:t xml:space="preserve"> </w:t>
      </w:r>
      <w:r w:rsidRPr="00290B7B">
        <w:rPr>
          <w:rFonts w:ascii="Verdana" w:hAnsi="Verdana"/>
          <w:sz w:val="16"/>
          <w:szCs w:val="16"/>
        </w:rPr>
        <w:t xml:space="preserve">Kamerstukken II </w:t>
      </w:r>
      <w:r>
        <w:rPr>
          <w:rFonts w:ascii="Verdana" w:hAnsi="Verdana"/>
          <w:sz w:val="16"/>
          <w:szCs w:val="16"/>
        </w:rPr>
        <w:t>2011/12</w:t>
      </w:r>
      <w:r w:rsidRPr="00A80BCF">
        <w:rPr>
          <w:rFonts w:ascii="Verdana" w:hAnsi="Verdana"/>
          <w:sz w:val="16"/>
          <w:szCs w:val="16"/>
        </w:rPr>
        <w:t>, 31 570, nr. 20.</w:t>
      </w:r>
    </w:p>
  </w:footnote>
  <w:footnote w:id="7">
    <w:p w:rsidR="001D1963" w:rsidRPr="001A4C3D" w:rsidRDefault="001D1963" w:rsidP="00290B7B">
      <w:pPr>
        <w:pStyle w:val="Voetnoottekst"/>
        <w:rPr>
          <w:rFonts w:ascii="Verdana" w:hAnsi="Verdana"/>
          <w:sz w:val="16"/>
          <w:szCs w:val="16"/>
        </w:rPr>
      </w:pPr>
      <w:r>
        <w:rPr>
          <w:rStyle w:val="Voetnootmarkering"/>
        </w:rPr>
        <w:footnoteRef/>
      </w:r>
      <w:r>
        <w:t xml:space="preserve"> </w:t>
      </w:r>
      <w:r w:rsidRPr="00F54454">
        <w:rPr>
          <w:rFonts w:ascii="Verdana" w:hAnsi="Verdana"/>
          <w:sz w:val="16"/>
          <w:szCs w:val="16"/>
        </w:rPr>
        <w:t>Rapport</w:t>
      </w:r>
      <w:r>
        <w:rPr>
          <w:rFonts w:ascii="Verdana" w:hAnsi="Verdana"/>
          <w:sz w:val="16"/>
          <w:szCs w:val="16"/>
        </w:rPr>
        <w:t xml:space="preserve"> staatscommissie Grondwet, november 2010, paragraaf 7.3 Recht op een eerlijk proces en toegang tot de rechter, p. 60-64. Waar hierna in de toelichting het standpunt van de staatscommissie wordt weergegeven, betreft het een verwijzing naar deze pagina’s</w:t>
      </w:r>
      <w:r w:rsidRPr="00F54454">
        <w:rPr>
          <w:rFonts w:ascii="Verdana" w:hAnsi="Verdana"/>
          <w:sz w:val="16"/>
          <w:szCs w:val="16"/>
        </w:rPr>
        <w:t>.</w:t>
      </w:r>
    </w:p>
  </w:footnote>
  <w:footnote w:id="8">
    <w:p w:rsidR="001D1963" w:rsidRPr="00820E3B" w:rsidRDefault="001D1963" w:rsidP="00726491">
      <w:pPr>
        <w:pStyle w:val="Voetnoottekst"/>
        <w:rPr>
          <w:rFonts w:ascii="Verdana" w:hAnsi="Verdana"/>
          <w:sz w:val="16"/>
          <w:szCs w:val="16"/>
        </w:rPr>
      </w:pPr>
      <w:r w:rsidRPr="00820E3B">
        <w:rPr>
          <w:rStyle w:val="Voetnootmarkering"/>
          <w:rFonts w:ascii="Verdana" w:hAnsi="Verdana"/>
          <w:sz w:val="16"/>
          <w:szCs w:val="16"/>
        </w:rPr>
        <w:footnoteRef/>
      </w:r>
      <w:r w:rsidRPr="00820E3B">
        <w:rPr>
          <w:rFonts w:ascii="Verdana" w:hAnsi="Verdana"/>
          <w:sz w:val="16"/>
          <w:szCs w:val="16"/>
        </w:rPr>
        <w:t xml:space="preserve"> </w:t>
      </w:r>
      <w:r w:rsidRPr="00290B7B">
        <w:rPr>
          <w:rFonts w:ascii="Verdana" w:hAnsi="Verdana"/>
          <w:sz w:val="16"/>
          <w:szCs w:val="16"/>
        </w:rPr>
        <w:t xml:space="preserve">Kamerstukken II </w:t>
      </w:r>
      <w:r w:rsidRPr="00820E3B">
        <w:rPr>
          <w:rFonts w:ascii="Verdana" w:hAnsi="Verdana"/>
          <w:sz w:val="16"/>
          <w:szCs w:val="16"/>
        </w:rPr>
        <w:t xml:space="preserve">2011/12, 31 570, nr. 20, </w:t>
      </w:r>
      <w:r>
        <w:rPr>
          <w:rFonts w:ascii="Verdana" w:hAnsi="Verdana"/>
          <w:sz w:val="16"/>
          <w:szCs w:val="16"/>
        </w:rPr>
        <w:t>blz.</w:t>
      </w:r>
      <w:r w:rsidRPr="00820E3B">
        <w:rPr>
          <w:rFonts w:ascii="Verdana" w:hAnsi="Verdana"/>
          <w:sz w:val="16"/>
          <w:szCs w:val="16"/>
        </w:rPr>
        <w:t xml:space="preserve"> </w:t>
      </w:r>
      <w:r>
        <w:rPr>
          <w:rFonts w:ascii="Verdana" w:hAnsi="Verdana"/>
          <w:sz w:val="16"/>
          <w:szCs w:val="16"/>
        </w:rPr>
        <w:t>7.</w:t>
      </w:r>
    </w:p>
  </w:footnote>
  <w:footnote w:id="9">
    <w:p w:rsidR="001D1963" w:rsidRPr="00793C78" w:rsidRDefault="001D1963" w:rsidP="00793C78">
      <w:pPr>
        <w:pStyle w:val="Voetnoottekst"/>
        <w:rPr>
          <w:rFonts w:ascii="Verdana" w:hAnsi="Verdana"/>
          <w:sz w:val="16"/>
          <w:szCs w:val="16"/>
        </w:rPr>
      </w:pPr>
      <w:r w:rsidRPr="00793C78">
        <w:rPr>
          <w:rStyle w:val="Voetnootmarkering"/>
          <w:rFonts w:ascii="Verdana" w:hAnsi="Verdana"/>
          <w:sz w:val="16"/>
          <w:szCs w:val="16"/>
        </w:rPr>
        <w:footnoteRef/>
      </w:r>
      <w:r w:rsidRPr="00793C78">
        <w:rPr>
          <w:rFonts w:ascii="Verdana" w:hAnsi="Verdana"/>
          <w:sz w:val="16"/>
          <w:szCs w:val="16"/>
        </w:rPr>
        <w:t xml:space="preserve"> </w:t>
      </w:r>
      <w:r>
        <w:rPr>
          <w:rFonts w:ascii="Verdana" w:hAnsi="Verdana"/>
          <w:sz w:val="16"/>
          <w:szCs w:val="16"/>
        </w:rPr>
        <w:t>Een nadere toelichting op</w:t>
      </w:r>
      <w:r w:rsidRPr="00793C78">
        <w:rPr>
          <w:rFonts w:ascii="Verdana" w:hAnsi="Verdana"/>
          <w:sz w:val="16"/>
          <w:szCs w:val="16"/>
        </w:rPr>
        <w:t xml:space="preserve"> de </w:t>
      </w:r>
      <w:r>
        <w:rPr>
          <w:rFonts w:ascii="Verdana" w:hAnsi="Verdana"/>
          <w:sz w:val="16"/>
          <w:szCs w:val="16"/>
        </w:rPr>
        <w:t xml:space="preserve">onderlinge </w:t>
      </w:r>
      <w:r w:rsidRPr="00793C78">
        <w:rPr>
          <w:rFonts w:ascii="Verdana" w:hAnsi="Verdana"/>
          <w:sz w:val="16"/>
          <w:szCs w:val="16"/>
        </w:rPr>
        <w:t>verhouding van de voorgestelde grondwetsbepaling tot deze internationale verdragsbepalingen</w:t>
      </w:r>
      <w:r>
        <w:rPr>
          <w:rFonts w:ascii="Verdana" w:hAnsi="Verdana"/>
          <w:sz w:val="16"/>
          <w:szCs w:val="16"/>
        </w:rPr>
        <w:t xml:space="preserve"> volgt in paragraaf 8</w:t>
      </w:r>
      <w:r w:rsidRPr="00793C78">
        <w:rPr>
          <w:rFonts w:ascii="Verdana" w:hAnsi="Verdana"/>
          <w:sz w:val="16"/>
          <w:szCs w:val="16"/>
        </w:rPr>
        <w:t>.</w:t>
      </w:r>
    </w:p>
  </w:footnote>
  <w:footnote w:id="10">
    <w:p w:rsidR="001D1963" w:rsidRPr="007D61EB" w:rsidRDefault="001D1963" w:rsidP="00313DE5">
      <w:pPr>
        <w:pStyle w:val="Voetnoottekst"/>
        <w:rPr>
          <w:rFonts w:ascii="Verdana" w:hAnsi="Verdana"/>
          <w:sz w:val="16"/>
          <w:szCs w:val="16"/>
        </w:rPr>
      </w:pPr>
      <w:r w:rsidRPr="007D61EB">
        <w:rPr>
          <w:rStyle w:val="Voetnootmarkering"/>
          <w:rFonts w:ascii="Verdana" w:hAnsi="Verdana"/>
          <w:sz w:val="16"/>
          <w:szCs w:val="16"/>
        </w:rPr>
        <w:footnoteRef/>
      </w:r>
      <w:r w:rsidRPr="007D61EB">
        <w:rPr>
          <w:rFonts w:ascii="Verdana" w:hAnsi="Verdana"/>
          <w:sz w:val="16"/>
          <w:szCs w:val="16"/>
        </w:rPr>
        <w:t xml:space="preserve"> </w:t>
      </w:r>
      <w:r>
        <w:rPr>
          <w:rFonts w:ascii="Verdana" w:hAnsi="Verdana"/>
          <w:sz w:val="16"/>
          <w:szCs w:val="16"/>
        </w:rPr>
        <w:t>V</w:t>
      </w:r>
      <w:r w:rsidRPr="007D61EB">
        <w:rPr>
          <w:rFonts w:ascii="Verdana" w:hAnsi="Verdana"/>
          <w:sz w:val="16"/>
          <w:szCs w:val="16"/>
        </w:rPr>
        <w:t xml:space="preserve">gl. </w:t>
      </w:r>
      <w:r w:rsidRPr="00290B7B">
        <w:rPr>
          <w:rFonts w:ascii="Verdana" w:hAnsi="Verdana"/>
          <w:sz w:val="16"/>
          <w:szCs w:val="16"/>
        </w:rPr>
        <w:t>Kamerstukken II 2011</w:t>
      </w:r>
      <w:r w:rsidRPr="007D61EB">
        <w:rPr>
          <w:rFonts w:ascii="Verdana" w:hAnsi="Verdana"/>
          <w:sz w:val="16"/>
          <w:szCs w:val="16"/>
        </w:rPr>
        <w:t>/12, 31 570, nr. 20</w:t>
      </w:r>
      <w:r>
        <w:rPr>
          <w:rFonts w:ascii="Verdana" w:hAnsi="Verdana"/>
          <w:sz w:val="16"/>
          <w:szCs w:val="16"/>
        </w:rPr>
        <w:t>, blz. 3</w:t>
      </w:r>
      <w:r w:rsidRPr="007D61EB">
        <w:rPr>
          <w:rFonts w:ascii="Verdana" w:hAnsi="Verdana"/>
          <w:sz w:val="16"/>
          <w:szCs w:val="16"/>
        </w:rPr>
        <w:t>.</w:t>
      </w:r>
    </w:p>
  </w:footnote>
  <w:footnote w:id="11">
    <w:p w:rsidR="001D1963" w:rsidRPr="007D61EB" w:rsidRDefault="001D1963" w:rsidP="00313DE5">
      <w:pPr>
        <w:pStyle w:val="Voetnoottekst"/>
        <w:rPr>
          <w:rFonts w:ascii="Verdana" w:hAnsi="Verdana"/>
          <w:sz w:val="16"/>
          <w:szCs w:val="16"/>
        </w:rPr>
      </w:pPr>
      <w:r w:rsidRPr="007D61EB">
        <w:rPr>
          <w:rStyle w:val="Voetnootmarkering"/>
          <w:rFonts w:ascii="Verdana" w:hAnsi="Verdana"/>
          <w:sz w:val="16"/>
          <w:szCs w:val="16"/>
        </w:rPr>
        <w:footnoteRef/>
      </w:r>
      <w:r w:rsidRPr="007D61EB">
        <w:rPr>
          <w:rFonts w:ascii="Verdana" w:hAnsi="Verdana"/>
          <w:sz w:val="16"/>
          <w:szCs w:val="16"/>
        </w:rPr>
        <w:t xml:space="preserve"> Vgl. </w:t>
      </w:r>
      <w:r w:rsidRPr="007D61EB">
        <w:rPr>
          <w:rFonts w:ascii="Verdana" w:hAnsi="Verdana" w:cs="Arial"/>
          <w:sz w:val="16"/>
          <w:szCs w:val="16"/>
        </w:rPr>
        <w:t xml:space="preserve">R. de Lange, B.J.G. Leeuw &amp; P.A.M. </w:t>
      </w:r>
      <w:proofErr w:type="spellStart"/>
      <w:r w:rsidRPr="007D61EB">
        <w:rPr>
          <w:rFonts w:ascii="Verdana" w:hAnsi="Verdana" w:cs="Arial"/>
          <w:sz w:val="16"/>
          <w:szCs w:val="16"/>
        </w:rPr>
        <w:t>Mevis</w:t>
      </w:r>
      <w:proofErr w:type="spellEnd"/>
      <w:r w:rsidRPr="007D61EB">
        <w:rPr>
          <w:rFonts w:ascii="Verdana" w:hAnsi="Verdana" w:cs="Arial"/>
          <w:sz w:val="16"/>
          <w:szCs w:val="16"/>
        </w:rPr>
        <w:t xml:space="preserve">, </w:t>
      </w:r>
      <w:r w:rsidRPr="007D61EB">
        <w:rPr>
          <w:rFonts w:ascii="Verdana" w:hAnsi="Verdana" w:cs="Arial"/>
          <w:i/>
          <w:sz w:val="16"/>
          <w:szCs w:val="16"/>
        </w:rPr>
        <w:t>Grondwet en het recht op een eerlijk proces. Algemene verkenning en uitwerking voor het strafrecht</w:t>
      </w:r>
      <w:r w:rsidRPr="007D61EB">
        <w:rPr>
          <w:rFonts w:ascii="Verdana" w:hAnsi="Verdana" w:cs="Arial"/>
          <w:sz w:val="16"/>
          <w:szCs w:val="16"/>
        </w:rPr>
        <w:t xml:space="preserve">, Kluwer 2009, p. 39-40 (EUR-voorstudie staatscommissie) en B.J.G. Leeuw, </w:t>
      </w:r>
      <w:r w:rsidRPr="007D61EB">
        <w:rPr>
          <w:rFonts w:ascii="Verdana" w:hAnsi="Verdana" w:cs="Arial"/>
          <w:i/>
          <w:sz w:val="16"/>
          <w:szCs w:val="16"/>
        </w:rPr>
        <w:t>Grondwet en eerlijk proces</w:t>
      </w:r>
      <w:r w:rsidRPr="007D61EB">
        <w:rPr>
          <w:rFonts w:ascii="Verdana" w:hAnsi="Verdana" w:cs="Arial"/>
          <w:sz w:val="16"/>
          <w:szCs w:val="16"/>
        </w:rPr>
        <w:t xml:space="preserve"> (</w:t>
      </w:r>
      <w:proofErr w:type="spellStart"/>
      <w:r w:rsidRPr="007D61EB">
        <w:rPr>
          <w:rFonts w:ascii="Verdana" w:hAnsi="Verdana" w:cs="Arial"/>
          <w:sz w:val="16"/>
          <w:szCs w:val="16"/>
        </w:rPr>
        <w:t>diss</w:t>
      </w:r>
      <w:proofErr w:type="spellEnd"/>
      <w:r w:rsidRPr="007D61EB">
        <w:rPr>
          <w:rFonts w:ascii="Verdana" w:hAnsi="Verdana" w:cs="Arial"/>
          <w:sz w:val="16"/>
          <w:szCs w:val="16"/>
        </w:rPr>
        <w:t xml:space="preserve">. Rotterdam), Wolf Legal </w:t>
      </w:r>
      <w:proofErr w:type="spellStart"/>
      <w:r w:rsidRPr="007D61EB">
        <w:rPr>
          <w:rFonts w:ascii="Verdana" w:hAnsi="Verdana" w:cs="Arial"/>
          <w:sz w:val="16"/>
          <w:szCs w:val="16"/>
        </w:rPr>
        <w:t>publishers</w:t>
      </w:r>
      <w:proofErr w:type="spellEnd"/>
      <w:r w:rsidRPr="007D61EB">
        <w:rPr>
          <w:rFonts w:ascii="Verdana" w:hAnsi="Verdana" w:cs="Arial"/>
          <w:sz w:val="16"/>
          <w:szCs w:val="16"/>
        </w:rPr>
        <w:t xml:space="preserve"> 2013</w:t>
      </w:r>
      <w:r w:rsidRPr="007D61EB">
        <w:rPr>
          <w:rFonts w:ascii="Verdana" w:hAnsi="Verdana"/>
          <w:sz w:val="16"/>
          <w:szCs w:val="16"/>
        </w:rPr>
        <w:t>.</w:t>
      </w:r>
    </w:p>
  </w:footnote>
  <w:footnote w:id="12">
    <w:p w:rsidR="001D1963" w:rsidRPr="00D81ED8" w:rsidRDefault="001D1963" w:rsidP="00A15626">
      <w:pPr>
        <w:pStyle w:val="Voetnoottekst"/>
        <w:rPr>
          <w:rFonts w:ascii="Verdana" w:hAnsi="Verdana"/>
          <w:sz w:val="16"/>
          <w:szCs w:val="16"/>
        </w:rPr>
      </w:pPr>
      <w:r w:rsidRPr="00D81ED8">
        <w:rPr>
          <w:rStyle w:val="Voetnootmarkering"/>
          <w:rFonts w:ascii="Verdana" w:hAnsi="Verdana"/>
          <w:sz w:val="16"/>
          <w:szCs w:val="16"/>
        </w:rPr>
        <w:footnoteRef/>
      </w:r>
      <w:r w:rsidRPr="00D81ED8">
        <w:rPr>
          <w:rFonts w:ascii="Verdana" w:hAnsi="Verdana"/>
          <w:sz w:val="16"/>
          <w:szCs w:val="16"/>
        </w:rPr>
        <w:t xml:space="preserve"> Kamerstukken II 2014/15, 31 570, nr. 20 en nr. 25,</w:t>
      </w:r>
      <w:r>
        <w:rPr>
          <w:rFonts w:ascii="Verdana" w:hAnsi="Verdana"/>
          <w:sz w:val="16"/>
          <w:szCs w:val="16"/>
        </w:rPr>
        <w:t xml:space="preserve"> blz</w:t>
      </w:r>
      <w:r w:rsidRPr="00D81ED8">
        <w:rPr>
          <w:rFonts w:ascii="Verdana" w:hAnsi="Verdana"/>
          <w:sz w:val="16"/>
          <w:szCs w:val="16"/>
        </w:rPr>
        <w:t>. 3.</w:t>
      </w:r>
    </w:p>
  </w:footnote>
  <w:footnote w:id="13">
    <w:p w:rsidR="001D1963" w:rsidRPr="001D0F74" w:rsidRDefault="001D1963">
      <w:pPr>
        <w:pStyle w:val="Voetnoottekst"/>
        <w:rPr>
          <w:rFonts w:ascii="Verdana" w:hAnsi="Verdana"/>
          <w:sz w:val="16"/>
          <w:szCs w:val="16"/>
        </w:rPr>
      </w:pPr>
      <w:r w:rsidRPr="001D0F74">
        <w:rPr>
          <w:rStyle w:val="Voetnootmarkering"/>
          <w:rFonts w:ascii="Verdana" w:hAnsi="Verdana"/>
          <w:sz w:val="16"/>
          <w:szCs w:val="16"/>
        </w:rPr>
        <w:footnoteRef/>
      </w:r>
      <w:r w:rsidRPr="001D0F74">
        <w:rPr>
          <w:rFonts w:ascii="Verdana" w:hAnsi="Verdana"/>
          <w:sz w:val="16"/>
          <w:szCs w:val="16"/>
        </w:rPr>
        <w:t xml:space="preserve"> Vgl. o.a. Verkenning “Speelruimte voor transparantere rechtspraak”, Wetenschappelijke Raad voor het Regeringsbeleid (WRR) uit 2013. </w:t>
      </w:r>
    </w:p>
  </w:footnote>
  <w:footnote w:id="14">
    <w:p w:rsidR="001D1963" w:rsidRPr="00E94871" w:rsidRDefault="001D1963" w:rsidP="00F915A2">
      <w:pPr>
        <w:pStyle w:val="Voetnoottekst"/>
        <w:rPr>
          <w:rFonts w:ascii="Verdana" w:hAnsi="Verdana"/>
          <w:sz w:val="16"/>
          <w:szCs w:val="16"/>
        </w:rPr>
      </w:pPr>
      <w:r w:rsidRPr="00021F5D">
        <w:rPr>
          <w:rStyle w:val="Voetnootmarkering"/>
          <w:rFonts w:ascii="Verdana" w:hAnsi="Verdana"/>
          <w:sz w:val="16"/>
          <w:szCs w:val="16"/>
        </w:rPr>
        <w:footnoteRef/>
      </w:r>
      <w:r w:rsidRPr="00021F5D">
        <w:rPr>
          <w:rFonts w:ascii="Verdana" w:hAnsi="Verdana"/>
          <w:sz w:val="16"/>
          <w:szCs w:val="16"/>
        </w:rPr>
        <w:t xml:space="preserve"> P.P.T </w:t>
      </w:r>
      <w:proofErr w:type="spellStart"/>
      <w:r w:rsidRPr="00021F5D">
        <w:rPr>
          <w:rFonts w:ascii="Verdana" w:hAnsi="Verdana"/>
          <w:sz w:val="16"/>
          <w:szCs w:val="16"/>
        </w:rPr>
        <w:t>Bovend’Eert</w:t>
      </w:r>
      <w:proofErr w:type="spellEnd"/>
      <w:r w:rsidRPr="00021F5D">
        <w:rPr>
          <w:rFonts w:ascii="Verdana" w:hAnsi="Verdana"/>
          <w:sz w:val="16"/>
          <w:szCs w:val="16"/>
        </w:rPr>
        <w:t xml:space="preserve"> </w:t>
      </w:r>
      <w:r w:rsidRPr="00021F5D">
        <w:rPr>
          <w:rFonts w:ascii="Verdana" w:hAnsi="Verdana" w:cs="Arial"/>
          <w:sz w:val="16"/>
          <w:szCs w:val="16"/>
        </w:rPr>
        <w:t xml:space="preserve">m.m.v. C.A.J.M. </w:t>
      </w:r>
      <w:proofErr w:type="spellStart"/>
      <w:r w:rsidRPr="00021F5D">
        <w:rPr>
          <w:rFonts w:ascii="Verdana" w:hAnsi="Verdana" w:cs="Arial"/>
          <w:sz w:val="16"/>
          <w:szCs w:val="16"/>
        </w:rPr>
        <w:t>Kortmann</w:t>
      </w:r>
      <w:proofErr w:type="spellEnd"/>
      <w:r w:rsidRPr="00021F5D">
        <w:rPr>
          <w:rFonts w:ascii="Verdana" w:hAnsi="Verdana" w:cs="Arial"/>
          <w:sz w:val="16"/>
          <w:szCs w:val="16"/>
        </w:rPr>
        <w:t xml:space="preserve">, </w:t>
      </w:r>
      <w:r w:rsidRPr="00021F5D">
        <w:rPr>
          <w:rFonts w:ascii="Verdana" w:hAnsi="Verdana" w:cs="Arial"/>
          <w:i/>
          <w:sz w:val="16"/>
          <w:szCs w:val="16"/>
        </w:rPr>
        <w:t>Rechterlijke Organisatie,</w:t>
      </w:r>
      <w:r w:rsidRPr="00021F5D">
        <w:rPr>
          <w:rFonts w:ascii="Verdana" w:hAnsi="Verdana" w:cs="Arial"/>
          <w:sz w:val="16"/>
          <w:szCs w:val="16"/>
        </w:rPr>
        <w:t xml:space="preserve"> </w:t>
      </w:r>
      <w:r w:rsidRPr="00021F5D">
        <w:rPr>
          <w:rStyle w:val="Nadruk"/>
          <w:rFonts w:ascii="Verdana" w:hAnsi="Verdana" w:cs="Arial"/>
          <w:sz w:val="16"/>
          <w:szCs w:val="16"/>
        </w:rPr>
        <w:t xml:space="preserve">Rechters en Rechtspraak, </w:t>
      </w:r>
      <w:r w:rsidRPr="00021F5D">
        <w:rPr>
          <w:rFonts w:ascii="Verdana" w:hAnsi="Verdana"/>
          <w:sz w:val="16"/>
          <w:szCs w:val="16"/>
        </w:rPr>
        <w:t>Deventer:</w:t>
      </w:r>
      <w:r w:rsidRPr="00E94871">
        <w:rPr>
          <w:rFonts w:ascii="Verdana" w:hAnsi="Verdana"/>
          <w:sz w:val="16"/>
          <w:szCs w:val="16"/>
        </w:rPr>
        <w:t xml:space="preserve"> </w:t>
      </w:r>
      <w:r>
        <w:rPr>
          <w:rFonts w:ascii="Verdana" w:hAnsi="Verdana"/>
          <w:sz w:val="16"/>
          <w:szCs w:val="16"/>
        </w:rPr>
        <w:t xml:space="preserve">Kluwer 2013, p. 12-13; M.C. </w:t>
      </w:r>
      <w:proofErr w:type="spellStart"/>
      <w:r>
        <w:rPr>
          <w:rFonts w:ascii="Verdana" w:hAnsi="Verdana"/>
          <w:sz w:val="16"/>
          <w:szCs w:val="16"/>
        </w:rPr>
        <w:t>Burkens</w:t>
      </w:r>
      <w:proofErr w:type="spellEnd"/>
      <w:r>
        <w:rPr>
          <w:rFonts w:ascii="Verdana" w:hAnsi="Verdana"/>
          <w:sz w:val="16"/>
          <w:szCs w:val="16"/>
        </w:rPr>
        <w:t xml:space="preserve">, H.R.B.M. </w:t>
      </w:r>
      <w:proofErr w:type="spellStart"/>
      <w:r>
        <w:rPr>
          <w:rFonts w:ascii="Verdana" w:hAnsi="Verdana"/>
          <w:sz w:val="16"/>
          <w:szCs w:val="16"/>
        </w:rPr>
        <w:t>Kummeling</w:t>
      </w:r>
      <w:proofErr w:type="spellEnd"/>
      <w:r>
        <w:rPr>
          <w:rFonts w:ascii="Verdana" w:hAnsi="Verdana"/>
          <w:sz w:val="16"/>
          <w:szCs w:val="16"/>
        </w:rPr>
        <w:t xml:space="preserve">, B.P. Vermeulen &amp; R.J.G.M. </w:t>
      </w:r>
      <w:proofErr w:type="spellStart"/>
      <w:r>
        <w:rPr>
          <w:rFonts w:ascii="Verdana" w:hAnsi="Verdana"/>
          <w:sz w:val="16"/>
          <w:szCs w:val="16"/>
        </w:rPr>
        <w:t>Widdershoven</w:t>
      </w:r>
      <w:proofErr w:type="spellEnd"/>
      <w:r>
        <w:rPr>
          <w:rFonts w:ascii="Verdana" w:hAnsi="Verdana"/>
          <w:sz w:val="16"/>
          <w:szCs w:val="16"/>
        </w:rPr>
        <w:t xml:space="preserve">, </w:t>
      </w:r>
      <w:r w:rsidRPr="00E94871">
        <w:rPr>
          <w:rFonts w:ascii="Verdana" w:hAnsi="Verdana"/>
          <w:i/>
          <w:sz w:val="16"/>
          <w:szCs w:val="16"/>
        </w:rPr>
        <w:t>Beginselen van de democratische rechtsstaat</w:t>
      </w:r>
      <w:r w:rsidRPr="00E94871">
        <w:rPr>
          <w:rFonts w:ascii="Verdana" w:hAnsi="Verdana"/>
          <w:sz w:val="16"/>
          <w:szCs w:val="16"/>
        </w:rPr>
        <w:t xml:space="preserve">, Deventer: Kluwer 2012, alsmede </w:t>
      </w:r>
      <w:r w:rsidRPr="00290B7B">
        <w:rPr>
          <w:rFonts w:ascii="Verdana" w:hAnsi="Verdana"/>
          <w:sz w:val="16"/>
          <w:szCs w:val="16"/>
        </w:rPr>
        <w:t>Kamerstukken I</w:t>
      </w:r>
      <w:r w:rsidRPr="00E94871">
        <w:rPr>
          <w:rFonts w:ascii="Verdana" w:hAnsi="Verdana"/>
          <w:sz w:val="16"/>
          <w:szCs w:val="16"/>
        </w:rPr>
        <w:t xml:space="preserve"> 2012/13, 31 570, nr. G en</w:t>
      </w:r>
      <w:r>
        <w:rPr>
          <w:rFonts w:ascii="Verdana" w:hAnsi="Verdana"/>
          <w:sz w:val="16"/>
          <w:szCs w:val="16"/>
        </w:rPr>
        <w:t xml:space="preserve"> I</w:t>
      </w:r>
      <w:r w:rsidRPr="00E94871">
        <w:rPr>
          <w:rFonts w:ascii="Verdana" w:hAnsi="Verdana"/>
          <w:b/>
          <w:sz w:val="16"/>
          <w:szCs w:val="16"/>
        </w:rPr>
        <w:t xml:space="preserve"> </w:t>
      </w:r>
      <w:r w:rsidRPr="00E94871">
        <w:rPr>
          <w:rFonts w:ascii="Verdana" w:hAnsi="Verdana"/>
          <w:sz w:val="16"/>
          <w:szCs w:val="16"/>
        </w:rPr>
        <w:t>(</w:t>
      </w:r>
      <w:r>
        <w:rPr>
          <w:rFonts w:ascii="Verdana" w:hAnsi="Verdana"/>
          <w:sz w:val="16"/>
          <w:szCs w:val="16"/>
        </w:rPr>
        <w:t>met als bijlage de kabinetsnotitie over een algemene bepaling waarin wordt uitgedrukt dat Nederland een democratische rechtsstaat is).</w:t>
      </w:r>
    </w:p>
  </w:footnote>
  <w:footnote w:id="15">
    <w:p w:rsidR="001D1963" w:rsidRPr="004405C7" w:rsidRDefault="001D1963">
      <w:pPr>
        <w:pStyle w:val="Voetnoottekst"/>
        <w:rPr>
          <w:rFonts w:ascii="Verdana" w:hAnsi="Verdana"/>
          <w:sz w:val="16"/>
          <w:szCs w:val="16"/>
        </w:rPr>
      </w:pPr>
      <w:r w:rsidRPr="004405C7">
        <w:rPr>
          <w:rStyle w:val="Voetnootmarkering"/>
          <w:rFonts w:ascii="Verdana" w:hAnsi="Verdana"/>
          <w:sz w:val="16"/>
          <w:szCs w:val="16"/>
        </w:rPr>
        <w:footnoteRef/>
      </w:r>
      <w:r w:rsidRPr="004405C7">
        <w:rPr>
          <w:rFonts w:ascii="Verdana" w:hAnsi="Verdana"/>
          <w:sz w:val="16"/>
          <w:szCs w:val="16"/>
        </w:rPr>
        <w:t xml:space="preserve"> B.W.N. de Waard, Commentaar op artikel 17 van de grondwet, in: E.M.H. Hirsch Ballin en G. </w:t>
      </w:r>
      <w:proofErr w:type="spellStart"/>
      <w:r w:rsidRPr="004405C7">
        <w:rPr>
          <w:rFonts w:ascii="Verdana" w:hAnsi="Verdana"/>
          <w:sz w:val="16"/>
          <w:szCs w:val="16"/>
        </w:rPr>
        <w:t>Leenknegt</w:t>
      </w:r>
      <w:proofErr w:type="spellEnd"/>
      <w:r w:rsidRPr="004405C7">
        <w:rPr>
          <w:rFonts w:ascii="Verdana" w:hAnsi="Verdana"/>
          <w:sz w:val="16"/>
          <w:szCs w:val="16"/>
        </w:rPr>
        <w:t xml:space="preserve"> (red.), Artikelsgewijs commentaar op de Grondwet, webeditie 2014 (www.nederlandrechtsstaat.nl)</w:t>
      </w:r>
    </w:p>
  </w:footnote>
  <w:footnote w:id="16">
    <w:p w:rsidR="001D1963" w:rsidRPr="005C017E" w:rsidRDefault="001D1963" w:rsidP="00F915A2">
      <w:pPr>
        <w:pStyle w:val="Voetnoottekst"/>
        <w:rPr>
          <w:rFonts w:ascii="Verdana" w:hAnsi="Verdana"/>
          <w:sz w:val="16"/>
          <w:szCs w:val="16"/>
        </w:rPr>
      </w:pPr>
      <w:r w:rsidRPr="005C017E">
        <w:rPr>
          <w:rStyle w:val="Voetnootmarkering"/>
          <w:rFonts w:ascii="Verdana" w:hAnsi="Verdana"/>
          <w:sz w:val="16"/>
          <w:szCs w:val="16"/>
        </w:rPr>
        <w:footnoteRef/>
      </w:r>
      <w:r>
        <w:rPr>
          <w:rFonts w:ascii="Verdana" w:hAnsi="Verdana"/>
          <w:sz w:val="16"/>
          <w:szCs w:val="16"/>
        </w:rPr>
        <w:t xml:space="preserve"> </w:t>
      </w:r>
      <w:proofErr w:type="spellStart"/>
      <w:r>
        <w:rPr>
          <w:rFonts w:ascii="Verdana" w:hAnsi="Verdana"/>
          <w:sz w:val="16"/>
          <w:szCs w:val="16"/>
        </w:rPr>
        <w:t>Bovend’Eert</w:t>
      </w:r>
      <w:proofErr w:type="spellEnd"/>
      <w:r>
        <w:rPr>
          <w:rFonts w:ascii="Verdana" w:hAnsi="Verdana"/>
          <w:sz w:val="16"/>
          <w:szCs w:val="16"/>
        </w:rPr>
        <w:t xml:space="preserve"> 2013, p. 13. Zie ook </w:t>
      </w:r>
      <w:r w:rsidRPr="00290B7B">
        <w:rPr>
          <w:rFonts w:ascii="Verdana" w:hAnsi="Verdana"/>
          <w:sz w:val="16"/>
          <w:szCs w:val="16"/>
        </w:rPr>
        <w:t>Kamerstukken II</w:t>
      </w:r>
      <w:r>
        <w:rPr>
          <w:rFonts w:ascii="Verdana" w:hAnsi="Verdana"/>
          <w:sz w:val="16"/>
          <w:szCs w:val="16"/>
        </w:rPr>
        <w:t xml:space="preserve"> 1975/76, 13 872, nr. 4, blz. 10.</w:t>
      </w:r>
    </w:p>
  </w:footnote>
  <w:footnote w:id="17">
    <w:p w:rsidR="001D1963" w:rsidRPr="005C017E" w:rsidRDefault="001D1963">
      <w:pPr>
        <w:pStyle w:val="Voetnoottekst"/>
        <w:rPr>
          <w:rFonts w:ascii="Verdana" w:hAnsi="Verdana"/>
          <w:sz w:val="16"/>
          <w:szCs w:val="16"/>
        </w:rPr>
      </w:pPr>
      <w:r w:rsidRPr="005C017E">
        <w:rPr>
          <w:rStyle w:val="Voetnootmarkering"/>
          <w:rFonts w:ascii="Verdana" w:hAnsi="Verdana"/>
          <w:sz w:val="16"/>
          <w:szCs w:val="16"/>
        </w:rPr>
        <w:footnoteRef/>
      </w:r>
      <w:r w:rsidRPr="005C017E">
        <w:rPr>
          <w:rFonts w:ascii="Verdana" w:hAnsi="Verdana"/>
          <w:sz w:val="16"/>
          <w:szCs w:val="16"/>
        </w:rPr>
        <w:t xml:space="preserve"> </w:t>
      </w:r>
      <w:proofErr w:type="spellStart"/>
      <w:r>
        <w:rPr>
          <w:rFonts w:ascii="Verdana" w:hAnsi="Verdana"/>
          <w:sz w:val="16"/>
          <w:szCs w:val="16"/>
        </w:rPr>
        <w:t>Bovend’Eert</w:t>
      </w:r>
      <w:proofErr w:type="spellEnd"/>
      <w:r>
        <w:rPr>
          <w:rFonts w:ascii="Verdana" w:hAnsi="Verdana"/>
          <w:sz w:val="16"/>
          <w:szCs w:val="16"/>
        </w:rPr>
        <w:t xml:space="preserve"> 2013, p. 13.</w:t>
      </w:r>
    </w:p>
  </w:footnote>
  <w:footnote w:id="18">
    <w:p w:rsidR="001D1963" w:rsidRPr="00555A55" w:rsidRDefault="001D1963" w:rsidP="00555A55">
      <w:pPr>
        <w:pStyle w:val="Voetnoottekst"/>
        <w:rPr>
          <w:rFonts w:ascii="Verdana" w:hAnsi="Verdana"/>
          <w:sz w:val="16"/>
          <w:szCs w:val="16"/>
        </w:rPr>
      </w:pPr>
      <w:r w:rsidRPr="00555A55">
        <w:rPr>
          <w:rStyle w:val="Voetnootmarkering"/>
          <w:rFonts w:ascii="Verdana" w:hAnsi="Verdana"/>
          <w:sz w:val="16"/>
          <w:szCs w:val="16"/>
        </w:rPr>
        <w:footnoteRef/>
      </w:r>
      <w:r w:rsidRPr="00555A55">
        <w:rPr>
          <w:rFonts w:ascii="Verdana" w:hAnsi="Verdana"/>
          <w:sz w:val="16"/>
          <w:szCs w:val="16"/>
        </w:rPr>
        <w:t xml:space="preserve"> De herkomst van vertrouwen in de rechtsstaat 1993-2012, </w:t>
      </w:r>
      <w:r>
        <w:rPr>
          <w:rFonts w:ascii="Verdana" w:hAnsi="Verdana"/>
          <w:sz w:val="16"/>
          <w:szCs w:val="16"/>
        </w:rPr>
        <w:t>o</w:t>
      </w:r>
      <w:r w:rsidRPr="00555A55">
        <w:rPr>
          <w:rFonts w:ascii="Verdana" w:hAnsi="Verdana"/>
          <w:sz w:val="16"/>
          <w:szCs w:val="16"/>
        </w:rPr>
        <w:t>nderzoek van de VU in opdracht van WODC, ministerie van Veiligheid en Justitie, p. 84.</w:t>
      </w:r>
    </w:p>
  </w:footnote>
  <w:footnote w:id="19">
    <w:p w:rsidR="001D1963" w:rsidRPr="007B6B1B" w:rsidRDefault="001D1963">
      <w:pPr>
        <w:pStyle w:val="Voetnoottekst"/>
        <w:rPr>
          <w:rFonts w:ascii="Verdana" w:hAnsi="Verdana"/>
          <w:sz w:val="16"/>
          <w:szCs w:val="16"/>
        </w:rPr>
      </w:pPr>
      <w:r w:rsidRPr="007B6B1B">
        <w:rPr>
          <w:rStyle w:val="Voetnootmarkering"/>
          <w:rFonts w:ascii="Verdana" w:hAnsi="Verdana"/>
          <w:sz w:val="16"/>
          <w:szCs w:val="16"/>
        </w:rPr>
        <w:footnoteRef/>
      </w:r>
      <w:r w:rsidRPr="007B6B1B">
        <w:rPr>
          <w:rFonts w:ascii="Verdana" w:hAnsi="Verdana"/>
          <w:sz w:val="16"/>
          <w:szCs w:val="16"/>
        </w:rPr>
        <w:t xml:space="preserve"> Wetenschappelijke Raad voor het regeringsbeleid, De toekomst van de rechtsstaat, 2002, p. 18-19.</w:t>
      </w:r>
    </w:p>
  </w:footnote>
  <w:footnote w:id="20">
    <w:p w:rsidR="001D1963" w:rsidRPr="00F7710F" w:rsidRDefault="001D1963">
      <w:pPr>
        <w:pStyle w:val="Voetnoottekst"/>
        <w:rPr>
          <w:rFonts w:ascii="Verdana" w:hAnsi="Verdana"/>
          <w:sz w:val="16"/>
          <w:szCs w:val="16"/>
        </w:rPr>
      </w:pPr>
      <w:r w:rsidRPr="00F7710F">
        <w:rPr>
          <w:rStyle w:val="Voetnootmarkering"/>
          <w:rFonts w:ascii="Verdana" w:hAnsi="Verdana"/>
          <w:sz w:val="16"/>
          <w:szCs w:val="16"/>
        </w:rPr>
        <w:footnoteRef/>
      </w:r>
      <w:r w:rsidRPr="00F7710F">
        <w:rPr>
          <w:rFonts w:ascii="Verdana" w:hAnsi="Verdana"/>
          <w:sz w:val="16"/>
          <w:szCs w:val="16"/>
        </w:rPr>
        <w:t xml:space="preserve"> </w:t>
      </w:r>
      <w:r>
        <w:rPr>
          <w:rFonts w:ascii="Verdana" w:hAnsi="Verdana"/>
          <w:sz w:val="16"/>
          <w:szCs w:val="16"/>
        </w:rPr>
        <w:t xml:space="preserve">Vgl. </w:t>
      </w:r>
      <w:r w:rsidRPr="00290B7B">
        <w:rPr>
          <w:rFonts w:ascii="Verdana" w:hAnsi="Verdana"/>
          <w:sz w:val="16"/>
          <w:szCs w:val="16"/>
        </w:rPr>
        <w:t>Kamerstukken II</w:t>
      </w:r>
      <w:r w:rsidRPr="00F7710F">
        <w:rPr>
          <w:rFonts w:ascii="Verdana" w:hAnsi="Verdana" w:cs="Helvetica"/>
          <w:sz w:val="16"/>
          <w:szCs w:val="16"/>
        </w:rPr>
        <w:t xml:space="preserve"> 2012</w:t>
      </w:r>
      <w:r>
        <w:rPr>
          <w:rFonts w:ascii="Verdana" w:hAnsi="Verdana" w:cs="Helvetica"/>
          <w:sz w:val="16"/>
          <w:szCs w:val="16"/>
        </w:rPr>
        <w:t>/</w:t>
      </w:r>
      <w:r w:rsidRPr="00F7710F">
        <w:rPr>
          <w:rFonts w:ascii="Verdana" w:hAnsi="Verdana" w:cs="Helvetica"/>
          <w:sz w:val="16"/>
          <w:szCs w:val="16"/>
        </w:rPr>
        <w:t xml:space="preserve">13, 31 753, nr. 64, </w:t>
      </w:r>
      <w:r>
        <w:rPr>
          <w:rFonts w:ascii="Verdana" w:hAnsi="Verdana" w:cs="Helvetica"/>
          <w:sz w:val="16"/>
          <w:szCs w:val="16"/>
        </w:rPr>
        <w:t>blz.</w:t>
      </w:r>
      <w:r w:rsidRPr="00F7710F">
        <w:rPr>
          <w:rFonts w:ascii="Verdana" w:hAnsi="Verdana" w:cs="Helvetica"/>
          <w:sz w:val="16"/>
          <w:szCs w:val="16"/>
        </w:rPr>
        <w:t xml:space="preserve"> 1.</w:t>
      </w:r>
    </w:p>
  </w:footnote>
  <w:footnote w:id="21">
    <w:p w:rsidR="001D1963" w:rsidRPr="00023E76" w:rsidRDefault="001D1963">
      <w:pPr>
        <w:pStyle w:val="Voetnoottekst"/>
        <w:rPr>
          <w:rFonts w:ascii="Verdana" w:hAnsi="Verdana"/>
          <w:sz w:val="16"/>
          <w:szCs w:val="16"/>
        </w:rPr>
      </w:pPr>
      <w:r w:rsidRPr="00023E76">
        <w:rPr>
          <w:rStyle w:val="Voetnootmarkering"/>
          <w:rFonts w:ascii="Verdana" w:hAnsi="Verdana"/>
          <w:sz w:val="16"/>
          <w:szCs w:val="16"/>
        </w:rPr>
        <w:footnoteRef/>
      </w:r>
      <w:r w:rsidRPr="00023E76">
        <w:rPr>
          <w:rFonts w:ascii="Verdana" w:hAnsi="Verdana"/>
          <w:sz w:val="16"/>
          <w:szCs w:val="16"/>
        </w:rPr>
        <w:t xml:space="preserve"> Zie M</w:t>
      </w:r>
      <w:r w:rsidRPr="00023E76">
        <w:rPr>
          <w:rFonts w:ascii="Verdana" w:hAnsi="Verdana" w:cstheme="minorHAnsi"/>
          <w:sz w:val="16"/>
          <w:szCs w:val="16"/>
        </w:rPr>
        <w:t xml:space="preserve">ededeling van de Europese Commissie </w:t>
      </w:r>
      <w:r>
        <w:rPr>
          <w:rFonts w:ascii="Verdana" w:hAnsi="Verdana" w:cstheme="minorHAnsi"/>
          <w:sz w:val="16"/>
          <w:szCs w:val="16"/>
        </w:rPr>
        <w:t xml:space="preserve">van 11 maart 2014 </w:t>
      </w:r>
      <w:r w:rsidRPr="00023E76">
        <w:rPr>
          <w:rFonts w:ascii="Verdana" w:hAnsi="Verdana" w:cstheme="minorHAnsi"/>
          <w:sz w:val="16"/>
          <w:szCs w:val="16"/>
        </w:rPr>
        <w:t>‘Een nieuw EU-kader ter versterking van de rechtsstaat’, COM (2014) 158</w:t>
      </w:r>
      <w:r w:rsidRPr="00023E76">
        <w:rPr>
          <w:rFonts w:ascii="Verdana" w:hAnsi="Verdana"/>
          <w:sz w:val="16"/>
          <w:szCs w:val="16"/>
        </w:rPr>
        <w:t>, alsook het EU-scoreboard voor Justitie</w:t>
      </w:r>
      <w:r>
        <w:rPr>
          <w:rFonts w:ascii="Verdana" w:hAnsi="Verdana"/>
          <w:sz w:val="16"/>
          <w:szCs w:val="16"/>
        </w:rPr>
        <w:t xml:space="preserve"> van 17 maart 2014</w:t>
      </w:r>
      <w:r w:rsidRPr="00023E76">
        <w:rPr>
          <w:rFonts w:ascii="Verdana" w:hAnsi="Verdana"/>
          <w:sz w:val="16"/>
          <w:szCs w:val="16"/>
        </w:rPr>
        <w:t>, COM (2014) 155 en specifieke voorstellen met betrekking tot procedurele waarborgen in s</w:t>
      </w:r>
      <w:r>
        <w:rPr>
          <w:rFonts w:ascii="Verdana" w:hAnsi="Verdana"/>
          <w:sz w:val="16"/>
          <w:szCs w:val="16"/>
        </w:rPr>
        <w:t>trafprocedures (zie paragraaf 9</w:t>
      </w:r>
      <w:r w:rsidRPr="00023E76">
        <w:rPr>
          <w:rFonts w:ascii="Verdana" w:hAnsi="Verdana"/>
          <w:sz w:val="16"/>
          <w:szCs w:val="16"/>
        </w:rPr>
        <w:t xml:space="preserve">). </w:t>
      </w:r>
    </w:p>
  </w:footnote>
  <w:footnote w:id="22">
    <w:p w:rsidR="001D1963" w:rsidRPr="005C017E" w:rsidRDefault="001D1963" w:rsidP="00881A08">
      <w:pPr>
        <w:pStyle w:val="Voetnoottekst"/>
        <w:rPr>
          <w:rFonts w:ascii="Verdana" w:hAnsi="Verdana"/>
          <w:sz w:val="16"/>
          <w:szCs w:val="16"/>
        </w:rPr>
      </w:pPr>
      <w:r w:rsidRPr="005C017E">
        <w:rPr>
          <w:rStyle w:val="Voetnootmarkering"/>
          <w:rFonts w:ascii="Verdana" w:hAnsi="Verdana"/>
          <w:sz w:val="16"/>
          <w:szCs w:val="16"/>
        </w:rPr>
        <w:footnoteRef/>
      </w:r>
      <w:r w:rsidRPr="005C017E">
        <w:rPr>
          <w:rFonts w:ascii="Verdana" w:hAnsi="Verdana"/>
          <w:sz w:val="16"/>
          <w:szCs w:val="16"/>
        </w:rPr>
        <w:t xml:space="preserve"> </w:t>
      </w:r>
      <w:r w:rsidRPr="00290B7B">
        <w:rPr>
          <w:rFonts w:ascii="Verdana" w:hAnsi="Verdana"/>
          <w:sz w:val="16"/>
          <w:szCs w:val="16"/>
        </w:rPr>
        <w:t>Kamerstukken II</w:t>
      </w:r>
      <w:r w:rsidRPr="005C017E">
        <w:rPr>
          <w:rFonts w:ascii="Verdana" w:hAnsi="Verdana"/>
          <w:sz w:val="16"/>
          <w:szCs w:val="16"/>
        </w:rPr>
        <w:t xml:space="preserve"> 1994/95, 24 220, nr. 3, </w:t>
      </w:r>
      <w:r>
        <w:rPr>
          <w:rFonts w:ascii="Verdana" w:hAnsi="Verdana"/>
          <w:sz w:val="16"/>
          <w:szCs w:val="16"/>
        </w:rPr>
        <w:t>blz.</w:t>
      </w:r>
      <w:r w:rsidRPr="005C017E">
        <w:rPr>
          <w:rFonts w:ascii="Verdana" w:hAnsi="Verdana"/>
          <w:sz w:val="16"/>
          <w:szCs w:val="16"/>
        </w:rPr>
        <w:t xml:space="preserve"> 22</w:t>
      </w:r>
      <w:r>
        <w:rPr>
          <w:rFonts w:ascii="Verdana" w:hAnsi="Verdana"/>
          <w:sz w:val="16"/>
          <w:szCs w:val="16"/>
        </w:rPr>
        <w:t>.</w:t>
      </w:r>
    </w:p>
  </w:footnote>
  <w:footnote w:id="23">
    <w:p w:rsidR="001D1963" w:rsidRPr="0083689B" w:rsidRDefault="001D1963">
      <w:pPr>
        <w:pStyle w:val="Voetnoottekst"/>
        <w:rPr>
          <w:rFonts w:ascii="Verdana" w:hAnsi="Verdana"/>
          <w:sz w:val="16"/>
          <w:szCs w:val="16"/>
        </w:rPr>
      </w:pPr>
      <w:r w:rsidRPr="0083689B">
        <w:rPr>
          <w:rStyle w:val="Voetnootmarkering"/>
          <w:rFonts w:ascii="Verdana" w:hAnsi="Verdana"/>
          <w:sz w:val="16"/>
          <w:szCs w:val="16"/>
        </w:rPr>
        <w:footnoteRef/>
      </w:r>
      <w:r w:rsidRPr="0083689B">
        <w:rPr>
          <w:rFonts w:ascii="Verdana" w:hAnsi="Verdana"/>
          <w:sz w:val="16"/>
          <w:szCs w:val="16"/>
        </w:rPr>
        <w:t xml:space="preserve"> </w:t>
      </w:r>
      <w:r>
        <w:rPr>
          <w:rFonts w:ascii="Verdana" w:hAnsi="Verdana"/>
          <w:sz w:val="16"/>
          <w:szCs w:val="16"/>
        </w:rPr>
        <w:t xml:space="preserve">Zie bijv. </w:t>
      </w:r>
      <w:r w:rsidRPr="0083689B">
        <w:rPr>
          <w:rFonts w:ascii="Verdana" w:hAnsi="Verdana"/>
          <w:sz w:val="16"/>
          <w:szCs w:val="16"/>
        </w:rPr>
        <w:t>Jaarplan</w:t>
      </w:r>
      <w:r>
        <w:rPr>
          <w:rFonts w:ascii="Verdana" w:hAnsi="Verdana"/>
          <w:sz w:val="16"/>
          <w:szCs w:val="16"/>
        </w:rPr>
        <w:t xml:space="preserve"> van de</w:t>
      </w:r>
      <w:r w:rsidRPr="0083689B">
        <w:rPr>
          <w:rFonts w:ascii="Verdana" w:hAnsi="Verdana"/>
          <w:sz w:val="16"/>
          <w:szCs w:val="16"/>
        </w:rPr>
        <w:t xml:space="preserve"> rechtspraak 2014, par. 3.5.</w:t>
      </w:r>
      <w:r>
        <w:rPr>
          <w:rFonts w:ascii="Verdana" w:hAnsi="Verdana"/>
          <w:sz w:val="16"/>
          <w:szCs w:val="16"/>
        </w:rPr>
        <w:t xml:space="preserve"> Zie over vertrouwen in de rechtspraak ook het symposiumnummer voor de VSR-jaarvergadering 2013 van </w:t>
      </w:r>
      <w:r w:rsidRPr="00E93A06">
        <w:rPr>
          <w:rFonts w:ascii="Verdana" w:hAnsi="Verdana"/>
          <w:i/>
          <w:sz w:val="16"/>
          <w:szCs w:val="16"/>
        </w:rPr>
        <w:t>Recht der Werkelijkheid</w:t>
      </w:r>
      <w:r>
        <w:rPr>
          <w:rFonts w:ascii="Verdana" w:hAnsi="Verdana"/>
          <w:sz w:val="16"/>
          <w:szCs w:val="16"/>
        </w:rPr>
        <w:t xml:space="preserve"> 2013, nr. 2. De bijdrage van Petra Jonkers, gebaseerd op de WRR-verkenning “Speelruimte voor transparantere rechtspraak”, wijst uit dat transparantie en meer informatie niet vanzelfsprekend leidt tot meer vertrouwen in de rechtspraak.</w:t>
      </w:r>
    </w:p>
  </w:footnote>
  <w:footnote w:id="24">
    <w:p w:rsidR="001D1963" w:rsidRPr="00C70E00" w:rsidRDefault="001D1963">
      <w:pPr>
        <w:pStyle w:val="Voetnoottekst"/>
        <w:rPr>
          <w:rFonts w:ascii="Verdana" w:hAnsi="Verdana" w:cs="Arial"/>
          <w:sz w:val="16"/>
          <w:szCs w:val="16"/>
        </w:rPr>
      </w:pPr>
      <w:r w:rsidRPr="00C70E00">
        <w:rPr>
          <w:rStyle w:val="Voetnootmarkering"/>
          <w:rFonts w:ascii="Verdana" w:hAnsi="Verdana" w:cs="Arial"/>
          <w:sz w:val="16"/>
          <w:szCs w:val="16"/>
        </w:rPr>
        <w:footnoteRef/>
      </w:r>
      <w:r w:rsidRPr="00C70E00">
        <w:rPr>
          <w:rFonts w:ascii="Verdana" w:hAnsi="Verdana" w:cs="Arial"/>
          <w:sz w:val="16"/>
          <w:szCs w:val="16"/>
        </w:rPr>
        <w:t xml:space="preserve"> Vgl. M.L. van Emmerik, J.P. Loof en Y.E. Schuurmans, </w:t>
      </w:r>
      <w:r w:rsidRPr="00C70E00">
        <w:rPr>
          <w:rFonts w:ascii="Verdana" w:hAnsi="Verdana" w:cs="Arial"/>
          <w:i/>
          <w:sz w:val="16"/>
          <w:szCs w:val="16"/>
        </w:rPr>
        <w:t>Systeemwaarborgen voor de kernwaarden van de rechtspraak,</w:t>
      </w:r>
      <w:r w:rsidRPr="00C70E00">
        <w:rPr>
          <w:rFonts w:ascii="Verdana" w:hAnsi="Verdana" w:cs="Arial"/>
          <w:sz w:val="16"/>
          <w:szCs w:val="16"/>
        </w:rPr>
        <w:t xml:space="preserve"> Research Memoranda Raad voor de Rechtspraak, 2014, nr. 2.</w:t>
      </w:r>
    </w:p>
  </w:footnote>
  <w:footnote w:id="25">
    <w:p w:rsidR="001D1963" w:rsidRPr="00E941A6" w:rsidRDefault="001D1963" w:rsidP="004348B4">
      <w:pPr>
        <w:pStyle w:val="Voetnoottekst"/>
        <w:rPr>
          <w:rFonts w:ascii="Verdana" w:hAnsi="Verdana"/>
          <w:sz w:val="16"/>
          <w:szCs w:val="16"/>
        </w:rPr>
      </w:pPr>
      <w:r w:rsidRPr="00E941A6">
        <w:rPr>
          <w:rStyle w:val="Voetnootmarkering"/>
          <w:rFonts w:ascii="Verdana" w:hAnsi="Verdana"/>
          <w:sz w:val="16"/>
          <w:szCs w:val="16"/>
        </w:rPr>
        <w:footnoteRef/>
      </w:r>
      <w:r>
        <w:rPr>
          <w:rFonts w:ascii="Verdana" w:hAnsi="Verdana"/>
          <w:sz w:val="16"/>
          <w:szCs w:val="16"/>
        </w:rPr>
        <w:t xml:space="preserve"> Voorstudie staatscommissie Grondwet EUR 2009,</w:t>
      </w:r>
      <w:r w:rsidRPr="00E941A6">
        <w:rPr>
          <w:rFonts w:ascii="Verdana" w:hAnsi="Verdana"/>
          <w:sz w:val="16"/>
          <w:szCs w:val="16"/>
        </w:rPr>
        <w:t xml:space="preserve"> p. 21</w:t>
      </w:r>
      <w:r>
        <w:rPr>
          <w:rFonts w:ascii="Verdana" w:hAnsi="Verdana"/>
          <w:sz w:val="16"/>
          <w:szCs w:val="16"/>
        </w:rPr>
        <w:t>.</w:t>
      </w:r>
    </w:p>
  </w:footnote>
  <w:footnote w:id="26">
    <w:p w:rsidR="001D1963" w:rsidRPr="00BD719A" w:rsidRDefault="001D1963" w:rsidP="00346A35">
      <w:pPr>
        <w:pStyle w:val="Voetnoottekst"/>
        <w:rPr>
          <w:rFonts w:ascii="Verdana" w:hAnsi="Verdana"/>
          <w:sz w:val="16"/>
          <w:szCs w:val="16"/>
        </w:rPr>
      </w:pPr>
      <w:r w:rsidRPr="00BD719A">
        <w:rPr>
          <w:rStyle w:val="Voetnootmarkering"/>
          <w:rFonts w:ascii="Verdana" w:hAnsi="Verdana"/>
          <w:sz w:val="16"/>
          <w:szCs w:val="16"/>
        </w:rPr>
        <w:footnoteRef/>
      </w:r>
      <w:r w:rsidRPr="00BD719A">
        <w:rPr>
          <w:rFonts w:ascii="Verdana" w:hAnsi="Verdana"/>
          <w:sz w:val="16"/>
          <w:szCs w:val="16"/>
        </w:rPr>
        <w:t xml:space="preserve"> </w:t>
      </w:r>
      <w:r w:rsidRPr="00AC67AA">
        <w:rPr>
          <w:rFonts w:ascii="Verdana" w:hAnsi="Verdana" w:cs="Arial"/>
          <w:sz w:val="16"/>
          <w:szCs w:val="16"/>
        </w:rPr>
        <w:t xml:space="preserve">R. de Lange, B.J.G. Leeuw &amp; P.A.M. </w:t>
      </w:r>
      <w:proofErr w:type="spellStart"/>
      <w:r w:rsidRPr="00AC67AA">
        <w:rPr>
          <w:rFonts w:ascii="Verdana" w:hAnsi="Verdana" w:cs="Arial"/>
          <w:sz w:val="16"/>
          <w:szCs w:val="16"/>
        </w:rPr>
        <w:t>Mevis</w:t>
      </w:r>
      <w:proofErr w:type="spellEnd"/>
      <w:r w:rsidRPr="00AC67AA">
        <w:rPr>
          <w:rFonts w:ascii="Verdana" w:hAnsi="Verdana" w:cs="Arial"/>
          <w:sz w:val="16"/>
          <w:szCs w:val="16"/>
        </w:rPr>
        <w:t xml:space="preserve">, </w:t>
      </w:r>
      <w:r w:rsidRPr="00AC67AA">
        <w:rPr>
          <w:rFonts w:ascii="Verdana" w:hAnsi="Verdana" w:cs="Arial"/>
          <w:i/>
          <w:sz w:val="16"/>
          <w:szCs w:val="16"/>
        </w:rPr>
        <w:t>Grondwet en het recht op een eerlijk proces</w:t>
      </w:r>
      <w:r>
        <w:rPr>
          <w:rFonts w:ascii="Verdana" w:hAnsi="Verdana" w:cs="Arial"/>
          <w:i/>
          <w:sz w:val="16"/>
          <w:szCs w:val="16"/>
        </w:rPr>
        <w:t>. Algemene verkenning en uitwerking voor het strafrecht</w:t>
      </w:r>
      <w:r w:rsidRPr="00AC67AA">
        <w:rPr>
          <w:rFonts w:ascii="Verdana" w:hAnsi="Verdana" w:cs="Arial"/>
          <w:sz w:val="16"/>
          <w:szCs w:val="16"/>
        </w:rPr>
        <w:t xml:space="preserve"> </w:t>
      </w:r>
      <w:r>
        <w:rPr>
          <w:rFonts w:ascii="Verdana" w:hAnsi="Verdana" w:cs="Arial"/>
          <w:sz w:val="16"/>
          <w:szCs w:val="16"/>
        </w:rPr>
        <w:t>(</w:t>
      </w:r>
      <w:r>
        <w:rPr>
          <w:rFonts w:ascii="Verdana" w:hAnsi="Verdana" w:cs="Frutiger-Roman"/>
          <w:sz w:val="16"/>
          <w:szCs w:val="16"/>
        </w:rPr>
        <w:t>voorstudie</w:t>
      </w:r>
      <w:r w:rsidRPr="00AC67AA">
        <w:rPr>
          <w:rFonts w:ascii="Verdana" w:hAnsi="Verdana" w:cs="Frutiger-Roman"/>
          <w:sz w:val="16"/>
          <w:szCs w:val="16"/>
        </w:rPr>
        <w:t xml:space="preserve"> staatscommissie</w:t>
      </w:r>
      <w:r>
        <w:rPr>
          <w:rFonts w:ascii="Verdana" w:hAnsi="Verdana" w:cs="Frutiger-Roman"/>
          <w:sz w:val="16"/>
          <w:szCs w:val="16"/>
        </w:rPr>
        <w:t xml:space="preserve"> Grondwet EUR), </w:t>
      </w:r>
      <w:r>
        <w:rPr>
          <w:rFonts w:ascii="Verdana" w:hAnsi="Verdana" w:cs="Arial"/>
          <w:sz w:val="16"/>
          <w:szCs w:val="16"/>
        </w:rPr>
        <w:t>Kluwer 2009,</w:t>
      </w:r>
      <w:r w:rsidRPr="00AC67AA">
        <w:rPr>
          <w:rFonts w:ascii="Verdana" w:hAnsi="Verdana" w:cs="Frutiger-Roman"/>
          <w:sz w:val="16"/>
          <w:szCs w:val="16"/>
        </w:rPr>
        <w:t xml:space="preserve"> p. 20.</w:t>
      </w:r>
      <w:r>
        <w:rPr>
          <w:rFonts w:ascii="Verdana" w:hAnsi="Verdana" w:cs="Frutiger-Roman"/>
          <w:sz w:val="16"/>
          <w:szCs w:val="16"/>
        </w:rPr>
        <w:t xml:space="preserve"> </w:t>
      </w:r>
      <w:r>
        <w:rPr>
          <w:rFonts w:ascii="Verdana" w:hAnsi="Verdana"/>
          <w:sz w:val="16"/>
          <w:szCs w:val="16"/>
        </w:rPr>
        <w:t xml:space="preserve">T. </w:t>
      </w:r>
      <w:proofErr w:type="spellStart"/>
      <w:r>
        <w:rPr>
          <w:rFonts w:ascii="Verdana" w:hAnsi="Verdana"/>
          <w:sz w:val="16"/>
          <w:szCs w:val="16"/>
        </w:rPr>
        <w:t>Barkhuysen</w:t>
      </w:r>
      <w:proofErr w:type="spellEnd"/>
      <w:r>
        <w:rPr>
          <w:rFonts w:ascii="Verdana" w:hAnsi="Verdana"/>
          <w:sz w:val="16"/>
          <w:szCs w:val="16"/>
        </w:rPr>
        <w:t>, M.L. van Emmerik &amp;</w:t>
      </w:r>
      <w:r w:rsidRPr="00BD719A">
        <w:rPr>
          <w:rFonts w:ascii="Verdana" w:hAnsi="Verdana"/>
          <w:sz w:val="16"/>
          <w:szCs w:val="16"/>
        </w:rPr>
        <w:t xml:space="preserve"> J.H. Gerards, </w:t>
      </w:r>
      <w:r w:rsidRPr="00AC67AA">
        <w:rPr>
          <w:rFonts w:ascii="Verdana" w:hAnsi="Verdana"/>
          <w:i/>
          <w:sz w:val="16"/>
          <w:szCs w:val="16"/>
        </w:rPr>
        <w:t>De toegang tot de rechter en een eerlijk proces in de Grondwet?</w:t>
      </w:r>
      <w:r>
        <w:rPr>
          <w:rFonts w:ascii="Verdana" w:hAnsi="Verdana"/>
          <w:sz w:val="16"/>
          <w:szCs w:val="16"/>
        </w:rPr>
        <w:t xml:space="preserve"> (voorstudie</w:t>
      </w:r>
      <w:r w:rsidRPr="00BD719A">
        <w:rPr>
          <w:rFonts w:ascii="Verdana" w:hAnsi="Verdana"/>
          <w:sz w:val="16"/>
          <w:szCs w:val="16"/>
        </w:rPr>
        <w:t xml:space="preserve"> staats</w:t>
      </w:r>
      <w:r>
        <w:rPr>
          <w:rFonts w:ascii="Verdana" w:hAnsi="Verdana"/>
          <w:sz w:val="16"/>
          <w:szCs w:val="16"/>
        </w:rPr>
        <w:t>commissie Grondwet UL), Kluwer 2009</w:t>
      </w:r>
      <w:r w:rsidRPr="00BD719A">
        <w:rPr>
          <w:rFonts w:ascii="Verdana" w:hAnsi="Verdana"/>
          <w:sz w:val="16"/>
          <w:szCs w:val="16"/>
        </w:rPr>
        <w:t>, p. 12-22.</w:t>
      </w:r>
    </w:p>
  </w:footnote>
  <w:footnote w:id="27">
    <w:p w:rsidR="001D1963" w:rsidRPr="003F20B8" w:rsidRDefault="001D1963">
      <w:pPr>
        <w:pStyle w:val="Voetnoottekst"/>
        <w:rPr>
          <w:rFonts w:ascii="Verdana" w:hAnsi="Verdana"/>
          <w:sz w:val="16"/>
          <w:szCs w:val="16"/>
        </w:rPr>
      </w:pPr>
      <w:r w:rsidRPr="003F20B8">
        <w:rPr>
          <w:rStyle w:val="Voetnootmarkering"/>
          <w:rFonts w:ascii="Verdana" w:hAnsi="Verdana"/>
          <w:sz w:val="16"/>
          <w:szCs w:val="16"/>
        </w:rPr>
        <w:footnoteRef/>
      </w:r>
      <w:r w:rsidRPr="003F20B8">
        <w:rPr>
          <w:rFonts w:ascii="Verdana" w:hAnsi="Verdana"/>
          <w:sz w:val="16"/>
          <w:szCs w:val="16"/>
        </w:rPr>
        <w:t xml:space="preserve"> Kamerstuk</w:t>
      </w:r>
      <w:r>
        <w:rPr>
          <w:rFonts w:ascii="Verdana" w:hAnsi="Verdana"/>
          <w:sz w:val="16"/>
          <w:szCs w:val="16"/>
        </w:rPr>
        <w:t>ken II, 1975/76, 13 873, nr. 3, p. 9.</w:t>
      </w:r>
    </w:p>
  </w:footnote>
  <w:footnote w:id="28">
    <w:p w:rsidR="001D1963" w:rsidRPr="007D61EB" w:rsidRDefault="001D1963">
      <w:pPr>
        <w:pStyle w:val="Voetnoottekst"/>
        <w:rPr>
          <w:rFonts w:ascii="Verdana" w:hAnsi="Verdana"/>
          <w:sz w:val="16"/>
          <w:szCs w:val="16"/>
        </w:rPr>
      </w:pPr>
      <w:r w:rsidRPr="007D61EB">
        <w:rPr>
          <w:rStyle w:val="Voetnootmarkering"/>
          <w:rFonts w:ascii="Verdana" w:hAnsi="Verdana"/>
          <w:sz w:val="16"/>
          <w:szCs w:val="16"/>
        </w:rPr>
        <w:footnoteRef/>
      </w:r>
      <w:r w:rsidRPr="007D61EB">
        <w:rPr>
          <w:rFonts w:ascii="Verdana" w:hAnsi="Verdana"/>
          <w:sz w:val="16"/>
          <w:szCs w:val="16"/>
        </w:rPr>
        <w:t xml:space="preserve"> Vgl. </w:t>
      </w:r>
      <w:r>
        <w:rPr>
          <w:rFonts w:ascii="Verdana" w:hAnsi="Verdana"/>
          <w:sz w:val="16"/>
          <w:szCs w:val="16"/>
        </w:rPr>
        <w:t>voorstudie staatscommissie Grondwet EUR 2009</w:t>
      </w:r>
      <w:r w:rsidRPr="007D61EB">
        <w:rPr>
          <w:rFonts w:ascii="Verdana" w:hAnsi="Verdana"/>
          <w:sz w:val="16"/>
          <w:szCs w:val="16"/>
        </w:rPr>
        <w:t>, p. 31-33.</w:t>
      </w:r>
    </w:p>
  </w:footnote>
  <w:footnote w:id="29">
    <w:p w:rsidR="001D1963" w:rsidRPr="007D61EB" w:rsidRDefault="001D1963" w:rsidP="0044423E">
      <w:pPr>
        <w:pStyle w:val="Voetnoottekst"/>
        <w:rPr>
          <w:rFonts w:ascii="Verdana" w:hAnsi="Verdana"/>
          <w:sz w:val="16"/>
          <w:szCs w:val="16"/>
        </w:rPr>
      </w:pPr>
      <w:r w:rsidRPr="007D61EB">
        <w:rPr>
          <w:rStyle w:val="Voetnootmarkering"/>
          <w:rFonts w:ascii="Verdana" w:hAnsi="Verdana"/>
          <w:sz w:val="16"/>
          <w:szCs w:val="16"/>
        </w:rPr>
        <w:footnoteRef/>
      </w:r>
      <w:r w:rsidRPr="007D61EB">
        <w:rPr>
          <w:rFonts w:ascii="Verdana" w:hAnsi="Verdana"/>
          <w:sz w:val="16"/>
          <w:szCs w:val="16"/>
        </w:rPr>
        <w:t xml:space="preserve"> </w:t>
      </w:r>
      <w:r>
        <w:rPr>
          <w:rFonts w:ascii="Verdana" w:hAnsi="Verdana"/>
          <w:sz w:val="16"/>
          <w:szCs w:val="16"/>
        </w:rPr>
        <w:t xml:space="preserve">Vgl. </w:t>
      </w:r>
      <w:r w:rsidRPr="007D61EB">
        <w:rPr>
          <w:rFonts w:ascii="Verdana" w:hAnsi="Verdana"/>
          <w:sz w:val="16"/>
          <w:szCs w:val="16"/>
        </w:rPr>
        <w:t>Leeuw</w:t>
      </w:r>
      <w:r>
        <w:rPr>
          <w:rFonts w:ascii="Verdana" w:hAnsi="Verdana"/>
          <w:sz w:val="16"/>
          <w:szCs w:val="16"/>
        </w:rPr>
        <w:t xml:space="preserve"> 2013</w:t>
      </w:r>
      <w:r w:rsidRPr="007D61EB">
        <w:rPr>
          <w:rFonts w:ascii="Verdana" w:hAnsi="Verdana"/>
          <w:sz w:val="16"/>
          <w:szCs w:val="16"/>
        </w:rPr>
        <w:t>, p. 101.</w:t>
      </w:r>
    </w:p>
  </w:footnote>
  <w:footnote w:id="30">
    <w:p w:rsidR="001D1963" w:rsidRPr="00FA395F" w:rsidRDefault="001D1963">
      <w:pPr>
        <w:pStyle w:val="Voetnoottekst"/>
        <w:rPr>
          <w:rFonts w:ascii="Verdana" w:hAnsi="Verdana"/>
          <w:sz w:val="16"/>
          <w:szCs w:val="16"/>
        </w:rPr>
      </w:pPr>
      <w:r w:rsidRPr="00FA395F">
        <w:rPr>
          <w:rStyle w:val="Voetnootmarkering"/>
          <w:rFonts w:ascii="Verdana" w:hAnsi="Verdana"/>
          <w:sz w:val="16"/>
          <w:szCs w:val="16"/>
        </w:rPr>
        <w:footnoteRef/>
      </w:r>
      <w:r w:rsidRPr="00FA395F">
        <w:rPr>
          <w:rFonts w:ascii="Verdana" w:hAnsi="Verdana"/>
          <w:sz w:val="16"/>
          <w:szCs w:val="16"/>
        </w:rPr>
        <w:t xml:space="preserve"> Voorstel van wet van het lid Van Tongeren tot verandering in de Grondwet, strekkende tot invoering van de bevoegdheid tot toetsing van wetten aan een aantal bepalingen van de Grondwet door de rechter (</w:t>
      </w:r>
      <w:r>
        <w:rPr>
          <w:rFonts w:ascii="Verdana" w:hAnsi="Verdana"/>
          <w:sz w:val="16"/>
          <w:szCs w:val="16"/>
        </w:rPr>
        <w:t xml:space="preserve">Kamerstukken </w:t>
      </w:r>
      <w:r w:rsidRPr="00FA395F">
        <w:rPr>
          <w:rFonts w:ascii="Verdana" w:hAnsi="Verdana"/>
          <w:sz w:val="16"/>
          <w:szCs w:val="16"/>
        </w:rPr>
        <w:t>32 334)</w:t>
      </w:r>
      <w:r>
        <w:rPr>
          <w:rFonts w:ascii="Verdana" w:hAnsi="Verdana"/>
          <w:sz w:val="16"/>
          <w:szCs w:val="16"/>
        </w:rPr>
        <w:t>.</w:t>
      </w:r>
    </w:p>
  </w:footnote>
  <w:footnote w:id="31">
    <w:p w:rsidR="001D1963" w:rsidRPr="00072EB4" w:rsidRDefault="001D1963">
      <w:pPr>
        <w:pStyle w:val="Voetnoottekst"/>
        <w:rPr>
          <w:rFonts w:ascii="Verdana" w:hAnsi="Verdana"/>
          <w:sz w:val="16"/>
          <w:szCs w:val="16"/>
        </w:rPr>
      </w:pPr>
      <w:r w:rsidRPr="00072EB4">
        <w:rPr>
          <w:rStyle w:val="Voetnootmarkering"/>
          <w:rFonts w:ascii="Verdana" w:hAnsi="Verdana"/>
          <w:sz w:val="16"/>
          <w:szCs w:val="16"/>
        </w:rPr>
        <w:footnoteRef/>
      </w:r>
      <w:r w:rsidRPr="00072EB4">
        <w:rPr>
          <w:rFonts w:ascii="Verdana" w:hAnsi="Verdana"/>
          <w:sz w:val="16"/>
          <w:szCs w:val="16"/>
        </w:rPr>
        <w:t xml:space="preserve"> </w:t>
      </w:r>
      <w:r w:rsidRPr="00BA2E58">
        <w:rPr>
          <w:rFonts w:ascii="Verdana" w:eastAsia="Arial Unicode MS" w:hAnsi="Verdana" w:cs="Arial Unicode MS"/>
          <w:sz w:val="16"/>
          <w:szCs w:val="16"/>
        </w:rPr>
        <w:t>Kamerstukken II</w:t>
      </w:r>
      <w:r>
        <w:rPr>
          <w:rFonts w:ascii="Verdana" w:eastAsia="Arial Unicode MS" w:hAnsi="Verdana" w:cs="Arial Unicode MS"/>
          <w:sz w:val="16"/>
          <w:szCs w:val="16"/>
        </w:rPr>
        <w:t xml:space="preserve"> 1979/80, 16 162, nr. 3, blz. 1-2</w:t>
      </w:r>
      <w:r w:rsidRPr="00072EB4">
        <w:rPr>
          <w:rFonts w:ascii="Verdana" w:eastAsia="Arial Unicode MS" w:hAnsi="Verdana" w:cs="Arial Unicode MS"/>
          <w:sz w:val="16"/>
          <w:szCs w:val="16"/>
        </w:rPr>
        <w:t>.</w:t>
      </w:r>
    </w:p>
  </w:footnote>
  <w:footnote w:id="32">
    <w:p w:rsidR="001D1963" w:rsidRPr="00605688" w:rsidRDefault="001D1963">
      <w:pPr>
        <w:pStyle w:val="Voetnoottekst"/>
        <w:rPr>
          <w:rFonts w:ascii="Verdana" w:hAnsi="Verdana"/>
          <w:sz w:val="16"/>
          <w:szCs w:val="16"/>
        </w:rPr>
      </w:pPr>
      <w:r w:rsidRPr="00605688">
        <w:rPr>
          <w:rStyle w:val="Voetnootmarkering"/>
          <w:rFonts w:ascii="Verdana" w:hAnsi="Verdana"/>
          <w:sz w:val="16"/>
          <w:szCs w:val="16"/>
        </w:rPr>
        <w:footnoteRef/>
      </w:r>
      <w:r w:rsidRPr="00605688">
        <w:rPr>
          <w:rFonts w:ascii="Verdana" w:hAnsi="Verdana"/>
          <w:sz w:val="16"/>
          <w:szCs w:val="16"/>
        </w:rPr>
        <w:t xml:space="preserve"> </w:t>
      </w:r>
      <w:r w:rsidRPr="009B1215">
        <w:rPr>
          <w:rFonts w:ascii="Verdana" w:hAnsi="Verdana"/>
          <w:sz w:val="16"/>
          <w:szCs w:val="16"/>
        </w:rPr>
        <w:t xml:space="preserve">EHRM 23 oktober 1985, </w:t>
      </w:r>
      <w:r w:rsidRPr="00C64B68">
        <w:rPr>
          <w:rFonts w:ascii="Verdana" w:hAnsi="Verdana"/>
          <w:i/>
          <w:sz w:val="16"/>
          <w:szCs w:val="16"/>
        </w:rPr>
        <w:t xml:space="preserve">Benthem </w:t>
      </w:r>
      <w:r w:rsidRPr="00C64B68">
        <w:rPr>
          <w:rFonts w:ascii="Verdana" w:hAnsi="Verdana"/>
          <w:sz w:val="16"/>
          <w:szCs w:val="16"/>
        </w:rPr>
        <w:t>t.</w:t>
      </w:r>
      <w:r w:rsidRPr="00C64B68">
        <w:rPr>
          <w:rFonts w:ascii="Verdana" w:hAnsi="Verdana"/>
          <w:i/>
          <w:sz w:val="16"/>
          <w:szCs w:val="16"/>
        </w:rPr>
        <w:t xml:space="preserve"> Nederland</w:t>
      </w:r>
      <w:r w:rsidRPr="009B1215">
        <w:rPr>
          <w:rFonts w:ascii="Verdana" w:hAnsi="Verdana"/>
          <w:sz w:val="16"/>
          <w:szCs w:val="16"/>
        </w:rPr>
        <w:t xml:space="preserve">, </w:t>
      </w:r>
      <w:r>
        <w:rPr>
          <w:rFonts w:ascii="Verdana" w:hAnsi="Verdana"/>
          <w:sz w:val="16"/>
          <w:szCs w:val="16"/>
        </w:rPr>
        <w:t xml:space="preserve">nr. 8848/80; NJ 1986, 102, </w:t>
      </w:r>
      <w:proofErr w:type="spellStart"/>
      <w:r>
        <w:rPr>
          <w:rFonts w:ascii="Verdana" w:hAnsi="Verdana"/>
          <w:sz w:val="16"/>
          <w:szCs w:val="16"/>
        </w:rPr>
        <w:t>m.nt</w:t>
      </w:r>
      <w:proofErr w:type="spellEnd"/>
      <w:r>
        <w:rPr>
          <w:rFonts w:ascii="Verdana" w:hAnsi="Verdana"/>
          <w:sz w:val="16"/>
          <w:szCs w:val="16"/>
        </w:rPr>
        <w:t xml:space="preserve">. EAA; AB 1986, 1, </w:t>
      </w:r>
      <w:proofErr w:type="spellStart"/>
      <w:r>
        <w:rPr>
          <w:rFonts w:ascii="Verdana" w:hAnsi="Verdana"/>
          <w:sz w:val="16"/>
          <w:szCs w:val="16"/>
        </w:rPr>
        <w:t>m.nt</w:t>
      </w:r>
      <w:proofErr w:type="spellEnd"/>
      <w:r>
        <w:rPr>
          <w:rFonts w:ascii="Verdana" w:hAnsi="Verdana"/>
          <w:sz w:val="16"/>
          <w:szCs w:val="16"/>
        </w:rPr>
        <w:t>. EHB</w:t>
      </w:r>
      <w:r w:rsidRPr="009B1215">
        <w:rPr>
          <w:rFonts w:ascii="Verdana" w:hAnsi="Verdana"/>
          <w:sz w:val="16"/>
          <w:szCs w:val="16"/>
        </w:rPr>
        <w:t>.</w:t>
      </w:r>
    </w:p>
  </w:footnote>
  <w:footnote w:id="33">
    <w:p w:rsidR="001D1963" w:rsidRPr="00231CAC" w:rsidRDefault="001D1963" w:rsidP="00251FC1">
      <w:pPr>
        <w:pStyle w:val="Voetnoottekst"/>
        <w:rPr>
          <w:sz w:val="16"/>
          <w:szCs w:val="16"/>
        </w:rPr>
      </w:pPr>
      <w:r w:rsidRPr="00231CAC">
        <w:rPr>
          <w:rStyle w:val="Voetnootmarkering"/>
          <w:sz w:val="16"/>
          <w:szCs w:val="16"/>
        </w:rPr>
        <w:footnoteRef/>
      </w:r>
      <w:r w:rsidRPr="00231CAC">
        <w:rPr>
          <w:sz w:val="16"/>
          <w:szCs w:val="16"/>
        </w:rPr>
        <w:t xml:space="preserve"> Kamerstukken II 1979/80, 15 681 nr. 12, p. 1.</w:t>
      </w:r>
    </w:p>
  </w:footnote>
  <w:footnote w:id="34">
    <w:p w:rsidR="001D1963" w:rsidRPr="00231CAC" w:rsidRDefault="001D1963" w:rsidP="00251FC1">
      <w:pPr>
        <w:pStyle w:val="Voetnoottekst"/>
        <w:rPr>
          <w:sz w:val="16"/>
          <w:szCs w:val="16"/>
        </w:rPr>
      </w:pPr>
      <w:r w:rsidRPr="00231CAC">
        <w:rPr>
          <w:rStyle w:val="Voetnootmarkering"/>
          <w:sz w:val="16"/>
          <w:szCs w:val="16"/>
        </w:rPr>
        <w:footnoteRef/>
      </w:r>
      <w:r w:rsidRPr="00231CAC">
        <w:rPr>
          <w:sz w:val="16"/>
          <w:szCs w:val="16"/>
        </w:rPr>
        <w:t xml:space="preserve"> EHRM 26 mei 1993, </w:t>
      </w:r>
      <w:proofErr w:type="spellStart"/>
      <w:r w:rsidRPr="00251FC1">
        <w:rPr>
          <w:i/>
          <w:sz w:val="16"/>
          <w:szCs w:val="16"/>
        </w:rPr>
        <w:t>Brannigan</w:t>
      </w:r>
      <w:proofErr w:type="spellEnd"/>
      <w:r w:rsidRPr="00251FC1">
        <w:rPr>
          <w:i/>
          <w:sz w:val="16"/>
          <w:szCs w:val="16"/>
        </w:rPr>
        <w:t xml:space="preserve"> </w:t>
      </w:r>
      <w:proofErr w:type="spellStart"/>
      <w:r w:rsidRPr="00251FC1">
        <w:rPr>
          <w:i/>
          <w:sz w:val="16"/>
          <w:szCs w:val="16"/>
        </w:rPr>
        <w:t>and</w:t>
      </w:r>
      <w:proofErr w:type="spellEnd"/>
      <w:r w:rsidRPr="00251FC1">
        <w:rPr>
          <w:i/>
          <w:sz w:val="16"/>
          <w:szCs w:val="16"/>
        </w:rPr>
        <w:t xml:space="preserve"> </w:t>
      </w:r>
      <w:proofErr w:type="spellStart"/>
      <w:r w:rsidRPr="00251FC1">
        <w:rPr>
          <w:i/>
          <w:sz w:val="16"/>
          <w:szCs w:val="16"/>
        </w:rPr>
        <w:t>McBride</w:t>
      </w:r>
      <w:proofErr w:type="spellEnd"/>
      <w:r w:rsidRPr="00231CAC">
        <w:rPr>
          <w:sz w:val="16"/>
          <w:szCs w:val="16"/>
        </w:rPr>
        <w:t xml:space="preserve"> t. </w:t>
      </w:r>
      <w:r w:rsidRPr="00251FC1">
        <w:rPr>
          <w:i/>
          <w:sz w:val="16"/>
          <w:szCs w:val="16"/>
        </w:rPr>
        <w:t>Verenigd Koninkrijk</w:t>
      </w:r>
      <w:r w:rsidRPr="00231CAC">
        <w:rPr>
          <w:sz w:val="16"/>
          <w:szCs w:val="16"/>
        </w:rPr>
        <w:t xml:space="preserve">, </w:t>
      </w:r>
      <w:proofErr w:type="spellStart"/>
      <w:r w:rsidRPr="00231CAC">
        <w:rPr>
          <w:sz w:val="16"/>
          <w:szCs w:val="16"/>
        </w:rPr>
        <w:t>nrs</w:t>
      </w:r>
      <w:proofErr w:type="spellEnd"/>
      <w:r w:rsidRPr="00231CAC">
        <w:rPr>
          <w:sz w:val="16"/>
          <w:szCs w:val="16"/>
        </w:rPr>
        <w:t xml:space="preserve">. </w:t>
      </w:r>
      <w:r w:rsidRPr="00231CAC">
        <w:rPr>
          <w:rStyle w:val="textcolumn"/>
          <w:sz w:val="16"/>
          <w:szCs w:val="16"/>
        </w:rPr>
        <w:t xml:space="preserve">14553/89 en 14554/89; </w:t>
      </w:r>
      <w:r w:rsidRPr="00231CAC">
        <w:rPr>
          <w:sz w:val="16"/>
          <w:szCs w:val="16"/>
        </w:rPr>
        <w:t>EHRM 18 december 1996</w:t>
      </w:r>
      <w:r>
        <w:rPr>
          <w:sz w:val="16"/>
          <w:szCs w:val="16"/>
        </w:rPr>
        <w:t xml:space="preserve">, </w:t>
      </w:r>
      <w:proofErr w:type="spellStart"/>
      <w:r w:rsidRPr="00251FC1">
        <w:rPr>
          <w:i/>
          <w:sz w:val="16"/>
          <w:szCs w:val="16"/>
        </w:rPr>
        <w:t>Aksoy</w:t>
      </w:r>
      <w:proofErr w:type="spellEnd"/>
      <w:r w:rsidRPr="00231CAC">
        <w:rPr>
          <w:sz w:val="16"/>
          <w:szCs w:val="16"/>
        </w:rPr>
        <w:t xml:space="preserve"> t. </w:t>
      </w:r>
      <w:r w:rsidRPr="00251FC1">
        <w:rPr>
          <w:i/>
          <w:sz w:val="16"/>
          <w:szCs w:val="16"/>
        </w:rPr>
        <w:t>Turkije</w:t>
      </w:r>
      <w:r w:rsidRPr="00231CAC">
        <w:rPr>
          <w:sz w:val="16"/>
          <w:szCs w:val="16"/>
        </w:rPr>
        <w:t xml:space="preserve">, nr. </w:t>
      </w:r>
      <w:r w:rsidRPr="00231CAC">
        <w:rPr>
          <w:rStyle w:val="textcolumn"/>
          <w:sz w:val="16"/>
          <w:szCs w:val="16"/>
        </w:rPr>
        <w:t xml:space="preserve">21987/93, </w:t>
      </w:r>
      <w:r w:rsidRPr="00231CAC">
        <w:rPr>
          <w:sz w:val="16"/>
          <w:szCs w:val="16"/>
        </w:rPr>
        <w:t>par. 78; EHRM 17 juni 2003</w:t>
      </w:r>
      <w:r>
        <w:rPr>
          <w:sz w:val="16"/>
          <w:szCs w:val="16"/>
        </w:rPr>
        <w:t xml:space="preserve">, </w:t>
      </w:r>
      <w:proofErr w:type="spellStart"/>
      <w:r w:rsidRPr="00251FC1">
        <w:rPr>
          <w:i/>
          <w:sz w:val="16"/>
          <w:szCs w:val="16"/>
        </w:rPr>
        <w:t>Nuray</w:t>
      </w:r>
      <w:proofErr w:type="spellEnd"/>
      <w:r w:rsidRPr="00251FC1">
        <w:rPr>
          <w:i/>
          <w:sz w:val="16"/>
          <w:szCs w:val="16"/>
        </w:rPr>
        <w:t xml:space="preserve"> Sen</w:t>
      </w:r>
      <w:r w:rsidRPr="00231CAC">
        <w:rPr>
          <w:sz w:val="16"/>
          <w:szCs w:val="16"/>
        </w:rPr>
        <w:t xml:space="preserve"> t. </w:t>
      </w:r>
      <w:r w:rsidRPr="00251FC1">
        <w:rPr>
          <w:i/>
          <w:sz w:val="16"/>
          <w:szCs w:val="16"/>
        </w:rPr>
        <w:t>Turkije</w:t>
      </w:r>
      <w:r w:rsidRPr="00231CAC">
        <w:rPr>
          <w:sz w:val="16"/>
          <w:szCs w:val="16"/>
        </w:rPr>
        <w:t xml:space="preserve">, nr. </w:t>
      </w:r>
      <w:r w:rsidRPr="00231CAC">
        <w:rPr>
          <w:rStyle w:val="textcolumn"/>
          <w:sz w:val="16"/>
          <w:szCs w:val="16"/>
        </w:rPr>
        <w:t>41478/98.</w:t>
      </w:r>
      <w:r>
        <w:rPr>
          <w:rStyle w:val="textcolumn"/>
          <w:sz w:val="16"/>
          <w:szCs w:val="16"/>
        </w:rPr>
        <w:t xml:space="preserve"> Zie</w:t>
      </w:r>
      <w:r w:rsidRPr="0033410F">
        <w:rPr>
          <w:sz w:val="16"/>
          <w:szCs w:val="16"/>
        </w:rPr>
        <w:t xml:space="preserve"> J.P. Loof ‘Commentaar op art. 15, par. C 2.2 (p. 1233)’ in: SDU Commentaar EVRM, Deel I – Materiële bepalingen, Den Haag: SDU Uitgevers 2013.</w:t>
      </w:r>
    </w:p>
  </w:footnote>
  <w:footnote w:id="35">
    <w:p w:rsidR="001D1963" w:rsidRPr="008F06B4" w:rsidRDefault="001D1963">
      <w:pPr>
        <w:pStyle w:val="Voetnoottekst"/>
        <w:rPr>
          <w:rFonts w:ascii="Verdana" w:hAnsi="Verdana"/>
          <w:sz w:val="16"/>
          <w:szCs w:val="16"/>
        </w:rPr>
      </w:pPr>
      <w:r w:rsidRPr="008F06B4">
        <w:rPr>
          <w:rStyle w:val="Voetnootmarkering"/>
          <w:rFonts w:ascii="Verdana" w:hAnsi="Verdana"/>
          <w:sz w:val="16"/>
          <w:szCs w:val="16"/>
        </w:rPr>
        <w:footnoteRef/>
      </w:r>
      <w:r w:rsidRPr="008F06B4">
        <w:rPr>
          <w:rFonts w:ascii="Verdana" w:hAnsi="Verdana"/>
          <w:sz w:val="16"/>
          <w:szCs w:val="16"/>
        </w:rPr>
        <w:t xml:space="preserve"> Kamerstukken II 1975/76, 13 872, nr. 3, p. 11.</w:t>
      </w:r>
    </w:p>
  </w:footnote>
  <w:footnote w:id="36">
    <w:p w:rsidR="001D1963" w:rsidRPr="00C534FC" w:rsidRDefault="001D1963">
      <w:pPr>
        <w:pStyle w:val="Voetnoottekst"/>
        <w:rPr>
          <w:rFonts w:ascii="Verdana" w:hAnsi="Verdana"/>
          <w:sz w:val="16"/>
          <w:szCs w:val="16"/>
        </w:rPr>
      </w:pPr>
      <w:r w:rsidRPr="00C534FC">
        <w:rPr>
          <w:rStyle w:val="Voetnootmarkering"/>
          <w:rFonts w:ascii="Verdana" w:hAnsi="Verdana"/>
          <w:sz w:val="16"/>
          <w:szCs w:val="16"/>
        </w:rPr>
        <w:footnoteRef/>
      </w:r>
      <w:r w:rsidRPr="00C534FC">
        <w:rPr>
          <w:rFonts w:ascii="Verdana" w:hAnsi="Verdana"/>
          <w:sz w:val="16"/>
          <w:szCs w:val="16"/>
        </w:rPr>
        <w:t xml:space="preserve"> Kamerstukken II 1975/76, 13 872, nr. 3, p. 11.</w:t>
      </w:r>
    </w:p>
  </w:footnote>
  <w:footnote w:id="37">
    <w:p w:rsidR="001D1963" w:rsidRPr="009F7CBA" w:rsidRDefault="001D1963" w:rsidP="009F7CBA">
      <w:pPr>
        <w:pStyle w:val="Voetnoottekst"/>
        <w:rPr>
          <w:rFonts w:ascii="Verdana" w:hAnsi="Verdana"/>
          <w:sz w:val="16"/>
          <w:szCs w:val="16"/>
        </w:rPr>
      </w:pPr>
      <w:r w:rsidRPr="009F7CBA">
        <w:rPr>
          <w:rStyle w:val="Voetnootmarkering"/>
          <w:rFonts w:ascii="Verdana" w:hAnsi="Verdana"/>
          <w:sz w:val="16"/>
          <w:szCs w:val="16"/>
        </w:rPr>
        <w:footnoteRef/>
      </w:r>
      <w:r w:rsidRPr="009F7CBA">
        <w:rPr>
          <w:rFonts w:ascii="Verdana" w:hAnsi="Verdana"/>
          <w:sz w:val="16"/>
          <w:szCs w:val="16"/>
        </w:rPr>
        <w:t xml:space="preserve"> </w:t>
      </w:r>
      <w:r>
        <w:rPr>
          <w:rFonts w:ascii="Verdana" w:hAnsi="Verdana"/>
          <w:sz w:val="16"/>
          <w:szCs w:val="16"/>
        </w:rPr>
        <w:t xml:space="preserve">C.A.J.M. </w:t>
      </w:r>
      <w:proofErr w:type="spellStart"/>
      <w:r w:rsidRPr="009F7CBA">
        <w:rPr>
          <w:rFonts w:ascii="Verdana" w:hAnsi="Verdana"/>
          <w:sz w:val="16"/>
          <w:szCs w:val="16"/>
        </w:rPr>
        <w:t>Kortmann</w:t>
      </w:r>
      <w:proofErr w:type="spellEnd"/>
      <w:r>
        <w:rPr>
          <w:rFonts w:ascii="Verdana" w:hAnsi="Verdana"/>
          <w:sz w:val="16"/>
          <w:szCs w:val="16"/>
        </w:rPr>
        <w:t xml:space="preserve">, </w:t>
      </w:r>
      <w:r w:rsidRPr="001702A8">
        <w:rPr>
          <w:rFonts w:ascii="Verdana" w:hAnsi="Verdana"/>
          <w:i/>
          <w:sz w:val="16"/>
          <w:szCs w:val="16"/>
        </w:rPr>
        <w:t>Constitutioneel recht</w:t>
      </w:r>
      <w:r>
        <w:rPr>
          <w:rFonts w:ascii="Verdana" w:hAnsi="Verdana"/>
          <w:sz w:val="16"/>
          <w:szCs w:val="16"/>
        </w:rPr>
        <w:t>, Deventer: Kluwer</w:t>
      </w:r>
      <w:r w:rsidRPr="009F7CBA">
        <w:rPr>
          <w:rFonts w:ascii="Verdana" w:hAnsi="Verdana"/>
          <w:sz w:val="16"/>
          <w:szCs w:val="16"/>
        </w:rPr>
        <w:t xml:space="preserve"> 2012, p. 360</w:t>
      </w:r>
      <w:r>
        <w:rPr>
          <w:rFonts w:ascii="Verdana" w:hAnsi="Verdana"/>
          <w:sz w:val="16"/>
          <w:szCs w:val="16"/>
        </w:rPr>
        <w:t>;</w:t>
      </w:r>
      <w:r w:rsidRPr="009F7CBA">
        <w:rPr>
          <w:rFonts w:ascii="Verdana" w:hAnsi="Verdana"/>
          <w:sz w:val="16"/>
          <w:szCs w:val="16"/>
        </w:rPr>
        <w:t xml:space="preserve"> Van der Pot</w:t>
      </w:r>
      <w:r>
        <w:rPr>
          <w:rFonts w:ascii="Verdana" w:hAnsi="Verdana"/>
          <w:sz w:val="16"/>
          <w:szCs w:val="16"/>
        </w:rPr>
        <w:t xml:space="preserve">, </w:t>
      </w:r>
      <w:r w:rsidRPr="00152159">
        <w:rPr>
          <w:rFonts w:ascii="Verdana" w:hAnsi="Verdana"/>
          <w:i/>
          <w:sz w:val="16"/>
          <w:szCs w:val="16"/>
        </w:rPr>
        <w:t>Handboek van het Nederlandse staatsrecht</w:t>
      </w:r>
      <w:r>
        <w:rPr>
          <w:rFonts w:ascii="Verdana" w:hAnsi="Verdana"/>
          <w:sz w:val="16"/>
          <w:szCs w:val="16"/>
        </w:rPr>
        <w:t>, Deventer: Kluwer</w:t>
      </w:r>
      <w:r w:rsidRPr="009F7CBA">
        <w:rPr>
          <w:rFonts w:ascii="Verdana" w:hAnsi="Verdana"/>
          <w:sz w:val="16"/>
          <w:szCs w:val="16"/>
        </w:rPr>
        <w:t xml:space="preserve"> 2014, p. 276</w:t>
      </w:r>
      <w:r>
        <w:rPr>
          <w:rFonts w:ascii="Verdana" w:hAnsi="Verdana"/>
          <w:sz w:val="16"/>
          <w:szCs w:val="16"/>
        </w:rPr>
        <w:t>;</w:t>
      </w:r>
      <w:r w:rsidRPr="009F7CBA">
        <w:rPr>
          <w:rFonts w:ascii="Verdana" w:hAnsi="Verdana"/>
          <w:sz w:val="16"/>
          <w:szCs w:val="16"/>
        </w:rPr>
        <w:t xml:space="preserve"> deels anders: </w:t>
      </w:r>
      <w:r>
        <w:rPr>
          <w:rFonts w:ascii="Verdana" w:hAnsi="Verdana"/>
          <w:sz w:val="16"/>
          <w:szCs w:val="16"/>
        </w:rPr>
        <w:t xml:space="preserve">M.C. </w:t>
      </w:r>
      <w:proofErr w:type="spellStart"/>
      <w:r w:rsidRPr="009F7CBA">
        <w:rPr>
          <w:rFonts w:ascii="Verdana" w:hAnsi="Verdana"/>
          <w:sz w:val="16"/>
          <w:szCs w:val="16"/>
        </w:rPr>
        <w:t>Burkens</w:t>
      </w:r>
      <w:proofErr w:type="spellEnd"/>
      <w:r>
        <w:rPr>
          <w:rFonts w:ascii="Verdana" w:hAnsi="Verdana"/>
          <w:sz w:val="16"/>
          <w:szCs w:val="16"/>
        </w:rPr>
        <w:t xml:space="preserve">, </w:t>
      </w:r>
      <w:r w:rsidRPr="001702A8">
        <w:rPr>
          <w:rFonts w:ascii="Verdana" w:hAnsi="Verdana"/>
          <w:i/>
          <w:sz w:val="16"/>
          <w:szCs w:val="16"/>
        </w:rPr>
        <w:t>Algemene leerstukken van grondrechten naar Nederlands constitutioneel recht</w:t>
      </w:r>
      <w:r>
        <w:rPr>
          <w:rFonts w:ascii="Verdana" w:hAnsi="Verdana"/>
          <w:sz w:val="16"/>
          <w:szCs w:val="16"/>
        </w:rPr>
        <w:t xml:space="preserve">, Zwolle: W.E.J. Tjeenk </w:t>
      </w:r>
      <w:proofErr w:type="spellStart"/>
      <w:r>
        <w:rPr>
          <w:rFonts w:ascii="Verdana" w:hAnsi="Verdana"/>
          <w:sz w:val="16"/>
          <w:szCs w:val="16"/>
        </w:rPr>
        <w:t>Willink</w:t>
      </w:r>
      <w:proofErr w:type="spellEnd"/>
      <w:r w:rsidRPr="009F7CBA">
        <w:rPr>
          <w:rFonts w:ascii="Verdana" w:hAnsi="Verdana"/>
          <w:sz w:val="16"/>
          <w:szCs w:val="16"/>
        </w:rPr>
        <w:t xml:space="preserve"> 1989, p. 58 en </w:t>
      </w:r>
      <w:r>
        <w:rPr>
          <w:rFonts w:ascii="Verdana" w:hAnsi="Verdana"/>
          <w:sz w:val="16"/>
          <w:szCs w:val="16"/>
        </w:rPr>
        <w:t xml:space="preserve">A.G. </w:t>
      </w:r>
      <w:r w:rsidRPr="009F7CBA">
        <w:rPr>
          <w:rFonts w:ascii="Verdana" w:hAnsi="Verdana"/>
          <w:sz w:val="16"/>
          <w:szCs w:val="16"/>
        </w:rPr>
        <w:t>Maris</w:t>
      </w:r>
      <w:r>
        <w:rPr>
          <w:rFonts w:ascii="Verdana" w:hAnsi="Verdana"/>
          <w:sz w:val="16"/>
          <w:szCs w:val="16"/>
        </w:rPr>
        <w:t xml:space="preserve">, </w:t>
      </w:r>
      <w:r w:rsidRPr="001702A8">
        <w:rPr>
          <w:rFonts w:ascii="Verdana" w:hAnsi="Verdana"/>
          <w:i/>
          <w:sz w:val="16"/>
          <w:szCs w:val="16"/>
        </w:rPr>
        <w:t>Grondrechten tegen, jegens en voor de overheid</w:t>
      </w:r>
      <w:r>
        <w:rPr>
          <w:rFonts w:ascii="Verdana" w:hAnsi="Verdana"/>
          <w:sz w:val="16"/>
          <w:szCs w:val="16"/>
        </w:rPr>
        <w:t>, Deventer: Kluwer</w:t>
      </w:r>
      <w:r w:rsidRPr="009F7CBA">
        <w:rPr>
          <w:rFonts w:ascii="Verdana" w:hAnsi="Verdana"/>
          <w:sz w:val="16"/>
          <w:szCs w:val="16"/>
        </w:rPr>
        <w:t xml:space="preserve"> 2008. </w:t>
      </w:r>
    </w:p>
  </w:footnote>
  <w:footnote w:id="38">
    <w:p w:rsidR="001D1963" w:rsidRPr="00AA52BA" w:rsidRDefault="001D1963" w:rsidP="00536C3E">
      <w:pPr>
        <w:pStyle w:val="Voetnoottekst"/>
        <w:rPr>
          <w:rFonts w:ascii="Verdana" w:hAnsi="Verdana"/>
          <w:sz w:val="16"/>
          <w:szCs w:val="16"/>
        </w:rPr>
      </w:pPr>
      <w:r w:rsidRPr="00AA52BA">
        <w:rPr>
          <w:rStyle w:val="Voetnootmarkering"/>
          <w:rFonts w:ascii="Verdana" w:hAnsi="Verdana"/>
          <w:sz w:val="16"/>
          <w:szCs w:val="16"/>
        </w:rPr>
        <w:footnoteRef/>
      </w:r>
      <w:r>
        <w:rPr>
          <w:rFonts w:ascii="Verdana" w:hAnsi="Verdana"/>
          <w:sz w:val="16"/>
          <w:szCs w:val="16"/>
        </w:rPr>
        <w:t xml:space="preserve"> Vgl. HR 6 februari 1987, </w:t>
      </w:r>
      <w:r w:rsidRPr="00267155">
        <w:rPr>
          <w:rFonts w:ascii="Verdana" w:hAnsi="Verdana"/>
          <w:i/>
          <w:sz w:val="16"/>
          <w:szCs w:val="16"/>
        </w:rPr>
        <w:t>gemeente D</w:t>
      </w:r>
      <w:r w:rsidRPr="00DF731E">
        <w:rPr>
          <w:rFonts w:ascii="Verdana" w:hAnsi="Verdana"/>
          <w:i/>
          <w:sz w:val="16"/>
          <w:szCs w:val="16"/>
        </w:rPr>
        <w:t>en Haag</w:t>
      </w:r>
      <w:r w:rsidRPr="00AA52BA">
        <w:rPr>
          <w:rFonts w:ascii="Verdana" w:hAnsi="Verdana"/>
          <w:sz w:val="16"/>
          <w:szCs w:val="16"/>
        </w:rPr>
        <w:t xml:space="preserve"> t. </w:t>
      </w:r>
      <w:proofErr w:type="spellStart"/>
      <w:r w:rsidRPr="00DF731E">
        <w:rPr>
          <w:rFonts w:ascii="Verdana" w:hAnsi="Verdana"/>
          <w:i/>
          <w:sz w:val="16"/>
          <w:szCs w:val="16"/>
        </w:rPr>
        <w:t>Aral</w:t>
      </w:r>
      <w:proofErr w:type="spellEnd"/>
      <w:r w:rsidRPr="00AA52BA">
        <w:rPr>
          <w:rFonts w:ascii="Verdana" w:hAnsi="Verdana"/>
          <w:sz w:val="16"/>
          <w:szCs w:val="16"/>
        </w:rPr>
        <w:t>, NJ 1988, 47, waarin de Hoge Raad oordeelde dat de overheid geen beroep toekomt op artikel 6, eerste lid, EVRM.</w:t>
      </w:r>
      <w:r>
        <w:rPr>
          <w:rFonts w:ascii="Verdana" w:hAnsi="Verdana"/>
          <w:sz w:val="16"/>
          <w:szCs w:val="16"/>
        </w:rPr>
        <w:t xml:space="preserve"> Zie ook </w:t>
      </w:r>
      <w:proofErr w:type="spellStart"/>
      <w:r>
        <w:rPr>
          <w:rFonts w:ascii="Verdana" w:hAnsi="Verdana"/>
          <w:sz w:val="16"/>
          <w:szCs w:val="16"/>
        </w:rPr>
        <w:t>ABRvS</w:t>
      </w:r>
      <w:proofErr w:type="spellEnd"/>
      <w:r>
        <w:rPr>
          <w:rFonts w:ascii="Verdana" w:hAnsi="Verdana"/>
          <w:sz w:val="16"/>
          <w:szCs w:val="16"/>
        </w:rPr>
        <w:t xml:space="preserve"> 19 november 2003, AB 2004,196; </w:t>
      </w:r>
      <w:proofErr w:type="spellStart"/>
      <w:r>
        <w:rPr>
          <w:rFonts w:ascii="Verdana" w:hAnsi="Verdana"/>
          <w:sz w:val="16"/>
          <w:szCs w:val="16"/>
        </w:rPr>
        <w:t>ABRvS</w:t>
      </w:r>
      <w:proofErr w:type="spellEnd"/>
      <w:r>
        <w:rPr>
          <w:rFonts w:ascii="Verdana" w:hAnsi="Verdana"/>
          <w:sz w:val="16"/>
          <w:szCs w:val="16"/>
        </w:rPr>
        <w:t xml:space="preserve"> 29 april 2008, AB 2008, 260 en </w:t>
      </w:r>
      <w:proofErr w:type="spellStart"/>
      <w:r>
        <w:rPr>
          <w:rFonts w:ascii="Verdana" w:hAnsi="Verdana"/>
          <w:sz w:val="16"/>
          <w:szCs w:val="16"/>
        </w:rPr>
        <w:t>ABRvS</w:t>
      </w:r>
      <w:proofErr w:type="spellEnd"/>
      <w:r>
        <w:rPr>
          <w:rFonts w:ascii="Verdana" w:hAnsi="Verdana"/>
          <w:sz w:val="16"/>
          <w:szCs w:val="16"/>
        </w:rPr>
        <w:t xml:space="preserve"> 29 juli 2011, AB 2011, 281 </w:t>
      </w:r>
      <w:proofErr w:type="spellStart"/>
      <w:r>
        <w:rPr>
          <w:rFonts w:ascii="Verdana" w:hAnsi="Verdana"/>
          <w:sz w:val="16"/>
          <w:szCs w:val="16"/>
        </w:rPr>
        <w:t>m.nt</w:t>
      </w:r>
      <w:proofErr w:type="spellEnd"/>
      <w:r>
        <w:rPr>
          <w:rFonts w:ascii="Verdana" w:hAnsi="Verdana"/>
          <w:sz w:val="16"/>
          <w:szCs w:val="16"/>
        </w:rPr>
        <w:t xml:space="preserve">. </w:t>
      </w:r>
      <w:proofErr w:type="spellStart"/>
      <w:r>
        <w:rPr>
          <w:rFonts w:ascii="Verdana" w:hAnsi="Verdana"/>
          <w:sz w:val="16"/>
          <w:szCs w:val="16"/>
        </w:rPr>
        <w:t>Backes</w:t>
      </w:r>
      <w:proofErr w:type="spellEnd"/>
      <w:r>
        <w:rPr>
          <w:rFonts w:ascii="Verdana" w:hAnsi="Verdana"/>
          <w:sz w:val="16"/>
          <w:szCs w:val="16"/>
        </w:rPr>
        <w:t>.</w:t>
      </w:r>
    </w:p>
  </w:footnote>
  <w:footnote w:id="39">
    <w:p w:rsidR="001D1963" w:rsidRPr="00224470" w:rsidRDefault="001D1963" w:rsidP="009F7CBA">
      <w:pPr>
        <w:pStyle w:val="Voetnoottekst"/>
        <w:rPr>
          <w:rFonts w:ascii="Verdana" w:hAnsi="Verdana"/>
          <w:sz w:val="16"/>
          <w:szCs w:val="16"/>
        </w:rPr>
      </w:pPr>
      <w:r w:rsidRPr="00224470">
        <w:rPr>
          <w:rStyle w:val="Voetnootmarkering"/>
          <w:rFonts w:ascii="Verdana" w:hAnsi="Verdana"/>
          <w:sz w:val="16"/>
          <w:szCs w:val="16"/>
        </w:rPr>
        <w:footnoteRef/>
      </w:r>
      <w:r w:rsidRPr="00224470">
        <w:rPr>
          <w:rFonts w:ascii="Verdana" w:hAnsi="Verdana"/>
          <w:sz w:val="16"/>
          <w:szCs w:val="16"/>
        </w:rPr>
        <w:t xml:space="preserve"> Vgl. Van der Pot 2014 p. 276.</w:t>
      </w:r>
    </w:p>
  </w:footnote>
  <w:footnote w:id="40">
    <w:p w:rsidR="001D1963" w:rsidRPr="005C017E" w:rsidRDefault="001D1963" w:rsidP="00E25D8A">
      <w:pPr>
        <w:pStyle w:val="Voetnoottekst"/>
        <w:rPr>
          <w:rFonts w:ascii="Verdana" w:hAnsi="Verdana"/>
          <w:sz w:val="16"/>
          <w:szCs w:val="16"/>
        </w:rPr>
      </w:pPr>
      <w:r w:rsidRPr="005C017E">
        <w:rPr>
          <w:rStyle w:val="Voetnootmarkering"/>
          <w:rFonts w:ascii="Verdana" w:hAnsi="Verdana"/>
          <w:sz w:val="16"/>
          <w:szCs w:val="16"/>
        </w:rPr>
        <w:footnoteRef/>
      </w:r>
      <w:r>
        <w:rPr>
          <w:rFonts w:ascii="Verdana" w:hAnsi="Verdana"/>
          <w:sz w:val="16"/>
          <w:szCs w:val="16"/>
        </w:rPr>
        <w:t xml:space="preserve"> EHRM 21 februari 1975</w:t>
      </w:r>
      <w:r w:rsidRPr="005C017E">
        <w:rPr>
          <w:rFonts w:ascii="Verdana" w:hAnsi="Verdana"/>
          <w:sz w:val="16"/>
          <w:szCs w:val="16"/>
        </w:rPr>
        <w:t xml:space="preserve">, </w:t>
      </w:r>
      <w:proofErr w:type="spellStart"/>
      <w:r w:rsidRPr="009E33A5">
        <w:rPr>
          <w:rFonts w:ascii="Verdana" w:hAnsi="Verdana"/>
          <w:i/>
          <w:sz w:val="16"/>
          <w:szCs w:val="16"/>
        </w:rPr>
        <w:t>Golder</w:t>
      </w:r>
      <w:proofErr w:type="spellEnd"/>
      <w:r w:rsidRPr="009E33A5">
        <w:rPr>
          <w:rFonts w:ascii="Verdana" w:hAnsi="Verdana"/>
          <w:i/>
          <w:sz w:val="16"/>
          <w:szCs w:val="16"/>
        </w:rPr>
        <w:t xml:space="preserve"> </w:t>
      </w:r>
      <w:r w:rsidRPr="00791071">
        <w:rPr>
          <w:rFonts w:ascii="Verdana" w:hAnsi="Verdana"/>
          <w:sz w:val="16"/>
          <w:szCs w:val="16"/>
        </w:rPr>
        <w:t>t.</w:t>
      </w:r>
      <w:r w:rsidRPr="009E33A5">
        <w:rPr>
          <w:rFonts w:ascii="Verdana" w:hAnsi="Verdana"/>
          <w:i/>
          <w:sz w:val="16"/>
          <w:szCs w:val="16"/>
        </w:rPr>
        <w:t xml:space="preserve"> het Verenigd Koninkrijk</w:t>
      </w:r>
      <w:r w:rsidRPr="005C017E">
        <w:rPr>
          <w:rFonts w:ascii="Verdana" w:hAnsi="Verdana"/>
          <w:sz w:val="16"/>
          <w:szCs w:val="16"/>
        </w:rPr>
        <w:t>, nr. 4451/70.</w:t>
      </w:r>
      <w:r w:rsidRPr="000B63A9">
        <w:rPr>
          <w:rFonts w:ascii="Verdana" w:hAnsi="Verdana"/>
          <w:sz w:val="16"/>
          <w:szCs w:val="16"/>
        </w:rPr>
        <w:t xml:space="preserve"> </w:t>
      </w:r>
      <w:r>
        <w:rPr>
          <w:rFonts w:ascii="Verdana" w:hAnsi="Verdana"/>
          <w:sz w:val="16"/>
          <w:szCs w:val="16"/>
        </w:rPr>
        <w:t xml:space="preserve">Zie </w:t>
      </w:r>
      <w:r w:rsidRPr="00903728">
        <w:rPr>
          <w:rFonts w:ascii="Verdana" w:hAnsi="Verdana"/>
          <w:i/>
          <w:sz w:val="16"/>
          <w:szCs w:val="16"/>
        </w:rPr>
        <w:t>SDU commentaar EVRM 2013, Deel I: materiële rechten</w:t>
      </w:r>
      <w:r>
        <w:rPr>
          <w:rFonts w:ascii="Verdana" w:hAnsi="Verdana"/>
          <w:sz w:val="16"/>
          <w:szCs w:val="16"/>
        </w:rPr>
        <w:t>, C.1 Toegang tot de rechter (auteur B.J.G. Leeuw), p. 200.</w:t>
      </w:r>
    </w:p>
  </w:footnote>
  <w:footnote w:id="41">
    <w:p w:rsidR="001D1963" w:rsidRPr="005C017E" w:rsidRDefault="001D1963" w:rsidP="00284432">
      <w:pPr>
        <w:pStyle w:val="Voetnoottekst"/>
        <w:rPr>
          <w:rFonts w:ascii="Verdana" w:hAnsi="Verdana"/>
          <w:sz w:val="16"/>
          <w:szCs w:val="16"/>
        </w:rPr>
      </w:pPr>
      <w:r w:rsidRPr="005C017E">
        <w:rPr>
          <w:rStyle w:val="Voetnootmarkering"/>
          <w:rFonts w:ascii="Verdana" w:hAnsi="Verdana"/>
          <w:sz w:val="16"/>
          <w:szCs w:val="16"/>
        </w:rPr>
        <w:footnoteRef/>
      </w:r>
      <w:r w:rsidRPr="005C017E">
        <w:rPr>
          <w:rFonts w:ascii="Verdana" w:hAnsi="Verdana"/>
          <w:sz w:val="16"/>
          <w:szCs w:val="16"/>
        </w:rPr>
        <w:t xml:space="preserve"> </w:t>
      </w:r>
      <w:r w:rsidRPr="005C017E">
        <w:rPr>
          <w:rFonts w:ascii="Verdana" w:hAnsi="Verdana" w:cs="Arial"/>
          <w:sz w:val="16"/>
          <w:szCs w:val="16"/>
        </w:rPr>
        <w:t xml:space="preserve"> Vgl. in deze zin ook </w:t>
      </w:r>
      <w:r>
        <w:rPr>
          <w:rFonts w:ascii="Verdana" w:hAnsi="Verdana" w:cs="Arial"/>
          <w:sz w:val="16"/>
          <w:szCs w:val="16"/>
        </w:rPr>
        <w:t xml:space="preserve">voorstudie staatscommissie Grondwet EUR 2009, p. 39-40 en voorstudie staatscommissie Grondwet UL 2009, p. 9-12, ook in: </w:t>
      </w:r>
      <w:proofErr w:type="spellStart"/>
      <w:r>
        <w:rPr>
          <w:rFonts w:ascii="Verdana" w:hAnsi="Verdana" w:cs="Arial"/>
          <w:sz w:val="16"/>
          <w:szCs w:val="16"/>
        </w:rPr>
        <w:t>Barkhuysen</w:t>
      </w:r>
      <w:proofErr w:type="spellEnd"/>
      <w:r>
        <w:rPr>
          <w:rFonts w:ascii="Verdana" w:hAnsi="Verdana" w:cs="Arial"/>
          <w:sz w:val="16"/>
          <w:szCs w:val="16"/>
        </w:rPr>
        <w:t xml:space="preserve">, Van Emmerik &amp; Loof (red.), </w:t>
      </w:r>
      <w:r w:rsidRPr="00AF27B4">
        <w:rPr>
          <w:rFonts w:ascii="Verdana" w:hAnsi="Verdana" w:cs="Arial"/>
          <w:i/>
          <w:sz w:val="16"/>
          <w:szCs w:val="16"/>
        </w:rPr>
        <w:t>Geschakeld recht</w:t>
      </w:r>
      <w:r>
        <w:rPr>
          <w:rFonts w:ascii="Verdana" w:hAnsi="Verdana" w:cs="Arial"/>
          <w:sz w:val="16"/>
          <w:szCs w:val="16"/>
        </w:rPr>
        <w:t>, Deventer: Kluwer 2009, p. 13-39, op p.15-16.</w:t>
      </w:r>
    </w:p>
  </w:footnote>
  <w:footnote w:id="42">
    <w:p w:rsidR="001D1963" w:rsidRPr="00BB4D8C" w:rsidRDefault="001D1963">
      <w:pPr>
        <w:pStyle w:val="Voetnoottekst"/>
        <w:rPr>
          <w:rFonts w:ascii="Verdana" w:hAnsi="Verdana"/>
          <w:sz w:val="16"/>
          <w:szCs w:val="16"/>
        </w:rPr>
      </w:pPr>
      <w:r w:rsidRPr="00BB4D8C">
        <w:rPr>
          <w:rStyle w:val="Voetnootmarkering"/>
          <w:rFonts w:ascii="Verdana" w:hAnsi="Verdana"/>
          <w:sz w:val="16"/>
          <w:szCs w:val="16"/>
        </w:rPr>
        <w:footnoteRef/>
      </w:r>
      <w:r w:rsidRPr="00BB4D8C">
        <w:rPr>
          <w:rFonts w:ascii="Verdana" w:hAnsi="Verdana"/>
          <w:sz w:val="16"/>
          <w:szCs w:val="16"/>
        </w:rPr>
        <w:t xml:space="preserve"> </w:t>
      </w:r>
      <w:r w:rsidRPr="00E6035A">
        <w:rPr>
          <w:rFonts w:ascii="Verdana" w:hAnsi="Verdana"/>
          <w:sz w:val="16"/>
          <w:szCs w:val="16"/>
        </w:rPr>
        <w:t>Kamerstukken I</w:t>
      </w:r>
      <w:r w:rsidRPr="00BB4D8C">
        <w:rPr>
          <w:rFonts w:ascii="Verdana" w:hAnsi="Verdana"/>
          <w:sz w:val="16"/>
          <w:szCs w:val="16"/>
        </w:rPr>
        <w:t xml:space="preserve"> 1998/99, 26 221, nr. 6, </w:t>
      </w:r>
      <w:r>
        <w:rPr>
          <w:rFonts w:ascii="Verdana" w:hAnsi="Verdana"/>
          <w:sz w:val="16"/>
          <w:szCs w:val="16"/>
        </w:rPr>
        <w:t>blz.</w:t>
      </w:r>
      <w:r w:rsidRPr="00BB4D8C">
        <w:rPr>
          <w:rFonts w:ascii="Verdana" w:hAnsi="Verdana"/>
          <w:sz w:val="16"/>
          <w:szCs w:val="16"/>
        </w:rPr>
        <w:t xml:space="preserve"> 11 en nr. 36b, </w:t>
      </w:r>
      <w:r>
        <w:rPr>
          <w:rFonts w:ascii="Verdana" w:hAnsi="Verdana"/>
          <w:sz w:val="16"/>
          <w:szCs w:val="16"/>
        </w:rPr>
        <w:t>blz.</w:t>
      </w:r>
      <w:r w:rsidRPr="00BB4D8C">
        <w:rPr>
          <w:rFonts w:ascii="Verdana" w:hAnsi="Verdana"/>
          <w:sz w:val="16"/>
          <w:szCs w:val="16"/>
        </w:rPr>
        <w:t xml:space="preserve"> 2</w:t>
      </w:r>
      <w:r>
        <w:rPr>
          <w:rFonts w:ascii="Verdana" w:hAnsi="Verdana"/>
          <w:sz w:val="16"/>
          <w:szCs w:val="16"/>
        </w:rPr>
        <w:t xml:space="preserve"> (wetsvoorstel tot goedkeuring van het </w:t>
      </w:r>
      <w:proofErr w:type="spellStart"/>
      <w:r>
        <w:rPr>
          <w:rFonts w:ascii="Verdana" w:hAnsi="Verdana"/>
          <w:sz w:val="16"/>
          <w:szCs w:val="16"/>
        </w:rPr>
        <w:t>Lockerbie</w:t>
      </w:r>
      <w:proofErr w:type="spellEnd"/>
      <w:r>
        <w:rPr>
          <w:rFonts w:ascii="Verdana" w:hAnsi="Verdana"/>
          <w:sz w:val="16"/>
          <w:szCs w:val="16"/>
        </w:rPr>
        <w:t>-verdrag)</w:t>
      </w:r>
      <w:r w:rsidRPr="00BB4D8C">
        <w:rPr>
          <w:rFonts w:ascii="Verdana" w:hAnsi="Verdana"/>
          <w:sz w:val="16"/>
          <w:szCs w:val="16"/>
        </w:rPr>
        <w:t>.</w:t>
      </w:r>
    </w:p>
  </w:footnote>
  <w:footnote w:id="43">
    <w:p w:rsidR="001D1963" w:rsidRPr="006D1B78" w:rsidRDefault="001D1963" w:rsidP="00F97C79">
      <w:pPr>
        <w:pStyle w:val="Voetnoottekst"/>
        <w:rPr>
          <w:rFonts w:ascii="Verdana" w:hAnsi="Verdana"/>
          <w:sz w:val="16"/>
          <w:szCs w:val="16"/>
        </w:rPr>
      </w:pPr>
      <w:r w:rsidRPr="006D1B78">
        <w:rPr>
          <w:rStyle w:val="Voetnootmarkering"/>
          <w:rFonts w:ascii="Verdana" w:hAnsi="Verdana"/>
          <w:sz w:val="16"/>
          <w:szCs w:val="16"/>
        </w:rPr>
        <w:footnoteRef/>
      </w:r>
      <w:r w:rsidRPr="006D1B78">
        <w:rPr>
          <w:rFonts w:ascii="Verdana" w:hAnsi="Verdana"/>
          <w:sz w:val="16"/>
          <w:szCs w:val="16"/>
        </w:rPr>
        <w:t xml:space="preserve"> Vgl. </w:t>
      </w:r>
      <w:r w:rsidRPr="00E6035A">
        <w:rPr>
          <w:rFonts w:ascii="Verdana" w:hAnsi="Verdana"/>
          <w:sz w:val="16"/>
          <w:szCs w:val="16"/>
        </w:rPr>
        <w:t>Kamerstukken I</w:t>
      </w:r>
      <w:r w:rsidRPr="006D1B78">
        <w:rPr>
          <w:rFonts w:ascii="Verdana" w:hAnsi="Verdana"/>
          <w:sz w:val="16"/>
          <w:szCs w:val="16"/>
        </w:rPr>
        <w:t xml:space="preserve"> 2013/14, 33 750, P, </w:t>
      </w:r>
      <w:r>
        <w:rPr>
          <w:rFonts w:ascii="Verdana" w:hAnsi="Verdana"/>
          <w:sz w:val="16"/>
          <w:szCs w:val="16"/>
        </w:rPr>
        <w:t>blz.</w:t>
      </w:r>
      <w:r w:rsidRPr="006D1B78">
        <w:rPr>
          <w:rFonts w:ascii="Verdana" w:hAnsi="Verdana"/>
          <w:sz w:val="16"/>
          <w:szCs w:val="16"/>
        </w:rPr>
        <w:t xml:space="preserve"> 1.</w:t>
      </w:r>
    </w:p>
  </w:footnote>
  <w:footnote w:id="44">
    <w:p w:rsidR="001D1963" w:rsidRPr="00786A97" w:rsidRDefault="001D1963">
      <w:pPr>
        <w:pStyle w:val="Voetnoottekst"/>
        <w:rPr>
          <w:rFonts w:ascii="Verdana" w:hAnsi="Verdana"/>
          <w:sz w:val="16"/>
          <w:szCs w:val="16"/>
        </w:rPr>
      </w:pPr>
      <w:r w:rsidRPr="00786A97">
        <w:rPr>
          <w:rStyle w:val="Voetnootmarkering"/>
          <w:rFonts w:ascii="Verdana" w:hAnsi="Verdana"/>
          <w:sz w:val="16"/>
          <w:szCs w:val="16"/>
        </w:rPr>
        <w:footnoteRef/>
      </w:r>
      <w:r w:rsidRPr="00786A97">
        <w:rPr>
          <w:rFonts w:ascii="Verdana" w:hAnsi="Verdana"/>
          <w:sz w:val="16"/>
          <w:szCs w:val="16"/>
        </w:rPr>
        <w:t xml:space="preserve"> </w:t>
      </w:r>
      <w:r w:rsidRPr="00E6035A">
        <w:rPr>
          <w:rFonts w:ascii="Verdana" w:hAnsi="Verdana"/>
          <w:sz w:val="16"/>
          <w:szCs w:val="16"/>
        </w:rPr>
        <w:t>Kamerstukken I 2013</w:t>
      </w:r>
      <w:r w:rsidRPr="00786A97">
        <w:rPr>
          <w:rFonts w:ascii="Verdana" w:hAnsi="Verdana"/>
          <w:sz w:val="16"/>
          <w:szCs w:val="16"/>
        </w:rPr>
        <w:t>/14, 33 750, P</w:t>
      </w:r>
      <w:r>
        <w:rPr>
          <w:rFonts w:ascii="Verdana" w:hAnsi="Verdana"/>
          <w:sz w:val="16"/>
          <w:szCs w:val="16"/>
        </w:rPr>
        <w:t>, b</w:t>
      </w:r>
      <w:r w:rsidRPr="00786A97">
        <w:rPr>
          <w:rFonts w:ascii="Verdana" w:hAnsi="Verdana"/>
          <w:sz w:val="16"/>
          <w:szCs w:val="16"/>
        </w:rPr>
        <w:t xml:space="preserve">rief van 13 december 2013 in reactie op de motie Kox c.s., </w:t>
      </w:r>
      <w:r w:rsidRPr="00E6035A">
        <w:rPr>
          <w:rFonts w:ascii="Verdana" w:hAnsi="Verdana"/>
          <w:sz w:val="16"/>
          <w:szCs w:val="16"/>
        </w:rPr>
        <w:t>Kamerstukken I</w:t>
      </w:r>
      <w:r w:rsidRPr="00786A97">
        <w:rPr>
          <w:rFonts w:ascii="Verdana" w:hAnsi="Verdana"/>
          <w:sz w:val="16"/>
          <w:szCs w:val="16"/>
        </w:rPr>
        <w:t xml:space="preserve"> 2013/14, 33 750, G, waarin de regering is gevraagd een visie te formuleren die laat zien hoe de toegang tot de rechter en rechtshulp kan en zal worden gegarandeerd.</w:t>
      </w:r>
    </w:p>
  </w:footnote>
  <w:footnote w:id="45">
    <w:p w:rsidR="001D1963" w:rsidRPr="000B63A9" w:rsidRDefault="001D1963">
      <w:pPr>
        <w:pStyle w:val="Voetnoottekst"/>
        <w:rPr>
          <w:rFonts w:ascii="Verdana" w:hAnsi="Verdana"/>
          <w:sz w:val="16"/>
          <w:szCs w:val="16"/>
        </w:rPr>
      </w:pPr>
      <w:r w:rsidRPr="000B63A9">
        <w:rPr>
          <w:rStyle w:val="Voetnootmarkering"/>
          <w:rFonts w:ascii="Verdana" w:hAnsi="Verdana"/>
          <w:sz w:val="16"/>
          <w:szCs w:val="16"/>
        </w:rPr>
        <w:footnoteRef/>
      </w:r>
      <w:r w:rsidRPr="000B63A9">
        <w:rPr>
          <w:rFonts w:ascii="Verdana" w:hAnsi="Verdana"/>
          <w:sz w:val="16"/>
          <w:szCs w:val="16"/>
        </w:rPr>
        <w:t xml:space="preserve"> </w:t>
      </w:r>
      <w:r w:rsidRPr="00E6035A">
        <w:rPr>
          <w:rFonts w:ascii="Verdana" w:hAnsi="Verdana"/>
          <w:sz w:val="16"/>
          <w:szCs w:val="16"/>
        </w:rPr>
        <w:t>Kamerstukken II</w:t>
      </w:r>
      <w:r w:rsidRPr="000B63A9">
        <w:rPr>
          <w:rFonts w:ascii="Verdana" w:hAnsi="Verdana"/>
          <w:sz w:val="16"/>
          <w:szCs w:val="16"/>
        </w:rPr>
        <w:t xml:space="preserve"> 1975/76, 13 873, nr. 3, </w:t>
      </w:r>
      <w:r>
        <w:rPr>
          <w:rFonts w:ascii="Verdana" w:hAnsi="Verdana"/>
          <w:sz w:val="16"/>
          <w:szCs w:val="16"/>
        </w:rPr>
        <w:t>blz.</w:t>
      </w:r>
      <w:r w:rsidRPr="000B63A9">
        <w:rPr>
          <w:rFonts w:ascii="Verdana" w:hAnsi="Verdana"/>
          <w:sz w:val="16"/>
          <w:szCs w:val="16"/>
        </w:rPr>
        <w:t xml:space="preserve"> 8.</w:t>
      </w:r>
    </w:p>
  </w:footnote>
  <w:footnote w:id="46">
    <w:p w:rsidR="001D1963" w:rsidRPr="006725FA" w:rsidRDefault="001D1963">
      <w:pPr>
        <w:pStyle w:val="Voetnoottekst"/>
        <w:rPr>
          <w:rFonts w:ascii="Verdana" w:hAnsi="Verdana"/>
          <w:sz w:val="16"/>
          <w:szCs w:val="16"/>
        </w:rPr>
      </w:pPr>
      <w:r w:rsidRPr="006725FA">
        <w:rPr>
          <w:rStyle w:val="Voetnootmarkering"/>
          <w:rFonts w:ascii="Verdana" w:hAnsi="Verdana"/>
          <w:sz w:val="16"/>
          <w:szCs w:val="16"/>
        </w:rPr>
        <w:footnoteRef/>
      </w:r>
      <w:r w:rsidRPr="006725FA">
        <w:rPr>
          <w:rFonts w:ascii="Verdana" w:hAnsi="Verdana"/>
          <w:sz w:val="16"/>
          <w:szCs w:val="16"/>
        </w:rPr>
        <w:t xml:space="preserve"> EHRM 9 oktober 1979, </w:t>
      </w:r>
      <w:proofErr w:type="spellStart"/>
      <w:r w:rsidRPr="006725FA">
        <w:rPr>
          <w:rFonts w:ascii="Verdana" w:hAnsi="Verdana"/>
          <w:i/>
          <w:sz w:val="16"/>
          <w:szCs w:val="16"/>
        </w:rPr>
        <w:t>Airey</w:t>
      </w:r>
      <w:proofErr w:type="spellEnd"/>
      <w:r w:rsidRPr="006725FA">
        <w:rPr>
          <w:rFonts w:ascii="Verdana" w:hAnsi="Verdana"/>
          <w:i/>
          <w:sz w:val="16"/>
          <w:szCs w:val="16"/>
        </w:rPr>
        <w:t xml:space="preserve"> t. Ierland</w:t>
      </w:r>
      <w:r w:rsidRPr="006725FA">
        <w:rPr>
          <w:rFonts w:ascii="Verdana" w:hAnsi="Verdana"/>
          <w:sz w:val="16"/>
          <w:szCs w:val="16"/>
        </w:rPr>
        <w:t>, nr. 6289/73.</w:t>
      </w:r>
    </w:p>
  </w:footnote>
  <w:footnote w:id="47">
    <w:p w:rsidR="001D1963" w:rsidRPr="006725FA" w:rsidRDefault="001D1963">
      <w:pPr>
        <w:pStyle w:val="Voetnoottekst"/>
        <w:rPr>
          <w:rFonts w:ascii="Verdana" w:hAnsi="Verdana"/>
          <w:sz w:val="16"/>
          <w:szCs w:val="16"/>
        </w:rPr>
      </w:pPr>
      <w:r w:rsidRPr="006725FA">
        <w:rPr>
          <w:rStyle w:val="Voetnootmarkering"/>
          <w:rFonts w:ascii="Verdana" w:hAnsi="Verdana"/>
          <w:sz w:val="16"/>
          <w:szCs w:val="16"/>
        </w:rPr>
        <w:footnoteRef/>
      </w:r>
      <w:r w:rsidRPr="006725FA">
        <w:rPr>
          <w:rFonts w:ascii="Verdana" w:hAnsi="Verdana"/>
          <w:sz w:val="16"/>
          <w:szCs w:val="16"/>
        </w:rPr>
        <w:t xml:space="preserve"> EHRM 15 juni 2004, </w:t>
      </w:r>
      <w:r w:rsidRPr="006725FA">
        <w:rPr>
          <w:rFonts w:ascii="Verdana" w:hAnsi="Verdana"/>
          <w:i/>
          <w:sz w:val="16"/>
          <w:szCs w:val="16"/>
        </w:rPr>
        <w:t xml:space="preserve">S.C. </w:t>
      </w:r>
      <w:r w:rsidRPr="00791071">
        <w:rPr>
          <w:rFonts w:ascii="Verdana" w:hAnsi="Verdana"/>
          <w:sz w:val="16"/>
          <w:szCs w:val="16"/>
        </w:rPr>
        <w:t xml:space="preserve">t. </w:t>
      </w:r>
      <w:r>
        <w:rPr>
          <w:rFonts w:ascii="Verdana" w:hAnsi="Verdana"/>
          <w:i/>
          <w:sz w:val="16"/>
          <w:szCs w:val="16"/>
        </w:rPr>
        <w:t xml:space="preserve">het </w:t>
      </w:r>
      <w:r w:rsidRPr="006725FA">
        <w:rPr>
          <w:rFonts w:ascii="Verdana" w:hAnsi="Verdana"/>
          <w:i/>
          <w:sz w:val="16"/>
          <w:szCs w:val="16"/>
        </w:rPr>
        <w:t>Verenigd Koninkrijk</w:t>
      </w:r>
      <w:r w:rsidRPr="006725FA">
        <w:rPr>
          <w:rFonts w:ascii="Verdana" w:hAnsi="Verdana"/>
          <w:sz w:val="16"/>
          <w:szCs w:val="16"/>
        </w:rPr>
        <w:t>, nr. 60958/00, EHRC 2004/75 (</w:t>
      </w:r>
      <w:proofErr w:type="spellStart"/>
      <w:r w:rsidRPr="006725FA">
        <w:rPr>
          <w:rFonts w:ascii="Verdana" w:hAnsi="Verdana"/>
          <w:sz w:val="16"/>
          <w:szCs w:val="16"/>
        </w:rPr>
        <w:t>m.nt</w:t>
      </w:r>
      <w:proofErr w:type="spellEnd"/>
      <w:r w:rsidRPr="006725FA">
        <w:rPr>
          <w:rFonts w:ascii="Verdana" w:hAnsi="Verdana"/>
          <w:sz w:val="16"/>
          <w:szCs w:val="16"/>
        </w:rPr>
        <w:t>. Prakken).</w:t>
      </w:r>
    </w:p>
  </w:footnote>
  <w:footnote w:id="48">
    <w:p w:rsidR="001D1963" w:rsidRPr="005C017E" w:rsidRDefault="001D1963" w:rsidP="00284432">
      <w:pPr>
        <w:pStyle w:val="Voetnoottekst"/>
        <w:rPr>
          <w:rFonts w:ascii="Verdana" w:hAnsi="Verdana"/>
          <w:sz w:val="16"/>
          <w:szCs w:val="16"/>
        </w:rPr>
      </w:pPr>
      <w:r w:rsidRPr="005C017E">
        <w:rPr>
          <w:rStyle w:val="Voetnootmarkering"/>
          <w:rFonts w:ascii="Verdana" w:hAnsi="Verdana"/>
          <w:sz w:val="16"/>
          <w:szCs w:val="16"/>
        </w:rPr>
        <w:footnoteRef/>
      </w:r>
      <w:r>
        <w:rPr>
          <w:rFonts w:ascii="Verdana" w:hAnsi="Verdana"/>
          <w:sz w:val="16"/>
          <w:szCs w:val="16"/>
        </w:rPr>
        <w:t xml:space="preserve"> </w:t>
      </w:r>
      <w:r w:rsidRPr="005C017E">
        <w:rPr>
          <w:rFonts w:ascii="Verdana" w:hAnsi="Verdana"/>
          <w:sz w:val="16"/>
          <w:szCs w:val="16"/>
        </w:rPr>
        <w:t xml:space="preserve">EHRM 15 februari 2005, </w:t>
      </w:r>
      <w:r w:rsidRPr="009E33A5">
        <w:rPr>
          <w:rFonts w:ascii="Verdana" w:hAnsi="Verdana"/>
          <w:i/>
          <w:sz w:val="16"/>
          <w:szCs w:val="16"/>
        </w:rPr>
        <w:t xml:space="preserve">Steel &amp; Morris </w:t>
      </w:r>
      <w:r w:rsidRPr="00791071">
        <w:rPr>
          <w:rFonts w:ascii="Verdana" w:hAnsi="Verdana"/>
          <w:sz w:val="16"/>
          <w:szCs w:val="16"/>
        </w:rPr>
        <w:t>t.</w:t>
      </w:r>
      <w:r w:rsidRPr="009E33A5">
        <w:rPr>
          <w:rFonts w:ascii="Verdana" w:hAnsi="Verdana"/>
          <w:i/>
          <w:sz w:val="16"/>
          <w:szCs w:val="16"/>
        </w:rPr>
        <w:t xml:space="preserve"> het Verenigd Koninkrijk</w:t>
      </w:r>
      <w:r w:rsidRPr="005C017E">
        <w:rPr>
          <w:rFonts w:ascii="Verdana" w:hAnsi="Verdana"/>
          <w:sz w:val="16"/>
          <w:szCs w:val="16"/>
        </w:rPr>
        <w:t xml:space="preserve">, </w:t>
      </w:r>
      <w:r>
        <w:rPr>
          <w:rFonts w:ascii="Verdana" w:hAnsi="Verdana"/>
          <w:sz w:val="16"/>
          <w:szCs w:val="16"/>
        </w:rPr>
        <w:t>nr. 68416/01, EHRC 2005/37 (</w:t>
      </w:r>
      <w:proofErr w:type="spellStart"/>
      <w:r w:rsidRPr="005C017E">
        <w:rPr>
          <w:rFonts w:ascii="Verdana" w:hAnsi="Verdana"/>
          <w:sz w:val="16"/>
          <w:szCs w:val="16"/>
        </w:rPr>
        <w:t>m.nt</w:t>
      </w:r>
      <w:proofErr w:type="spellEnd"/>
      <w:r w:rsidRPr="005C017E">
        <w:rPr>
          <w:rFonts w:ascii="Verdana" w:hAnsi="Verdana"/>
          <w:sz w:val="16"/>
          <w:szCs w:val="16"/>
        </w:rPr>
        <w:t>. Gerards</w:t>
      </w:r>
      <w:r>
        <w:rPr>
          <w:rFonts w:ascii="Verdana" w:hAnsi="Verdana"/>
          <w:sz w:val="16"/>
          <w:szCs w:val="16"/>
        </w:rPr>
        <w:t>)</w:t>
      </w:r>
      <w:r w:rsidRPr="005C017E">
        <w:rPr>
          <w:rFonts w:ascii="Verdana" w:hAnsi="Verdana"/>
          <w:sz w:val="16"/>
          <w:szCs w:val="16"/>
        </w:rPr>
        <w:t>. Het hof stelt hierin ook criteria vast in hoeverre dergelijke rechtsbijstand geboden dient te worden.</w:t>
      </w:r>
    </w:p>
  </w:footnote>
  <w:footnote w:id="49">
    <w:p w:rsidR="001D1963" w:rsidRPr="000D2D8D" w:rsidRDefault="001D1963" w:rsidP="000D2D8D">
      <w:pPr>
        <w:autoSpaceDE w:val="0"/>
        <w:autoSpaceDN w:val="0"/>
        <w:adjustRightInd w:val="0"/>
        <w:spacing w:after="0" w:line="240" w:lineRule="auto"/>
        <w:rPr>
          <w:rFonts w:ascii="Times New Roman" w:hAnsi="Times New Roman" w:cs="Times New Roman"/>
          <w:sz w:val="24"/>
          <w:szCs w:val="24"/>
        </w:rPr>
      </w:pPr>
      <w:r w:rsidRPr="00A17047">
        <w:rPr>
          <w:rStyle w:val="Voetnootmarkering"/>
          <w:rFonts w:ascii="Verdana" w:hAnsi="Verdana"/>
          <w:sz w:val="16"/>
          <w:szCs w:val="16"/>
        </w:rPr>
        <w:footnoteRef/>
      </w:r>
      <w:r w:rsidRPr="00A17047">
        <w:rPr>
          <w:rFonts w:ascii="Verdana" w:hAnsi="Verdana"/>
          <w:sz w:val="16"/>
          <w:szCs w:val="16"/>
        </w:rPr>
        <w:t xml:space="preserve"> EHRM 16 juli 2002, </w:t>
      </w:r>
      <w:r w:rsidRPr="00A17047">
        <w:rPr>
          <w:rFonts w:ascii="Verdana" w:hAnsi="Verdana"/>
          <w:i/>
          <w:sz w:val="16"/>
          <w:szCs w:val="16"/>
        </w:rPr>
        <w:t xml:space="preserve">P., C. en S. </w:t>
      </w:r>
      <w:r w:rsidRPr="00791071">
        <w:rPr>
          <w:rFonts w:ascii="Verdana" w:hAnsi="Verdana"/>
          <w:sz w:val="16"/>
          <w:szCs w:val="16"/>
        </w:rPr>
        <w:t>t.</w:t>
      </w:r>
      <w:r w:rsidRPr="00A17047">
        <w:rPr>
          <w:rFonts w:ascii="Verdana" w:hAnsi="Verdana"/>
          <w:i/>
          <w:sz w:val="16"/>
          <w:szCs w:val="16"/>
        </w:rPr>
        <w:t xml:space="preserve"> </w:t>
      </w:r>
      <w:r>
        <w:rPr>
          <w:rFonts w:ascii="Verdana" w:hAnsi="Verdana"/>
          <w:i/>
          <w:sz w:val="16"/>
          <w:szCs w:val="16"/>
        </w:rPr>
        <w:t xml:space="preserve">het </w:t>
      </w:r>
      <w:r w:rsidRPr="00A17047">
        <w:rPr>
          <w:rFonts w:ascii="Verdana" w:hAnsi="Verdana"/>
          <w:i/>
          <w:sz w:val="16"/>
          <w:szCs w:val="16"/>
        </w:rPr>
        <w:t>Verenigd Koninkrijk</w:t>
      </w:r>
      <w:r w:rsidRPr="00A17047">
        <w:rPr>
          <w:rFonts w:ascii="Verdana" w:hAnsi="Verdana"/>
          <w:sz w:val="16"/>
          <w:szCs w:val="16"/>
        </w:rPr>
        <w:t xml:space="preserve">, nr. </w:t>
      </w:r>
      <w:r w:rsidRPr="000D2D8D">
        <w:rPr>
          <w:rFonts w:ascii="Verdana" w:hAnsi="Verdana" w:cs="Times New Roman"/>
          <w:sz w:val="16"/>
          <w:szCs w:val="16"/>
        </w:rPr>
        <w:t>56547/00</w:t>
      </w:r>
      <w:r>
        <w:rPr>
          <w:rFonts w:ascii="Verdana" w:hAnsi="Verdana" w:cs="Times New Roman"/>
          <w:sz w:val="16"/>
          <w:szCs w:val="16"/>
        </w:rPr>
        <w:t>.</w:t>
      </w:r>
    </w:p>
  </w:footnote>
  <w:footnote w:id="50">
    <w:p w:rsidR="001D1963" w:rsidRPr="006725FA" w:rsidRDefault="001D1963" w:rsidP="00284432">
      <w:pPr>
        <w:pStyle w:val="Voetnoottekst"/>
        <w:rPr>
          <w:rFonts w:ascii="Verdana" w:hAnsi="Verdana"/>
          <w:sz w:val="16"/>
          <w:szCs w:val="16"/>
        </w:rPr>
      </w:pPr>
      <w:r w:rsidRPr="006725FA">
        <w:rPr>
          <w:rStyle w:val="Voetnootmarkering"/>
          <w:rFonts w:ascii="Verdana" w:hAnsi="Verdana"/>
          <w:sz w:val="16"/>
          <w:szCs w:val="16"/>
        </w:rPr>
        <w:footnoteRef/>
      </w:r>
      <w:r w:rsidRPr="006725FA">
        <w:rPr>
          <w:rFonts w:ascii="Verdana" w:hAnsi="Verdana"/>
          <w:sz w:val="16"/>
          <w:szCs w:val="16"/>
        </w:rPr>
        <w:t xml:space="preserve"> Vgl. SDU Commentaar artikel 6 EVRM 2013, p. 201-204; Van de Lanotte en Haeck (2005) p. 560.</w:t>
      </w:r>
    </w:p>
  </w:footnote>
  <w:footnote w:id="51">
    <w:p w:rsidR="001D1963" w:rsidRPr="005C017E" w:rsidRDefault="001D1963" w:rsidP="006D4001">
      <w:pPr>
        <w:pStyle w:val="Voetnoottekst"/>
        <w:rPr>
          <w:rFonts w:ascii="Verdana" w:hAnsi="Verdana"/>
          <w:sz w:val="16"/>
          <w:szCs w:val="16"/>
        </w:rPr>
      </w:pPr>
      <w:r w:rsidRPr="005C017E">
        <w:rPr>
          <w:rStyle w:val="Voetnootmarkering"/>
          <w:rFonts w:ascii="Verdana" w:hAnsi="Verdana"/>
          <w:sz w:val="16"/>
          <w:szCs w:val="16"/>
        </w:rPr>
        <w:footnoteRef/>
      </w:r>
      <w:r w:rsidRPr="005C017E">
        <w:rPr>
          <w:rFonts w:ascii="Verdana" w:hAnsi="Verdana"/>
          <w:sz w:val="16"/>
          <w:szCs w:val="16"/>
        </w:rPr>
        <w:t xml:space="preserve"> Vgl. EHRM 14 december 2006,</w:t>
      </w:r>
      <w:r w:rsidRPr="005C017E">
        <w:rPr>
          <w:rFonts w:ascii="Verdana" w:hAnsi="Verdana"/>
          <w:i/>
          <w:sz w:val="16"/>
          <w:szCs w:val="16"/>
        </w:rPr>
        <w:t xml:space="preserve"> </w:t>
      </w:r>
      <w:proofErr w:type="spellStart"/>
      <w:r w:rsidRPr="009E33A5">
        <w:rPr>
          <w:rFonts w:ascii="Verdana" w:hAnsi="Verdana"/>
          <w:i/>
          <w:sz w:val="16"/>
          <w:szCs w:val="16"/>
        </w:rPr>
        <w:t>Markovic</w:t>
      </w:r>
      <w:proofErr w:type="spellEnd"/>
      <w:r w:rsidRPr="009E33A5">
        <w:rPr>
          <w:rFonts w:ascii="Verdana" w:hAnsi="Verdana"/>
          <w:i/>
          <w:sz w:val="16"/>
          <w:szCs w:val="16"/>
        </w:rPr>
        <w:t xml:space="preserve"> </w:t>
      </w:r>
      <w:r w:rsidRPr="00791071">
        <w:rPr>
          <w:rFonts w:ascii="Verdana" w:hAnsi="Verdana"/>
          <w:sz w:val="16"/>
          <w:szCs w:val="16"/>
        </w:rPr>
        <w:t>t.</w:t>
      </w:r>
      <w:r w:rsidRPr="009E33A5">
        <w:rPr>
          <w:rFonts w:ascii="Verdana" w:hAnsi="Verdana"/>
          <w:i/>
          <w:sz w:val="16"/>
          <w:szCs w:val="16"/>
        </w:rPr>
        <w:t xml:space="preserve"> Italië</w:t>
      </w:r>
      <w:r w:rsidRPr="005C017E">
        <w:rPr>
          <w:rFonts w:ascii="Verdana" w:hAnsi="Verdana"/>
          <w:sz w:val="16"/>
          <w:szCs w:val="16"/>
        </w:rPr>
        <w:t xml:space="preserve">, par. 94 en 95, </w:t>
      </w:r>
      <w:r w:rsidRPr="005C017E">
        <w:rPr>
          <w:rFonts w:ascii="Verdana" w:hAnsi="Verdana"/>
          <w:i/>
          <w:sz w:val="16"/>
          <w:szCs w:val="16"/>
        </w:rPr>
        <w:t>EHRC</w:t>
      </w:r>
      <w:r w:rsidRPr="005C017E">
        <w:rPr>
          <w:rFonts w:ascii="Verdana" w:hAnsi="Verdana"/>
          <w:sz w:val="16"/>
          <w:szCs w:val="16"/>
        </w:rPr>
        <w:t xml:space="preserve"> 2007/32, </w:t>
      </w:r>
      <w:proofErr w:type="spellStart"/>
      <w:r w:rsidRPr="005C017E">
        <w:rPr>
          <w:rFonts w:ascii="Verdana" w:hAnsi="Verdana"/>
          <w:sz w:val="16"/>
          <w:szCs w:val="16"/>
        </w:rPr>
        <w:t>m.nt</w:t>
      </w:r>
      <w:proofErr w:type="spellEnd"/>
      <w:r w:rsidRPr="005C017E">
        <w:rPr>
          <w:rFonts w:ascii="Verdana" w:hAnsi="Verdana"/>
          <w:sz w:val="16"/>
          <w:szCs w:val="16"/>
        </w:rPr>
        <w:t>. Heringa.</w:t>
      </w:r>
    </w:p>
  </w:footnote>
  <w:footnote w:id="52">
    <w:p w:rsidR="001D1963" w:rsidRPr="00B87390" w:rsidRDefault="001D1963" w:rsidP="006D4001">
      <w:pPr>
        <w:autoSpaceDE w:val="0"/>
        <w:autoSpaceDN w:val="0"/>
        <w:adjustRightInd w:val="0"/>
        <w:spacing w:after="0" w:line="240" w:lineRule="auto"/>
        <w:rPr>
          <w:rFonts w:ascii="Verdana" w:hAnsi="Verdana" w:cs="EUAlbertina"/>
          <w:sz w:val="16"/>
          <w:szCs w:val="16"/>
        </w:rPr>
      </w:pPr>
      <w:r w:rsidRPr="006725FA">
        <w:rPr>
          <w:rStyle w:val="Voetnootmarkering"/>
          <w:rFonts w:ascii="Verdana" w:hAnsi="Verdana"/>
          <w:sz w:val="16"/>
          <w:szCs w:val="16"/>
        </w:rPr>
        <w:footnoteRef/>
      </w:r>
      <w:r w:rsidRPr="006725FA">
        <w:rPr>
          <w:rFonts w:ascii="Verdana" w:hAnsi="Verdana"/>
          <w:sz w:val="16"/>
          <w:szCs w:val="16"/>
        </w:rPr>
        <w:t xml:space="preserve"> J. </w:t>
      </w:r>
      <w:proofErr w:type="spellStart"/>
      <w:r w:rsidRPr="006725FA">
        <w:rPr>
          <w:rFonts w:ascii="Verdana" w:hAnsi="Verdana" w:cs="EUAlbertina"/>
          <w:sz w:val="16"/>
          <w:szCs w:val="16"/>
        </w:rPr>
        <w:t>Uzman</w:t>
      </w:r>
      <w:proofErr w:type="spellEnd"/>
      <w:r w:rsidRPr="006725FA">
        <w:rPr>
          <w:rFonts w:ascii="Verdana" w:hAnsi="Verdana" w:cs="EUAlbertina"/>
          <w:sz w:val="16"/>
          <w:szCs w:val="16"/>
        </w:rPr>
        <w:t xml:space="preserve">, </w:t>
      </w:r>
      <w:r w:rsidRPr="006725FA">
        <w:rPr>
          <w:rFonts w:ascii="Verdana" w:hAnsi="Verdana" w:cs="EUAlbertina"/>
          <w:i/>
          <w:sz w:val="16"/>
          <w:szCs w:val="16"/>
        </w:rPr>
        <w:t>Constitutionele remedies bij schending van grondrechten</w:t>
      </w:r>
      <w:r w:rsidRPr="006725FA">
        <w:rPr>
          <w:rFonts w:ascii="Verdana" w:hAnsi="Verdana" w:cs="EUAlbertina"/>
          <w:sz w:val="16"/>
          <w:szCs w:val="16"/>
        </w:rPr>
        <w:t xml:space="preserve"> (</w:t>
      </w:r>
      <w:proofErr w:type="spellStart"/>
      <w:r w:rsidRPr="006725FA">
        <w:rPr>
          <w:rFonts w:ascii="Verdana" w:hAnsi="Verdana" w:cs="EUAlbertina"/>
          <w:sz w:val="16"/>
          <w:szCs w:val="16"/>
        </w:rPr>
        <w:t>diss</w:t>
      </w:r>
      <w:proofErr w:type="spellEnd"/>
      <w:r w:rsidRPr="006725FA">
        <w:rPr>
          <w:rFonts w:ascii="Verdana" w:hAnsi="Verdana" w:cs="EUAlbertina"/>
          <w:sz w:val="16"/>
          <w:szCs w:val="16"/>
        </w:rPr>
        <w:t>. Leiden), Kluwer 2013, p. 245</w:t>
      </w:r>
      <w:r>
        <w:rPr>
          <w:rFonts w:ascii="Verdana" w:hAnsi="Verdana" w:cs="EUAlbertina"/>
          <w:sz w:val="16"/>
          <w:szCs w:val="16"/>
        </w:rPr>
        <w:t>,</w:t>
      </w:r>
      <w:r w:rsidRPr="006725FA">
        <w:rPr>
          <w:rFonts w:ascii="Verdana" w:hAnsi="Verdana" w:cs="EUAlbertina"/>
          <w:sz w:val="16"/>
          <w:szCs w:val="16"/>
        </w:rPr>
        <w:t xml:space="preserve"> onder</w:t>
      </w:r>
      <w:r>
        <w:rPr>
          <w:rFonts w:ascii="Verdana" w:hAnsi="Verdana" w:cs="EUAlbertina"/>
          <w:sz w:val="16"/>
          <w:szCs w:val="16"/>
        </w:rPr>
        <w:t xml:space="preserve"> verwijzing naar T. </w:t>
      </w:r>
      <w:proofErr w:type="spellStart"/>
      <w:r w:rsidRPr="00B87390">
        <w:rPr>
          <w:rFonts w:ascii="Verdana" w:hAnsi="Verdana" w:cs="EUAlbertina"/>
          <w:sz w:val="16"/>
          <w:szCs w:val="16"/>
        </w:rPr>
        <w:t>Barkhuysen</w:t>
      </w:r>
      <w:proofErr w:type="spellEnd"/>
      <w:r>
        <w:rPr>
          <w:rFonts w:ascii="Verdana" w:hAnsi="Verdana" w:cs="EUAlbertina"/>
          <w:sz w:val="16"/>
          <w:szCs w:val="16"/>
        </w:rPr>
        <w:t xml:space="preserve">, </w:t>
      </w:r>
      <w:r w:rsidRPr="000B3546">
        <w:rPr>
          <w:rFonts w:ascii="Verdana" w:hAnsi="Verdana" w:cs="EUAlbertina"/>
          <w:i/>
          <w:sz w:val="16"/>
          <w:szCs w:val="16"/>
        </w:rPr>
        <w:t>Artikel 13 EVRM: effectieve nationale rechtsbescherming bij schending van mensenrechten</w:t>
      </w:r>
      <w:r>
        <w:rPr>
          <w:rFonts w:ascii="Verdana" w:hAnsi="Verdana" w:cs="EUAlbertina"/>
          <w:sz w:val="16"/>
          <w:szCs w:val="16"/>
        </w:rPr>
        <w:t>, Lelystad: Vermande</w:t>
      </w:r>
      <w:r w:rsidRPr="00B87390">
        <w:rPr>
          <w:rFonts w:ascii="Verdana" w:hAnsi="Verdana" w:cs="EUAlbertina"/>
          <w:sz w:val="16"/>
          <w:szCs w:val="16"/>
        </w:rPr>
        <w:t xml:space="preserve"> 1998, p. 1</w:t>
      </w:r>
      <w:r>
        <w:rPr>
          <w:rFonts w:ascii="Verdana" w:hAnsi="Verdana" w:cs="EUAlbertina"/>
          <w:sz w:val="16"/>
          <w:szCs w:val="16"/>
        </w:rPr>
        <w:t>17-118</w:t>
      </w:r>
      <w:r w:rsidRPr="00B87390">
        <w:rPr>
          <w:rFonts w:ascii="Verdana" w:hAnsi="Verdana" w:cs="EUAlbertina"/>
          <w:sz w:val="16"/>
          <w:szCs w:val="16"/>
        </w:rPr>
        <w:t>.</w:t>
      </w:r>
    </w:p>
  </w:footnote>
  <w:footnote w:id="53">
    <w:p w:rsidR="001D1963" w:rsidRPr="001A7A98" w:rsidRDefault="001D1963" w:rsidP="001A7A98">
      <w:pPr>
        <w:pStyle w:val="Voetnoottekst"/>
        <w:rPr>
          <w:rFonts w:ascii="Verdana" w:hAnsi="Verdana"/>
          <w:sz w:val="16"/>
          <w:szCs w:val="16"/>
        </w:rPr>
      </w:pPr>
      <w:r w:rsidRPr="001A7A98">
        <w:rPr>
          <w:rStyle w:val="Voetnootmarkering"/>
          <w:rFonts w:ascii="Verdana" w:hAnsi="Verdana"/>
          <w:sz w:val="16"/>
          <w:szCs w:val="16"/>
        </w:rPr>
        <w:footnoteRef/>
      </w:r>
      <w:r w:rsidRPr="001A7A98">
        <w:rPr>
          <w:rFonts w:ascii="Verdana" w:hAnsi="Verdana"/>
          <w:sz w:val="16"/>
          <w:szCs w:val="16"/>
        </w:rPr>
        <w:t xml:space="preserve"> </w:t>
      </w:r>
      <w:proofErr w:type="spellStart"/>
      <w:r w:rsidRPr="001A7A98">
        <w:rPr>
          <w:rFonts w:ascii="Verdana" w:hAnsi="Verdana"/>
          <w:sz w:val="16"/>
          <w:szCs w:val="16"/>
        </w:rPr>
        <w:t>HvJ</w:t>
      </w:r>
      <w:proofErr w:type="spellEnd"/>
      <w:r w:rsidRPr="001A7A98">
        <w:rPr>
          <w:rFonts w:ascii="Verdana" w:hAnsi="Verdana"/>
          <w:sz w:val="16"/>
          <w:szCs w:val="16"/>
        </w:rPr>
        <w:t xml:space="preserve"> 15 mei 1986, </w:t>
      </w:r>
      <w:proofErr w:type="spellStart"/>
      <w:r w:rsidRPr="001A7A98">
        <w:rPr>
          <w:rFonts w:ascii="Verdana" w:hAnsi="Verdana"/>
          <w:sz w:val="16"/>
          <w:szCs w:val="16"/>
        </w:rPr>
        <w:t>Johnston</w:t>
      </w:r>
      <w:proofErr w:type="spellEnd"/>
      <w:r w:rsidRPr="001A7A98">
        <w:rPr>
          <w:rFonts w:ascii="Verdana" w:hAnsi="Verdana"/>
          <w:sz w:val="16"/>
          <w:szCs w:val="16"/>
        </w:rPr>
        <w:t xml:space="preserve">, zaak 222/84, </w:t>
      </w:r>
      <w:proofErr w:type="spellStart"/>
      <w:r w:rsidRPr="001A7A98">
        <w:rPr>
          <w:rFonts w:ascii="Verdana" w:hAnsi="Verdana"/>
          <w:sz w:val="16"/>
          <w:szCs w:val="16"/>
        </w:rPr>
        <w:t>Jurispr</w:t>
      </w:r>
      <w:proofErr w:type="spellEnd"/>
      <w:r w:rsidRPr="001A7A98">
        <w:rPr>
          <w:rFonts w:ascii="Verdana" w:hAnsi="Verdana"/>
          <w:sz w:val="16"/>
          <w:szCs w:val="16"/>
        </w:rPr>
        <w:t>. 1986, blz</w:t>
      </w:r>
      <w:r>
        <w:rPr>
          <w:rFonts w:ascii="Verdana" w:hAnsi="Verdana"/>
          <w:sz w:val="16"/>
          <w:szCs w:val="16"/>
        </w:rPr>
        <w:t>. 1651; zie ook de arresten van</w:t>
      </w:r>
      <w:r w:rsidRPr="001A7A98">
        <w:rPr>
          <w:rFonts w:ascii="Verdana" w:hAnsi="Verdana"/>
          <w:sz w:val="16"/>
          <w:szCs w:val="16"/>
        </w:rPr>
        <w:t xml:space="preserve"> 15 oktober 1987 in zaak 222/86, Heylens, </w:t>
      </w:r>
      <w:proofErr w:type="spellStart"/>
      <w:r w:rsidRPr="001A7A98">
        <w:rPr>
          <w:rFonts w:ascii="Verdana" w:hAnsi="Verdana"/>
          <w:sz w:val="16"/>
          <w:szCs w:val="16"/>
        </w:rPr>
        <w:t>Jurispr</w:t>
      </w:r>
      <w:proofErr w:type="spellEnd"/>
      <w:r w:rsidRPr="001A7A98">
        <w:rPr>
          <w:rFonts w:ascii="Verdana" w:hAnsi="Verdana"/>
          <w:sz w:val="16"/>
          <w:szCs w:val="16"/>
        </w:rPr>
        <w:t xml:space="preserve">. 1987, blz. 4097, en van 3 december 1992 in zaak C-97/91, Borelli, </w:t>
      </w:r>
      <w:proofErr w:type="spellStart"/>
      <w:r w:rsidRPr="001A7A98">
        <w:rPr>
          <w:rFonts w:ascii="Verdana" w:hAnsi="Verdana"/>
          <w:sz w:val="16"/>
          <w:szCs w:val="16"/>
        </w:rPr>
        <w:t>Jurispr</w:t>
      </w:r>
      <w:proofErr w:type="spellEnd"/>
      <w:r w:rsidRPr="001A7A98">
        <w:rPr>
          <w:rFonts w:ascii="Verdana" w:hAnsi="Verdana"/>
          <w:sz w:val="16"/>
          <w:szCs w:val="16"/>
        </w:rPr>
        <w:t>. 1992, blz. I-6313.</w:t>
      </w:r>
    </w:p>
  </w:footnote>
  <w:footnote w:id="54">
    <w:p w:rsidR="001D1963" w:rsidRPr="00043559" w:rsidRDefault="001D1963" w:rsidP="00043559">
      <w:pPr>
        <w:pStyle w:val="Geenafstand"/>
        <w:rPr>
          <w:rFonts w:ascii="Verdana" w:hAnsi="Verdana"/>
          <w:sz w:val="16"/>
          <w:szCs w:val="16"/>
        </w:rPr>
      </w:pPr>
      <w:r w:rsidRPr="001A7A98">
        <w:rPr>
          <w:rStyle w:val="Voetnootmarkering"/>
          <w:rFonts w:ascii="Verdana" w:hAnsi="Verdana"/>
          <w:sz w:val="16"/>
          <w:szCs w:val="16"/>
        </w:rPr>
        <w:footnoteRef/>
      </w:r>
      <w:r w:rsidRPr="001A7A98">
        <w:rPr>
          <w:rFonts w:ascii="Verdana" w:hAnsi="Verdana"/>
          <w:sz w:val="16"/>
          <w:szCs w:val="16"/>
        </w:rPr>
        <w:t xml:space="preserve"> Toelichting bij het Handvest van de Grondrechten, </w:t>
      </w:r>
      <w:r>
        <w:rPr>
          <w:rFonts w:ascii="Verdana" w:hAnsi="Verdana"/>
          <w:sz w:val="16"/>
          <w:szCs w:val="16"/>
        </w:rPr>
        <w:t xml:space="preserve">14 december </w:t>
      </w:r>
      <w:r w:rsidRPr="001A7A98">
        <w:rPr>
          <w:rFonts w:ascii="Verdana" w:hAnsi="Verdana"/>
          <w:sz w:val="16"/>
          <w:szCs w:val="16"/>
        </w:rPr>
        <w:t>2007, PbEU C30</w:t>
      </w:r>
      <w:r>
        <w:rPr>
          <w:rFonts w:ascii="Verdana" w:hAnsi="Verdana"/>
          <w:sz w:val="16"/>
          <w:szCs w:val="16"/>
        </w:rPr>
        <w:t>3/29.</w:t>
      </w:r>
    </w:p>
  </w:footnote>
  <w:footnote w:id="55">
    <w:p w:rsidR="00D801F6" w:rsidRPr="006C6822" w:rsidRDefault="00D801F6" w:rsidP="00D801F6">
      <w:pPr>
        <w:pStyle w:val="Voetnoottekst"/>
        <w:rPr>
          <w:sz w:val="16"/>
          <w:szCs w:val="16"/>
        </w:rPr>
      </w:pPr>
      <w:r w:rsidRPr="006C6822">
        <w:rPr>
          <w:rStyle w:val="Voetnootmarkering"/>
          <w:sz w:val="16"/>
          <w:szCs w:val="16"/>
        </w:rPr>
        <w:footnoteRef/>
      </w:r>
      <w:r w:rsidRPr="006C6822">
        <w:rPr>
          <w:sz w:val="16"/>
          <w:szCs w:val="16"/>
        </w:rPr>
        <w:t xml:space="preserve"> Zie </w:t>
      </w:r>
      <w:proofErr w:type="spellStart"/>
      <w:r w:rsidRPr="006C6822">
        <w:rPr>
          <w:sz w:val="16"/>
          <w:szCs w:val="16"/>
        </w:rPr>
        <w:t>T.Barkhuysen</w:t>
      </w:r>
      <w:proofErr w:type="spellEnd"/>
      <w:r w:rsidRPr="006C6822">
        <w:rPr>
          <w:sz w:val="16"/>
          <w:szCs w:val="16"/>
        </w:rPr>
        <w:t xml:space="preserve">, M.L. van Emmerik en J.H. Gerards, </w:t>
      </w:r>
      <w:r w:rsidRPr="006C6822">
        <w:rPr>
          <w:i/>
          <w:sz w:val="16"/>
          <w:szCs w:val="16"/>
        </w:rPr>
        <w:t>De toegang tot de rechter en een eerlijk proces in de Grondwet?</w:t>
      </w:r>
      <w:r w:rsidRPr="006C6822">
        <w:rPr>
          <w:sz w:val="16"/>
          <w:szCs w:val="16"/>
        </w:rPr>
        <w:t xml:space="preserve"> (voorstudie</w:t>
      </w:r>
      <w:r>
        <w:rPr>
          <w:sz w:val="16"/>
          <w:szCs w:val="16"/>
        </w:rPr>
        <w:t xml:space="preserve"> voor de staatscommissie</w:t>
      </w:r>
      <w:r w:rsidRPr="006C6822">
        <w:rPr>
          <w:sz w:val="16"/>
          <w:szCs w:val="16"/>
        </w:rPr>
        <w:t xml:space="preserve"> in opdracht van het ministerie van BZK</w:t>
      </w:r>
      <w:r>
        <w:rPr>
          <w:sz w:val="16"/>
          <w:szCs w:val="16"/>
        </w:rPr>
        <w:t>), Kluwer 2009</w:t>
      </w:r>
      <w:r w:rsidRPr="006C6822">
        <w:rPr>
          <w:sz w:val="16"/>
          <w:szCs w:val="16"/>
        </w:rPr>
        <w:t>, p. 27.</w:t>
      </w:r>
    </w:p>
  </w:footnote>
  <w:footnote w:id="56">
    <w:p w:rsidR="001D1963" w:rsidRPr="00A81203" w:rsidRDefault="001D1963" w:rsidP="006D4001">
      <w:pPr>
        <w:pStyle w:val="Voetnoottekst"/>
        <w:rPr>
          <w:rFonts w:ascii="Verdana" w:hAnsi="Verdana"/>
          <w:sz w:val="16"/>
          <w:szCs w:val="16"/>
        </w:rPr>
      </w:pPr>
      <w:r w:rsidRPr="00A81203">
        <w:rPr>
          <w:rStyle w:val="Voetnootmarkering"/>
          <w:rFonts w:ascii="Verdana" w:hAnsi="Verdana"/>
          <w:sz w:val="16"/>
          <w:szCs w:val="16"/>
        </w:rPr>
        <w:footnoteRef/>
      </w:r>
      <w:r w:rsidRPr="00A81203">
        <w:rPr>
          <w:rFonts w:ascii="Verdana" w:hAnsi="Verdana"/>
          <w:sz w:val="16"/>
          <w:szCs w:val="16"/>
        </w:rPr>
        <w:t xml:space="preserve"> </w:t>
      </w:r>
      <w:r>
        <w:rPr>
          <w:rFonts w:ascii="Verdana" w:hAnsi="Verdana"/>
          <w:sz w:val="16"/>
          <w:szCs w:val="16"/>
        </w:rPr>
        <w:t xml:space="preserve">Vgl. </w:t>
      </w:r>
      <w:r w:rsidRPr="00A81203">
        <w:rPr>
          <w:rFonts w:ascii="Verdana" w:hAnsi="Verdana"/>
          <w:sz w:val="16"/>
          <w:szCs w:val="16"/>
        </w:rPr>
        <w:t xml:space="preserve">G. </w:t>
      </w:r>
      <w:proofErr w:type="spellStart"/>
      <w:r w:rsidRPr="00A81203">
        <w:rPr>
          <w:rFonts w:ascii="Verdana" w:hAnsi="Verdana"/>
          <w:sz w:val="16"/>
          <w:szCs w:val="16"/>
        </w:rPr>
        <w:t>Corstens</w:t>
      </w:r>
      <w:proofErr w:type="spellEnd"/>
      <w:r w:rsidRPr="00A81203">
        <w:rPr>
          <w:rFonts w:ascii="Verdana" w:hAnsi="Verdana"/>
          <w:sz w:val="16"/>
          <w:szCs w:val="16"/>
        </w:rPr>
        <w:t xml:space="preserve"> en R. Kuiper, De toegang tot de rechter in een moderne rechtsstaat</w:t>
      </w:r>
      <w:r>
        <w:rPr>
          <w:rFonts w:ascii="Verdana" w:hAnsi="Verdana"/>
          <w:sz w:val="16"/>
          <w:szCs w:val="16"/>
        </w:rPr>
        <w:t xml:space="preserve">. </w:t>
      </w:r>
      <w:proofErr w:type="spellStart"/>
      <w:r>
        <w:rPr>
          <w:rFonts w:ascii="Verdana" w:hAnsi="Verdana"/>
          <w:sz w:val="16"/>
          <w:szCs w:val="16"/>
        </w:rPr>
        <w:t>Ijkpunten</w:t>
      </w:r>
      <w:proofErr w:type="spellEnd"/>
      <w:r>
        <w:rPr>
          <w:rFonts w:ascii="Verdana" w:hAnsi="Verdana"/>
          <w:sz w:val="16"/>
          <w:szCs w:val="16"/>
        </w:rPr>
        <w:t xml:space="preserve"> voor een concrete vormgeving</w:t>
      </w:r>
      <w:r w:rsidRPr="00A81203">
        <w:rPr>
          <w:rFonts w:ascii="Verdana" w:hAnsi="Verdana"/>
          <w:sz w:val="16"/>
          <w:szCs w:val="16"/>
        </w:rPr>
        <w:t xml:space="preserve">, </w:t>
      </w:r>
      <w:r w:rsidRPr="00A81203">
        <w:rPr>
          <w:rFonts w:ascii="Verdana" w:hAnsi="Verdana"/>
          <w:i/>
          <w:sz w:val="16"/>
          <w:szCs w:val="16"/>
        </w:rPr>
        <w:t>Justitiële Verkenningen</w:t>
      </w:r>
      <w:r w:rsidRPr="00A81203">
        <w:rPr>
          <w:rFonts w:ascii="Verdana" w:hAnsi="Verdana"/>
          <w:sz w:val="16"/>
          <w:szCs w:val="16"/>
        </w:rPr>
        <w:t>, maart 2014, nr. 1, p. 10-18.</w:t>
      </w:r>
    </w:p>
  </w:footnote>
  <w:footnote w:id="57">
    <w:p w:rsidR="001D1963" w:rsidRPr="005C017E" w:rsidRDefault="001D1963" w:rsidP="006D4001">
      <w:pPr>
        <w:pStyle w:val="Voetnoottekst"/>
        <w:rPr>
          <w:rFonts w:ascii="Verdana" w:hAnsi="Verdana"/>
          <w:sz w:val="16"/>
          <w:szCs w:val="16"/>
        </w:rPr>
      </w:pPr>
      <w:r w:rsidRPr="005C017E">
        <w:rPr>
          <w:rStyle w:val="Voetnootmarkering"/>
          <w:rFonts w:ascii="Verdana" w:hAnsi="Verdana"/>
          <w:sz w:val="16"/>
          <w:szCs w:val="16"/>
        </w:rPr>
        <w:footnoteRef/>
      </w:r>
      <w:r w:rsidRPr="005C017E">
        <w:rPr>
          <w:rFonts w:ascii="Verdana" w:hAnsi="Verdana"/>
          <w:sz w:val="16"/>
          <w:szCs w:val="16"/>
        </w:rPr>
        <w:t xml:space="preserve"> Vgl. EHRM 17 januari 2012, </w:t>
      </w:r>
      <w:proofErr w:type="spellStart"/>
      <w:r w:rsidRPr="009E33A5">
        <w:rPr>
          <w:rFonts w:ascii="Verdana" w:hAnsi="Verdana"/>
          <w:i/>
          <w:sz w:val="16"/>
          <w:szCs w:val="16"/>
        </w:rPr>
        <w:t>Stanev</w:t>
      </w:r>
      <w:proofErr w:type="spellEnd"/>
      <w:r w:rsidRPr="009E33A5">
        <w:rPr>
          <w:rFonts w:ascii="Verdana" w:hAnsi="Verdana"/>
          <w:i/>
          <w:sz w:val="16"/>
          <w:szCs w:val="16"/>
        </w:rPr>
        <w:t xml:space="preserve"> </w:t>
      </w:r>
      <w:r w:rsidRPr="00D87D9F">
        <w:rPr>
          <w:rFonts w:ascii="Verdana" w:hAnsi="Verdana"/>
          <w:sz w:val="16"/>
          <w:szCs w:val="16"/>
        </w:rPr>
        <w:t>t.</w:t>
      </w:r>
      <w:r w:rsidRPr="009E33A5">
        <w:rPr>
          <w:rFonts w:ascii="Verdana" w:hAnsi="Verdana"/>
          <w:i/>
          <w:sz w:val="16"/>
          <w:szCs w:val="16"/>
        </w:rPr>
        <w:t xml:space="preserve"> Bulgarije</w:t>
      </w:r>
      <w:r w:rsidRPr="005C017E">
        <w:rPr>
          <w:rFonts w:ascii="Verdana" w:hAnsi="Verdana"/>
          <w:sz w:val="16"/>
          <w:szCs w:val="16"/>
        </w:rPr>
        <w:t xml:space="preserve">, </w:t>
      </w:r>
      <w:r>
        <w:rPr>
          <w:rFonts w:ascii="Verdana" w:hAnsi="Verdana"/>
          <w:sz w:val="16"/>
          <w:szCs w:val="16"/>
        </w:rPr>
        <w:t xml:space="preserve">nr. 36760/06, </w:t>
      </w:r>
      <w:r w:rsidRPr="005C017E">
        <w:rPr>
          <w:rFonts w:ascii="Verdana" w:hAnsi="Verdana"/>
          <w:i/>
          <w:sz w:val="16"/>
          <w:szCs w:val="16"/>
        </w:rPr>
        <w:t>EHRC</w:t>
      </w:r>
      <w:r w:rsidRPr="005C017E">
        <w:rPr>
          <w:rFonts w:ascii="Verdana" w:hAnsi="Verdana"/>
          <w:sz w:val="16"/>
          <w:szCs w:val="16"/>
        </w:rPr>
        <w:t xml:space="preserve"> 2012/83, </w:t>
      </w:r>
      <w:proofErr w:type="spellStart"/>
      <w:r w:rsidRPr="005C017E">
        <w:rPr>
          <w:rFonts w:ascii="Verdana" w:hAnsi="Verdana"/>
          <w:sz w:val="16"/>
          <w:szCs w:val="16"/>
        </w:rPr>
        <w:t>m.nt</w:t>
      </w:r>
      <w:proofErr w:type="spellEnd"/>
      <w:r w:rsidRPr="005C017E">
        <w:rPr>
          <w:rFonts w:ascii="Verdana" w:hAnsi="Verdana"/>
          <w:sz w:val="16"/>
          <w:szCs w:val="16"/>
        </w:rPr>
        <w:t>. Arends.</w:t>
      </w:r>
      <w:r>
        <w:rPr>
          <w:rFonts w:ascii="Verdana" w:hAnsi="Verdana"/>
          <w:sz w:val="16"/>
          <w:szCs w:val="16"/>
        </w:rPr>
        <w:t xml:space="preserve"> Zie</w:t>
      </w:r>
      <w:r w:rsidRPr="00536C3E">
        <w:rPr>
          <w:rFonts w:ascii="Verdana" w:hAnsi="Verdana"/>
          <w:sz w:val="16"/>
          <w:szCs w:val="16"/>
        </w:rPr>
        <w:t xml:space="preserve"> </w:t>
      </w:r>
      <w:r>
        <w:rPr>
          <w:rFonts w:ascii="Verdana" w:hAnsi="Verdana"/>
          <w:sz w:val="16"/>
          <w:szCs w:val="16"/>
        </w:rPr>
        <w:t xml:space="preserve">B.J.G Leeuw, Commentaar op art. 6, par. 1 (C.1 Toegang tot de rechter), in: </w:t>
      </w:r>
      <w:proofErr w:type="spellStart"/>
      <w:r>
        <w:rPr>
          <w:rFonts w:ascii="Verdana" w:hAnsi="Verdana"/>
          <w:i/>
          <w:sz w:val="16"/>
          <w:szCs w:val="16"/>
        </w:rPr>
        <w:t>Sdu</w:t>
      </w:r>
      <w:proofErr w:type="spellEnd"/>
      <w:r>
        <w:rPr>
          <w:rFonts w:ascii="Verdana" w:hAnsi="Verdana"/>
          <w:i/>
          <w:sz w:val="16"/>
          <w:szCs w:val="16"/>
        </w:rPr>
        <w:t xml:space="preserve"> Commentaar EVRM, Deel I - M</w:t>
      </w:r>
      <w:r w:rsidRPr="00A430BC">
        <w:rPr>
          <w:rFonts w:ascii="Verdana" w:hAnsi="Verdana"/>
          <w:i/>
          <w:sz w:val="16"/>
          <w:szCs w:val="16"/>
        </w:rPr>
        <w:t>ateriële rechten</w:t>
      </w:r>
      <w:r w:rsidRPr="00A430BC">
        <w:rPr>
          <w:rFonts w:ascii="Verdana" w:hAnsi="Verdana"/>
          <w:sz w:val="16"/>
          <w:szCs w:val="16"/>
        </w:rPr>
        <w:t xml:space="preserve">, </w:t>
      </w:r>
      <w:r>
        <w:rPr>
          <w:rFonts w:ascii="Verdana" w:hAnsi="Verdana"/>
          <w:sz w:val="16"/>
          <w:szCs w:val="16"/>
        </w:rPr>
        <w:t xml:space="preserve">Den Haag: </w:t>
      </w:r>
      <w:r w:rsidRPr="00A430BC">
        <w:rPr>
          <w:rFonts w:ascii="Verdana" w:hAnsi="Verdana"/>
          <w:sz w:val="16"/>
          <w:szCs w:val="16"/>
        </w:rPr>
        <w:t>SDU</w:t>
      </w:r>
      <w:r>
        <w:rPr>
          <w:rFonts w:ascii="Verdana" w:hAnsi="Verdana"/>
          <w:sz w:val="16"/>
          <w:szCs w:val="16"/>
        </w:rPr>
        <w:t xml:space="preserve"> Uitgevers</w:t>
      </w:r>
      <w:r w:rsidRPr="00A430BC">
        <w:rPr>
          <w:rFonts w:ascii="Verdana" w:hAnsi="Verdana"/>
          <w:sz w:val="16"/>
          <w:szCs w:val="16"/>
        </w:rPr>
        <w:t xml:space="preserve"> 2013</w:t>
      </w:r>
      <w:r>
        <w:rPr>
          <w:rFonts w:ascii="Verdana" w:hAnsi="Verdana"/>
          <w:sz w:val="16"/>
          <w:szCs w:val="16"/>
        </w:rPr>
        <w:t>, p. 207.</w:t>
      </w:r>
    </w:p>
  </w:footnote>
  <w:footnote w:id="58">
    <w:p w:rsidR="001D1963" w:rsidRPr="006570F9" w:rsidRDefault="001D1963">
      <w:pPr>
        <w:pStyle w:val="Voetnoottekst"/>
        <w:rPr>
          <w:rFonts w:ascii="Verdana" w:hAnsi="Verdana"/>
          <w:sz w:val="16"/>
          <w:szCs w:val="16"/>
        </w:rPr>
      </w:pPr>
      <w:r w:rsidRPr="00E6035A">
        <w:rPr>
          <w:rStyle w:val="Voetnootmarkering"/>
          <w:rFonts w:ascii="Verdana" w:hAnsi="Verdana"/>
          <w:sz w:val="16"/>
          <w:szCs w:val="16"/>
        </w:rPr>
        <w:footnoteRef/>
      </w:r>
      <w:r w:rsidRPr="00E6035A">
        <w:rPr>
          <w:rFonts w:ascii="Verdana" w:hAnsi="Verdana"/>
          <w:sz w:val="16"/>
          <w:szCs w:val="16"/>
        </w:rPr>
        <w:t xml:space="preserve"> Kamerstukken I 2013/14, 33 750, P, blz.</w:t>
      </w:r>
      <w:r w:rsidRPr="006570F9">
        <w:rPr>
          <w:rFonts w:ascii="Verdana" w:hAnsi="Verdana"/>
          <w:sz w:val="16"/>
          <w:szCs w:val="16"/>
        </w:rPr>
        <w:t xml:space="preserve"> 4.</w:t>
      </w:r>
    </w:p>
  </w:footnote>
  <w:footnote w:id="59">
    <w:p w:rsidR="001D1963" w:rsidRPr="00F23258" w:rsidRDefault="001D1963">
      <w:pPr>
        <w:pStyle w:val="Voetnoottekst"/>
        <w:rPr>
          <w:rFonts w:ascii="Verdana" w:hAnsi="Verdana"/>
          <w:sz w:val="16"/>
          <w:szCs w:val="16"/>
        </w:rPr>
      </w:pPr>
      <w:r w:rsidRPr="00F23258">
        <w:rPr>
          <w:rStyle w:val="Voetnootmarkering"/>
          <w:rFonts w:ascii="Verdana" w:hAnsi="Verdana"/>
          <w:sz w:val="16"/>
          <w:szCs w:val="16"/>
        </w:rPr>
        <w:footnoteRef/>
      </w:r>
      <w:r w:rsidRPr="00F23258">
        <w:rPr>
          <w:rFonts w:ascii="Verdana" w:hAnsi="Verdana"/>
          <w:sz w:val="16"/>
          <w:szCs w:val="16"/>
        </w:rPr>
        <w:t xml:space="preserve"> Vgl. Van Dijk/</w:t>
      </w:r>
      <w:r>
        <w:rPr>
          <w:rFonts w:ascii="Verdana" w:hAnsi="Verdana"/>
          <w:sz w:val="16"/>
          <w:szCs w:val="16"/>
        </w:rPr>
        <w:t>V</w:t>
      </w:r>
      <w:r w:rsidRPr="00F23258">
        <w:rPr>
          <w:rFonts w:ascii="Verdana" w:hAnsi="Verdana"/>
          <w:sz w:val="16"/>
          <w:szCs w:val="16"/>
        </w:rPr>
        <w:t xml:space="preserve">an Hoof 2006, p. 573-575. Zie o.m. EHRM 19 december 1997, </w:t>
      </w:r>
      <w:proofErr w:type="spellStart"/>
      <w:r w:rsidRPr="00F23258">
        <w:rPr>
          <w:rFonts w:ascii="Verdana" w:hAnsi="Verdana"/>
          <w:i/>
          <w:sz w:val="16"/>
          <w:szCs w:val="16"/>
        </w:rPr>
        <w:t>Brualla</w:t>
      </w:r>
      <w:proofErr w:type="spellEnd"/>
      <w:r w:rsidRPr="00F23258">
        <w:rPr>
          <w:rFonts w:ascii="Verdana" w:hAnsi="Verdana"/>
          <w:i/>
          <w:sz w:val="16"/>
          <w:szCs w:val="16"/>
        </w:rPr>
        <w:t xml:space="preserve"> Gomez de la </w:t>
      </w:r>
      <w:proofErr w:type="spellStart"/>
      <w:r w:rsidRPr="00F23258">
        <w:rPr>
          <w:rFonts w:ascii="Verdana" w:hAnsi="Verdana"/>
          <w:i/>
          <w:sz w:val="16"/>
          <w:szCs w:val="16"/>
        </w:rPr>
        <w:t>Torre</w:t>
      </w:r>
      <w:proofErr w:type="spellEnd"/>
      <w:r w:rsidRPr="00F23258">
        <w:rPr>
          <w:rFonts w:ascii="Verdana" w:hAnsi="Verdana"/>
          <w:sz w:val="16"/>
          <w:szCs w:val="16"/>
        </w:rPr>
        <w:t xml:space="preserve"> t. </w:t>
      </w:r>
      <w:r w:rsidRPr="00F23258">
        <w:rPr>
          <w:rFonts w:ascii="Verdana" w:hAnsi="Verdana"/>
          <w:i/>
          <w:sz w:val="16"/>
          <w:szCs w:val="16"/>
        </w:rPr>
        <w:t>Spanje</w:t>
      </w:r>
      <w:r w:rsidRPr="00F23258">
        <w:rPr>
          <w:rFonts w:ascii="Verdana" w:hAnsi="Verdana"/>
          <w:sz w:val="16"/>
          <w:szCs w:val="16"/>
        </w:rPr>
        <w:t>, nr. 26737/95.</w:t>
      </w:r>
    </w:p>
  </w:footnote>
  <w:footnote w:id="60">
    <w:p w:rsidR="001D1963" w:rsidRPr="00DC5D2F" w:rsidRDefault="001D1963">
      <w:pPr>
        <w:pStyle w:val="Voetnoottekst"/>
        <w:rPr>
          <w:rFonts w:ascii="Verdana" w:hAnsi="Verdana"/>
          <w:sz w:val="16"/>
          <w:szCs w:val="16"/>
        </w:rPr>
      </w:pPr>
      <w:r w:rsidRPr="00DC5D2F">
        <w:rPr>
          <w:rStyle w:val="Voetnootmarkering"/>
          <w:rFonts w:ascii="Verdana" w:hAnsi="Verdana"/>
          <w:sz w:val="16"/>
          <w:szCs w:val="16"/>
        </w:rPr>
        <w:footnoteRef/>
      </w:r>
      <w:r w:rsidRPr="00DC5D2F">
        <w:rPr>
          <w:rFonts w:ascii="Verdana" w:hAnsi="Verdana"/>
          <w:sz w:val="16"/>
          <w:szCs w:val="16"/>
        </w:rPr>
        <w:t xml:space="preserve"> Kamerstukken I 2013/14, 33 750, P</w:t>
      </w:r>
      <w:r>
        <w:rPr>
          <w:rFonts w:ascii="Verdana" w:hAnsi="Verdana"/>
          <w:sz w:val="16"/>
          <w:szCs w:val="16"/>
        </w:rPr>
        <w:t>,</w:t>
      </w:r>
      <w:r w:rsidRPr="00DC5D2F">
        <w:rPr>
          <w:rFonts w:ascii="Verdana" w:hAnsi="Verdana"/>
          <w:sz w:val="16"/>
          <w:szCs w:val="16"/>
        </w:rPr>
        <w:t xml:space="preserve"> </w:t>
      </w:r>
      <w:r>
        <w:rPr>
          <w:rFonts w:ascii="Verdana" w:hAnsi="Verdana"/>
          <w:sz w:val="16"/>
          <w:szCs w:val="16"/>
        </w:rPr>
        <w:t>blz.</w:t>
      </w:r>
      <w:r w:rsidRPr="00DC5D2F">
        <w:rPr>
          <w:rFonts w:ascii="Verdana" w:hAnsi="Verdana"/>
          <w:sz w:val="16"/>
          <w:szCs w:val="16"/>
        </w:rPr>
        <w:t xml:space="preserve"> 4-5.</w:t>
      </w:r>
    </w:p>
  </w:footnote>
  <w:footnote w:id="61">
    <w:p w:rsidR="001D1963" w:rsidRPr="00135A5C" w:rsidRDefault="001D1963" w:rsidP="00071AB5">
      <w:pPr>
        <w:pStyle w:val="Voetnoottekst"/>
        <w:rPr>
          <w:rFonts w:ascii="Verdana" w:hAnsi="Verdana"/>
          <w:sz w:val="16"/>
          <w:szCs w:val="16"/>
        </w:rPr>
      </w:pPr>
      <w:r w:rsidRPr="00135A5C">
        <w:rPr>
          <w:rStyle w:val="Voetnootmarkering"/>
          <w:rFonts w:ascii="Verdana" w:hAnsi="Verdana"/>
          <w:sz w:val="16"/>
          <w:szCs w:val="16"/>
        </w:rPr>
        <w:footnoteRef/>
      </w:r>
      <w:r w:rsidRPr="00135A5C">
        <w:rPr>
          <w:rFonts w:ascii="Verdana" w:hAnsi="Verdana"/>
          <w:sz w:val="16"/>
          <w:szCs w:val="16"/>
        </w:rPr>
        <w:t xml:space="preserve"> EHRM 28 juni 1978, </w:t>
      </w:r>
      <w:proofErr w:type="spellStart"/>
      <w:r w:rsidRPr="001A6C84">
        <w:rPr>
          <w:rFonts w:ascii="Verdana" w:hAnsi="Verdana"/>
          <w:i/>
          <w:sz w:val="16"/>
          <w:szCs w:val="16"/>
        </w:rPr>
        <w:t>König</w:t>
      </w:r>
      <w:proofErr w:type="spellEnd"/>
      <w:r w:rsidRPr="001A6C84">
        <w:rPr>
          <w:rFonts w:ascii="Verdana" w:hAnsi="Verdana"/>
          <w:i/>
          <w:sz w:val="16"/>
          <w:szCs w:val="16"/>
        </w:rPr>
        <w:t xml:space="preserve"> </w:t>
      </w:r>
      <w:r w:rsidRPr="00D87D9F">
        <w:rPr>
          <w:rFonts w:ascii="Verdana" w:hAnsi="Verdana"/>
          <w:sz w:val="16"/>
          <w:szCs w:val="16"/>
        </w:rPr>
        <w:t>t.</w:t>
      </w:r>
      <w:r w:rsidRPr="001A6C84">
        <w:rPr>
          <w:rFonts w:ascii="Verdana" w:hAnsi="Verdana"/>
          <w:i/>
          <w:sz w:val="16"/>
          <w:szCs w:val="16"/>
        </w:rPr>
        <w:t xml:space="preserve"> Duitsland</w:t>
      </w:r>
      <w:r w:rsidRPr="00135A5C">
        <w:rPr>
          <w:rFonts w:ascii="Verdana" w:hAnsi="Verdana"/>
          <w:sz w:val="16"/>
          <w:szCs w:val="16"/>
        </w:rPr>
        <w:t xml:space="preserve">, </w:t>
      </w:r>
      <w:r>
        <w:rPr>
          <w:rFonts w:ascii="Verdana" w:hAnsi="Verdana"/>
          <w:sz w:val="16"/>
          <w:szCs w:val="16"/>
        </w:rPr>
        <w:t xml:space="preserve">nr. </w:t>
      </w:r>
      <w:r w:rsidRPr="00F23258">
        <w:rPr>
          <w:rStyle w:val="textcolumn"/>
          <w:rFonts w:ascii="Verdana" w:hAnsi="Verdana"/>
          <w:sz w:val="16"/>
          <w:szCs w:val="16"/>
        </w:rPr>
        <w:t>6232/73</w:t>
      </w:r>
      <w:r w:rsidRPr="00F23258">
        <w:rPr>
          <w:rStyle w:val="fulltext"/>
          <w:rFonts w:ascii="Verdana" w:hAnsi="Verdana"/>
          <w:sz w:val="16"/>
          <w:szCs w:val="16"/>
        </w:rPr>
        <w:t>,</w:t>
      </w:r>
      <w:r>
        <w:rPr>
          <w:rStyle w:val="fulltext"/>
        </w:rPr>
        <w:t xml:space="preserve"> </w:t>
      </w:r>
      <w:r w:rsidRPr="00135A5C">
        <w:rPr>
          <w:rFonts w:ascii="Verdana" w:hAnsi="Verdana"/>
          <w:sz w:val="16"/>
          <w:szCs w:val="16"/>
        </w:rPr>
        <w:t>par. 89, 90 en 95.</w:t>
      </w:r>
    </w:p>
  </w:footnote>
  <w:footnote w:id="62">
    <w:p w:rsidR="001D1963" w:rsidRPr="00917D09" w:rsidRDefault="001D1963">
      <w:pPr>
        <w:pStyle w:val="Voetnoottekst"/>
        <w:rPr>
          <w:rFonts w:ascii="Verdana" w:hAnsi="Verdana"/>
          <w:b/>
          <w:sz w:val="16"/>
          <w:szCs w:val="16"/>
        </w:rPr>
      </w:pPr>
      <w:r w:rsidRPr="00917D09">
        <w:rPr>
          <w:rStyle w:val="Voetnootmarkering"/>
          <w:rFonts w:ascii="Verdana" w:hAnsi="Verdana"/>
          <w:sz w:val="16"/>
          <w:szCs w:val="16"/>
        </w:rPr>
        <w:footnoteRef/>
      </w:r>
      <w:r w:rsidRPr="00917D09">
        <w:rPr>
          <w:rFonts w:ascii="Verdana" w:hAnsi="Verdana"/>
          <w:sz w:val="16"/>
          <w:szCs w:val="16"/>
        </w:rPr>
        <w:t xml:space="preserve"> Zie</w:t>
      </w:r>
      <w:r>
        <w:rPr>
          <w:rFonts w:ascii="Verdana" w:hAnsi="Verdana"/>
          <w:sz w:val="16"/>
          <w:szCs w:val="16"/>
        </w:rPr>
        <w:t xml:space="preserve"> K. Witteman, Commentaar op art. 6, par. 1 </w:t>
      </w:r>
      <w:r w:rsidRPr="000A5244">
        <w:rPr>
          <w:rFonts w:ascii="Verdana" w:hAnsi="Verdana"/>
          <w:sz w:val="16"/>
          <w:szCs w:val="16"/>
        </w:rPr>
        <w:t xml:space="preserve">(C.2 </w:t>
      </w:r>
      <w:proofErr w:type="spellStart"/>
      <w:r w:rsidRPr="000A5244">
        <w:rPr>
          <w:rFonts w:ascii="Verdana" w:hAnsi="Verdana"/>
          <w:sz w:val="16"/>
          <w:szCs w:val="16"/>
        </w:rPr>
        <w:t>Civil</w:t>
      </w:r>
      <w:proofErr w:type="spellEnd"/>
      <w:r w:rsidRPr="000A5244">
        <w:rPr>
          <w:rFonts w:ascii="Verdana" w:hAnsi="Verdana"/>
          <w:sz w:val="16"/>
          <w:szCs w:val="16"/>
        </w:rPr>
        <w:t xml:space="preserve"> </w:t>
      </w:r>
      <w:proofErr w:type="spellStart"/>
      <w:r w:rsidRPr="000A5244">
        <w:rPr>
          <w:rFonts w:ascii="Verdana" w:hAnsi="Verdana"/>
          <w:sz w:val="16"/>
          <w:szCs w:val="16"/>
        </w:rPr>
        <w:t>rights</w:t>
      </w:r>
      <w:proofErr w:type="spellEnd"/>
      <w:r w:rsidRPr="000A5244">
        <w:rPr>
          <w:rFonts w:ascii="Verdana" w:hAnsi="Verdana"/>
          <w:sz w:val="16"/>
          <w:szCs w:val="16"/>
        </w:rPr>
        <w:t xml:space="preserve"> </w:t>
      </w:r>
      <w:proofErr w:type="spellStart"/>
      <w:r w:rsidRPr="000A5244">
        <w:rPr>
          <w:rFonts w:ascii="Verdana" w:hAnsi="Verdana"/>
          <w:sz w:val="16"/>
          <w:szCs w:val="16"/>
        </w:rPr>
        <w:t>and</w:t>
      </w:r>
      <w:proofErr w:type="spellEnd"/>
      <w:r w:rsidRPr="000A5244">
        <w:rPr>
          <w:rFonts w:ascii="Verdana" w:hAnsi="Verdana"/>
          <w:sz w:val="16"/>
          <w:szCs w:val="16"/>
        </w:rPr>
        <w:t xml:space="preserve"> </w:t>
      </w:r>
      <w:proofErr w:type="spellStart"/>
      <w:r w:rsidRPr="000A5244">
        <w:rPr>
          <w:rFonts w:ascii="Verdana" w:hAnsi="Verdana"/>
          <w:sz w:val="16"/>
          <w:szCs w:val="16"/>
        </w:rPr>
        <w:t>obligations</w:t>
      </w:r>
      <w:proofErr w:type="spellEnd"/>
      <w:r w:rsidRPr="000A5244">
        <w:rPr>
          <w:rFonts w:ascii="Verdana" w:hAnsi="Verdana"/>
          <w:sz w:val="16"/>
          <w:szCs w:val="16"/>
        </w:rPr>
        <w:t>)</w:t>
      </w:r>
      <w:r>
        <w:rPr>
          <w:rFonts w:ascii="Verdana" w:hAnsi="Verdana"/>
          <w:sz w:val="16"/>
          <w:szCs w:val="16"/>
        </w:rPr>
        <w:t xml:space="preserve"> in: </w:t>
      </w:r>
      <w:r w:rsidRPr="00D87D9F">
        <w:rPr>
          <w:rFonts w:ascii="Verdana" w:hAnsi="Verdana"/>
          <w:i/>
          <w:sz w:val="16"/>
          <w:szCs w:val="16"/>
        </w:rPr>
        <w:t>SDU Commentaar EVRM</w:t>
      </w:r>
      <w:r>
        <w:rPr>
          <w:rFonts w:ascii="Verdana" w:hAnsi="Verdana"/>
          <w:i/>
          <w:sz w:val="16"/>
          <w:szCs w:val="16"/>
        </w:rPr>
        <w:t>, Deel I - M</w:t>
      </w:r>
      <w:r w:rsidRPr="00D87D9F">
        <w:rPr>
          <w:rFonts w:ascii="Verdana" w:hAnsi="Verdana"/>
          <w:i/>
          <w:sz w:val="16"/>
          <w:szCs w:val="16"/>
        </w:rPr>
        <w:t>ateriële rechten</w:t>
      </w:r>
      <w:r>
        <w:rPr>
          <w:rFonts w:ascii="Verdana" w:hAnsi="Verdana"/>
          <w:sz w:val="16"/>
          <w:szCs w:val="16"/>
        </w:rPr>
        <w:t>, Den Haag: SDU Uitgevers 2013</w:t>
      </w:r>
      <w:r w:rsidRPr="00917D09">
        <w:rPr>
          <w:rFonts w:ascii="Verdana" w:hAnsi="Verdana"/>
          <w:sz w:val="16"/>
          <w:szCs w:val="16"/>
        </w:rPr>
        <w:t xml:space="preserve">, p. </w:t>
      </w:r>
      <w:r>
        <w:rPr>
          <w:rFonts w:ascii="Verdana" w:hAnsi="Verdana"/>
          <w:sz w:val="16"/>
          <w:szCs w:val="16"/>
        </w:rPr>
        <w:t>220-233.</w:t>
      </w:r>
    </w:p>
  </w:footnote>
  <w:footnote w:id="63">
    <w:p w:rsidR="001D1963" w:rsidRPr="00135A5C" w:rsidRDefault="001D1963">
      <w:pPr>
        <w:pStyle w:val="Voetnoottekst"/>
        <w:rPr>
          <w:rFonts w:ascii="Verdana" w:hAnsi="Verdana"/>
          <w:sz w:val="16"/>
          <w:szCs w:val="16"/>
        </w:rPr>
      </w:pPr>
      <w:r w:rsidRPr="00135A5C">
        <w:rPr>
          <w:rStyle w:val="Voetnootmarkering"/>
          <w:rFonts w:ascii="Verdana" w:hAnsi="Verdana"/>
          <w:sz w:val="16"/>
          <w:szCs w:val="16"/>
        </w:rPr>
        <w:footnoteRef/>
      </w:r>
      <w:r w:rsidRPr="00135A5C">
        <w:rPr>
          <w:rFonts w:ascii="Verdana" w:hAnsi="Verdana"/>
          <w:sz w:val="16"/>
          <w:szCs w:val="16"/>
        </w:rPr>
        <w:t xml:space="preserve"> </w:t>
      </w:r>
      <w:proofErr w:type="spellStart"/>
      <w:r w:rsidRPr="00135A5C">
        <w:rPr>
          <w:rFonts w:ascii="Verdana" w:hAnsi="Verdana" w:cs="Arial"/>
          <w:sz w:val="16"/>
          <w:szCs w:val="16"/>
        </w:rPr>
        <w:t>Corstens</w:t>
      </w:r>
      <w:proofErr w:type="spellEnd"/>
      <w:r>
        <w:rPr>
          <w:rFonts w:ascii="Verdana" w:hAnsi="Verdana" w:cs="Arial"/>
          <w:sz w:val="16"/>
          <w:szCs w:val="16"/>
        </w:rPr>
        <w:t xml:space="preserve"> &amp; Kuiper </w:t>
      </w:r>
      <w:r w:rsidRPr="00135A5C">
        <w:rPr>
          <w:rFonts w:ascii="Verdana" w:hAnsi="Verdana" w:cs="Arial"/>
          <w:sz w:val="16"/>
          <w:szCs w:val="16"/>
        </w:rPr>
        <w:t>2014, p. 10</w:t>
      </w:r>
      <w:r>
        <w:rPr>
          <w:rFonts w:ascii="Verdana" w:hAnsi="Verdana" w:cs="Arial"/>
          <w:sz w:val="16"/>
          <w:szCs w:val="16"/>
        </w:rPr>
        <w:t>.</w:t>
      </w:r>
    </w:p>
  </w:footnote>
  <w:footnote w:id="64">
    <w:p w:rsidR="001D1963" w:rsidRPr="00C64B68" w:rsidRDefault="001D1963" w:rsidP="00C64B68">
      <w:pPr>
        <w:pStyle w:val="Voetnoottekst"/>
        <w:rPr>
          <w:rFonts w:ascii="Verdana" w:hAnsi="Verdana"/>
          <w:sz w:val="16"/>
          <w:szCs w:val="16"/>
        </w:rPr>
      </w:pPr>
      <w:r w:rsidRPr="00C06230">
        <w:rPr>
          <w:rStyle w:val="Voetnootmarkering"/>
          <w:rFonts w:ascii="Verdana" w:hAnsi="Verdana"/>
          <w:sz w:val="16"/>
          <w:szCs w:val="16"/>
        </w:rPr>
        <w:footnoteRef/>
      </w:r>
      <w:r w:rsidRPr="00C06230">
        <w:rPr>
          <w:rFonts w:ascii="Verdana" w:hAnsi="Verdana"/>
          <w:sz w:val="16"/>
          <w:szCs w:val="16"/>
        </w:rPr>
        <w:t xml:space="preserve"> </w:t>
      </w:r>
      <w:r>
        <w:rPr>
          <w:rFonts w:ascii="Verdana" w:hAnsi="Verdana"/>
          <w:sz w:val="16"/>
          <w:szCs w:val="16"/>
        </w:rPr>
        <w:t>W</w:t>
      </w:r>
      <w:r w:rsidRPr="00C06230">
        <w:rPr>
          <w:rFonts w:ascii="Verdana" w:hAnsi="Verdana"/>
          <w:sz w:val="16"/>
          <w:szCs w:val="16"/>
        </w:rPr>
        <w:t xml:space="preserve">ijziging van het Wetboek van Burgerlijke Rechtsvordering en de Algemene wet bestuursrecht in verband met de vereenvoudiging en digitalisering van het procesrecht, </w:t>
      </w:r>
      <w:r w:rsidRPr="00E6035A">
        <w:rPr>
          <w:rFonts w:ascii="Verdana" w:hAnsi="Verdana"/>
          <w:sz w:val="16"/>
          <w:szCs w:val="16"/>
        </w:rPr>
        <w:t>Kamerstukken II</w:t>
      </w:r>
      <w:r w:rsidRPr="00C06230">
        <w:rPr>
          <w:rFonts w:ascii="Verdana" w:hAnsi="Verdana"/>
          <w:sz w:val="16"/>
          <w:szCs w:val="16"/>
        </w:rPr>
        <w:t xml:space="preserve"> </w:t>
      </w:r>
      <w:r w:rsidRPr="00C64B68">
        <w:rPr>
          <w:rFonts w:ascii="Verdana" w:hAnsi="Verdana"/>
          <w:sz w:val="16"/>
          <w:szCs w:val="16"/>
        </w:rPr>
        <w:t>2014/15</w:t>
      </w:r>
      <w:r>
        <w:rPr>
          <w:rFonts w:ascii="Verdana" w:hAnsi="Verdana"/>
          <w:sz w:val="16"/>
          <w:szCs w:val="16"/>
        </w:rPr>
        <w:t>,</w:t>
      </w:r>
      <w:r w:rsidRPr="00C64B68">
        <w:rPr>
          <w:rFonts w:ascii="Verdana" w:hAnsi="Verdana"/>
          <w:sz w:val="16"/>
          <w:szCs w:val="16"/>
        </w:rPr>
        <w:t xml:space="preserve"> 34 059</w:t>
      </w:r>
      <w:r>
        <w:rPr>
          <w:rFonts w:ascii="Verdana" w:hAnsi="Verdana"/>
          <w:sz w:val="16"/>
          <w:szCs w:val="16"/>
        </w:rPr>
        <w:t xml:space="preserve">, </w:t>
      </w:r>
      <w:proofErr w:type="spellStart"/>
      <w:r>
        <w:rPr>
          <w:rFonts w:ascii="Verdana" w:hAnsi="Verdana"/>
          <w:sz w:val="16"/>
          <w:szCs w:val="16"/>
        </w:rPr>
        <w:t>nrs</w:t>
      </w:r>
      <w:proofErr w:type="spellEnd"/>
      <w:r>
        <w:rPr>
          <w:rFonts w:ascii="Verdana" w:hAnsi="Verdana"/>
          <w:sz w:val="16"/>
          <w:szCs w:val="16"/>
        </w:rPr>
        <w:t xml:space="preserve">. 1-3 en </w:t>
      </w:r>
      <w:r w:rsidRPr="005C04A2">
        <w:rPr>
          <w:rFonts w:ascii="Verdana" w:hAnsi="Verdana"/>
          <w:sz w:val="16"/>
          <w:szCs w:val="16"/>
        </w:rPr>
        <w:t>Wijziging van het Wetboek van Burgerlijke Rechtsvordering in verband met vereenvoudiging en digitalisering van het procesrecht in hoger beroep en cassatie</w:t>
      </w:r>
      <w:r>
        <w:rPr>
          <w:rFonts w:ascii="Verdana" w:hAnsi="Verdana"/>
          <w:sz w:val="16"/>
          <w:szCs w:val="16"/>
        </w:rPr>
        <w:t>,</w:t>
      </w:r>
      <w:r w:rsidRPr="005C04A2">
        <w:rPr>
          <w:rFonts w:ascii="Verdana" w:hAnsi="Verdana"/>
          <w:sz w:val="16"/>
          <w:szCs w:val="16"/>
        </w:rPr>
        <w:t xml:space="preserve"> </w:t>
      </w:r>
      <w:r>
        <w:rPr>
          <w:rFonts w:ascii="Verdana" w:hAnsi="Verdana"/>
          <w:sz w:val="16"/>
          <w:szCs w:val="16"/>
        </w:rPr>
        <w:t xml:space="preserve">Kamerstukken II 2014/15, 34 138, </w:t>
      </w:r>
      <w:proofErr w:type="spellStart"/>
      <w:r>
        <w:rPr>
          <w:rFonts w:ascii="Verdana" w:hAnsi="Verdana"/>
          <w:sz w:val="16"/>
          <w:szCs w:val="16"/>
        </w:rPr>
        <w:t>nrs</w:t>
      </w:r>
      <w:proofErr w:type="spellEnd"/>
      <w:r>
        <w:rPr>
          <w:rFonts w:ascii="Verdana" w:hAnsi="Verdana"/>
          <w:sz w:val="16"/>
          <w:szCs w:val="16"/>
        </w:rPr>
        <w:t>. 1-3.</w:t>
      </w:r>
    </w:p>
  </w:footnote>
  <w:footnote w:id="65">
    <w:p w:rsidR="001D1963" w:rsidRDefault="001D1963">
      <w:pPr>
        <w:pStyle w:val="Geenafstand"/>
      </w:pPr>
      <w:r w:rsidRPr="001A6485">
        <w:rPr>
          <w:rStyle w:val="Voetnootmarkering"/>
          <w:rFonts w:ascii="Verdana" w:hAnsi="Verdana"/>
          <w:sz w:val="16"/>
          <w:szCs w:val="16"/>
        </w:rPr>
        <w:footnoteRef/>
      </w:r>
      <w:r w:rsidRPr="008F2278">
        <w:rPr>
          <w:rFonts w:ascii="Verdana" w:hAnsi="Verdana"/>
          <w:sz w:val="16"/>
          <w:szCs w:val="16"/>
        </w:rPr>
        <w:t xml:space="preserve"> </w:t>
      </w:r>
      <w:r w:rsidRPr="008F2278">
        <w:rPr>
          <w:rFonts w:ascii="Verdana" w:hAnsi="Verdana" w:cs="Palatino Linotype"/>
          <w:color w:val="000000"/>
          <w:sz w:val="16"/>
          <w:szCs w:val="16"/>
        </w:rPr>
        <w:t xml:space="preserve">EHRM 8 juni 1976, </w:t>
      </w:r>
      <w:r w:rsidRPr="008F2278">
        <w:rPr>
          <w:rFonts w:ascii="Verdana" w:hAnsi="Verdana" w:cs="Palatino Linotype"/>
          <w:i/>
          <w:color w:val="000000"/>
          <w:sz w:val="16"/>
          <w:szCs w:val="16"/>
        </w:rPr>
        <w:t xml:space="preserve">Engel e.a. </w:t>
      </w:r>
      <w:r w:rsidRPr="008F2278">
        <w:rPr>
          <w:rFonts w:ascii="Verdana" w:hAnsi="Verdana" w:cs="Palatino Linotype"/>
          <w:color w:val="000000"/>
          <w:sz w:val="16"/>
          <w:szCs w:val="16"/>
        </w:rPr>
        <w:t>t.</w:t>
      </w:r>
      <w:r w:rsidRPr="008F2278">
        <w:rPr>
          <w:rFonts w:ascii="Verdana" w:hAnsi="Verdana" w:cs="Palatino Linotype"/>
          <w:i/>
          <w:color w:val="000000"/>
          <w:sz w:val="16"/>
          <w:szCs w:val="16"/>
        </w:rPr>
        <w:t xml:space="preserve"> Nederland</w:t>
      </w:r>
      <w:r w:rsidRPr="008F2278">
        <w:rPr>
          <w:rFonts w:ascii="Verdana" w:hAnsi="Verdana" w:cs="Palatino Linotype"/>
          <w:color w:val="000000"/>
          <w:sz w:val="16"/>
          <w:szCs w:val="16"/>
        </w:rPr>
        <w:t>, nr.</w:t>
      </w:r>
      <w:r>
        <w:rPr>
          <w:rFonts w:ascii="Verdana" w:hAnsi="Verdana" w:cs="Palatino Linotype"/>
          <w:color w:val="000000"/>
          <w:sz w:val="16"/>
          <w:szCs w:val="16"/>
        </w:rPr>
        <w:t xml:space="preserve"> 5100/71</w:t>
      </w:r>
      <w:r w:rsidRPr="008F2278">
        <w:rPr>
          <w:rFonts w:ascii="Verdana" w:hAnsi="Verdana" w:cs="Palatino Linotype"/>
          <w:sz w:val="16"/>
          <w:szCs w:val="16"/>
        </w:rPr>
        <w:t xml:space="preserve">; EHRM 21 februari 1984, </w:t>
      </w:r>
      <w:r w:rsidRPr="008F2278">
        <w:rPr>
          <w:rFonts w:ascii="Verdana" w:hAnsi="Verdana" w:cs="Palatino Linotype"/>
          <w:i/>
          <w:iCs/>
          <w:sz w:val="16"/>
          <w:szCs w:val="16"/>
        </w:rPr>
        <w:t xml:space="preserve">Öztürk </w:t>
      </w:r>
      <w:r w:rsidRPr="006D7F8A">
        <w:rPr>
          <w:rFonts w:ascii="Verdana" w:hAnsi="Verdana" w:cs="Palatino Linotype"/>
          <w:iCs/>
          <w:sz w:val="16"/>
          <w:szCs w:val="16"/>
        </w:rPr>
        <w:t>t.</w:t>
      </w:r>
      <w:r w:rsidRPr="008F2278">
        <w:rPr>
          <w:rFonts w:ascii="Verdana" w:hAnsi="Verdana" w:cs="Palatino Linotype"/>
          <w:i/>
          <w:iCs/>
          <w:sz w:val="16"/>
          <w:szCs w:val="16"/>
        </w:rPr>
        <w:t xml:space="preserve"> </w:t>
      </w:r>
      <w:r>
        <w:rPr>
          <w:rFonts w:ascii="Verdana" w:hAnsi="Verdana" w:cs="Palatino Linotype"/>
          <w:i/>
          <w:iCs/>
          <w:sz w:val="16"/>
          <w:szCs w:val="16"/>
        </w:rPr>
        <w:t>Duitsland</w:t>
      </w:r>
      <w:r w:rsidRPr="008F2278">
        <w:rPr>
          <w:rFonts w:ascii="Verdana" w:hAnsi="Verdana" w:cs="Palatino Linotype"/>
          <w:sz w:val="16"/>
          <w:szCs w:val="16"/>
        </w:rPr>
        <w:t xml:space="preserve">, </w:t>
      </w:r>
      <w:r w:rsidRPr="006D7F8A">
        <w:rPr>
          <w:rFonts w:ascii="Verdana" w:hAnsi="Verdana" w:cs="Palatino Linotype"/>
          <w:sz w:val="16"/>
          <w:szCs w:val="16"/>
        </w:rPr>
        <w:t>8544/79</w:t>
      </w:r>
      <w:r w:rsidRPr="008F2278">
        <w:rPr>
          <w:rFonts w:ascii="Verdana" w:hAnsi="Verdana" w:cs="Palatino Linotype"/>
          <w:sz w:val="16"/>
          <w:szCs w:val="16"/>
        </w:rPr>
        <w:t xml:space="preserve">, § 50, 53. </w:t>
      </w:r>
      <w:r w:rsidRPr="006D7F8A">
        <w:rPr>
          <w:rFonts w:ascii="Verdana" w:hAnsi="Verdana" w:cs="Palatino Linotype"/>
          <w:sz w:val="16"/>
          <w:szCs w:val="16"/>
        </w:rPr>
        <w:t>Vgl.</w:t>
      </w:r>
      <w:r w:rsidRPr="006D7F8A">
        <w:rPr>
          <w:rFonts w:ascii="Verdana" w:hAnsi="Verdana"/>
          <w:sz w:val="16"/>
          <w:szCs w:val="16"/>
        </w:rPr>
        <w:t xml:space="preserve"> D.L.F. de Vocht,</w:t>
      </w:r>
      <w:r>
        <w:rPr>
          <w:rFonts w:ascii="Verdana" w:hAnsi="Verdana"/>
          <w:sz w:val="16"/>
          <w:szCs w:val="16"/>
        </w:rPr>
        <w:t xml:space="preserve"> </w:t>
      </w:r>
      <w:r w:rsidRPr="00917D09">
        <w:rPr>
          <w:rFonts w:ascii="Verdana" w:hAnsi="Verdana"/>
          <w:sz w:val="16"/>
          <w:szCs w:val="16"/>
        </w:rPr>
        <w:t xml:space="preserve">Commentaar </w:t>
      </w:r>
      <w:r>
        <w:rPr>
          <w:rFonts w:ascii="Verdana" w:hAnsi="Verdana"/>
          <w:sz w:val="16"/>
          <w:szCs w:val="16"/>
        </w:rPr>
        <w:t xml:space="preserve">op art. 6, par. 1 (C.3 gegrondheid vervolging), in: </w:t>
      </w:r>
      <w:r w:rsidRPr="008F2278">
        <w:rPr>
          <w:rFonts w:ascii="Verdana" w:hAnsi="Verdana"/>
          <w:i/>
          <w:sz w:val="16"/>
          <w:szCs w:val="16"/>
        </w:rPr>
        <w:t xml:space="preserve">SDU </w:t>
      </w:r>
      <w:r>
        <w:rPr>
          <w:rFonts w:ascii="Verdana" w:hAnsi="Verdana"/>
          <w:i/>
          <w:sz w:val="16"/>
          <w:szCs w:val="16"/>
        </w:rPr>
        <w:t>Commentaar EVRM, Deel I - M</w:t>
      </w:r>
      <w:r w:rsidRPr="008F2278">
        <w:rPr>
          <w:rFonts w:ascii="Verdana" w:hAnsi="Verdana"/>
          <w:i/>
          <w:sz w:val="16"/>
          <w:szCs w:val="16"/>
        </w:rPr>
        <w:t>ateriële rechten</w:t>
      </w:r>
      <w:r>
        <w:rPr>
          <w:rFonts w:ascii="Verdana" w:hAnsi="Verdana"/>
          <w:sz w:val="16"/>
          <w:szCs w:val="16"/>
        </w:rPr>
        <w:t>, Den Haag: SDU Uitgevers 2013, p. 233-259.</w:t>
      </w:r>
    </w:p>
  </w:footnote>
  <w:footnote w:id="66">
    <w:p w:rsidR="001D1963" w:rsidRPr="00C27A7F" w:rsidRDefault="001D1963">
      <w:pPr>
        <w:pStyle w:val="Voetnoottekst"/>
        <w:rPr>
          <w:rFonts w:ascii="Verdana" w:hAnsi="Verdana"/>
          <w:sz w:val="16"/>
          <w:szCs w:val="16"/>
          <w:lang w:val="en-US"/>
        </w:rPr>
      </w:pPr>
      <w:r w:rsidRPr="00D91ECC">
        <w:rPr>
          <w:rStyle w:val="Voetnootmarkering"/>
          <w:rFonts w:ascii="Verdana" w:hAnsi="Verdana"/>
          <w:sz w:val="16"/>
          <w:szCs w:val="16"/>
        </w:rPr>
        <w:footnoteRef/>
      </w:r>
      <w:r w:rsidRPr="00D91ECC">
        <w:rPr>
          <w:rFonts w:ascii="Verdana" w:hAnsi="Verdana"/>
          <w:sz w:val="16"/>
          <w:szCs w:val="16"/>
          <w:lang w:val="en-US"/>
        </w:rPr>
        <w:t xml:space="preserve"> Recommendation</w:t>
      </w:r>
      <w:r>
        <w:rPr>
          <w:rFonts w:ascii="Verdana" w:hAnsi="Verdana"/>
          <w:sz w:val="16"/>
          <w:szCs w:val="16"/>
          <w:lang w:val="en-US"/>
        </w:rPr>
        <w:t xml:space="preserve"> (2010)12 </w:t>
      </w:r>
      <w:r w:rsidRPr="00C27A7F">
        <w:rPr>
          <w:rFonts w:ascii="Verdana" w:hAnsi="Verdana"/>
          <w:sz w:val="16"/>
          <w:szCs w:val="16"/>
          <w:lang w:val="en-US"/>
        </w:rPr>
        <w:t>of the Committe</w:t>
      </w:r>
      <w:r>
        <w:rPr>
          <w:rFonts w:ascii="Verdana" w:hAnsi="Verdana"/>
          <w:sz w:val="16"/>
          <w:szCs w:val="16"/>
          <w:lang w:val="en-US"/>
        </w:rPr>
        <w:t xml:space="preserve">e of Ministers to member states </w:t>
      </w:r>
      <w:r w:rsidRPr="00C27A7F">
        <w:rPr>
          <w:rFonts w:ascii="Verdana" w:hAnsi="Verdana"/>
          <w:sz w:val="16"/>
          <w:szCs w:val="16"/>
          <w:lang w:val="en-US"/>
        </w:rPr>
        <w:t>on judges: independence, e</w:t>
      </w:r>
      <w:r>
        <w:rPr>
          <w:rFonts w:ascii="Verdana" w:hAnsi="Verdana"/>
          <w:sz w:val="16"/>
          <w:szCs w:val="16"/>
          <w:lang w:val="en-US"/>
        </w:rPr>
        <w:t xml:space="preserve">fficiency and responsibilities, 17 November 2010, par. </w:t>
      </w:r>
      <w:r>
        <w:rPr>
          <w:rFonts w:ascii="Arial" w:hAnsi="Arial" w:cs="Arial"/>
          <w:sz w:val="16"/>
          <w:szCs w:val="16"/>
          <w:lang w:val="en-US"/>
        </w:rPr>
        <w:t>7.</w:t>
      </w:r>
    </w:p>
  </w:footnote>
  <w:footnote w:id="67">
    <w:p w:rsidR="001D1963" w:rsidRPr="00A755C0" w:rsidRDefault="001D1963">
      <w:pPr>
        <w:pStyle w:val="Voetnoottekst"/>
        <w:rPr>
          <w:rFonts w:ascii="Verdana" w:hAnsi="Verdana"/>
          <w:sz w:val="16"/>
          <w:szCs w:val="16"/>
        </w:rPr>
      </w:pPr>
      <w:r w:rsidRPr="00A755C0">
        <w:rPr>
          <w:rStyle w:val="Voetnootmarkering"/>
          <w:rFonts w:ascii="Verdana" w:hAnsi="Verdana"/>
          <w:sz w:val="16"/>
          <w:szCs w:val="16"/>
        </w:rPr>
        <w:footnoteRef/>
      </w:r>
      <w:r w:rsidRPr="00A755C0">
        <w:rPr>
          <w:rFonts w:ascii="Verdana" w:hAnsi="Verdana"/>
          <w:sz w:val="16"/>
          <w:szCs w:val="16"/>
        </w:rPr>
        <w:t xml:space="preserve"> </w:t>
      </w:r>
      <w:r>
        <w:rPr>
          <w:rFonts w:ascii="Verdana" w:hAnsi="Verdana"/>
          <w:sz w:val="16"/>
          <w:szCs w:val="16"/>
        </w:rPr>
        <w:t xml:space="preserve">Vgl. J. </w:t>
      </w:r>
      <w:proofErr w:type="spellStart"/>
      <w:r>
        <w:rPr>
          <w:rFonts w:ascii="Verdana" w:hAnsi="Verdana"/>
          <w:sz w:val="16"/>
          <w:szCs w:val="16"/>
        </w:rPr>
        <w:t>Meese</w:t>
      </w:r>
      <w:proofErr w:type="spellEnd"/>
      <w:r>
        <w:rPr>
          <w:rFonts w:ascii="Verdana" w:hAnsi="Verdana"/>
          <w:sz w:val="16"/>
          <w:szCs w:val="16"/>
        </w:rPr>
        <w:t>, Commentaar op art. 6, par. 1 (C.7 redelijke termijn)</w:t>
      </w:r>
      <w:r w:rsidRPr="00A430BC">
        <w:rPr>
          <w:rFonts w:ascii="Verdana" w:hAnsi="Verdana"/>
          <w:sz w:val="16"/>
          <w:szCs w:val="16"/>
        </w:rPr>
        <w:t xml:space="preserve">, </w:t>
      </w:r>
      <w:r>
        <w:rPr>
          <w:rFonts w:ascii="Verdana" w:hAnsi="Verdana"/>
          <w:sz w:val="16"/>
          <w:szCs w:val="16"/>
        </w:rPr>
        <w:t xml:space="preserve">in: </w:t>
      </w:r>
      <w:proofErr w:type="spellStart"/>
      <w:r>
        <w:rPr>
          <w:rFonts w:ascii="Verdana" w:hAnsi="Verdana"/>
          <w:i/>
          <w:sz w:val="16"/>
          <w:szCs w:val="16"/>
        </w:rPr>
        <w:t>Sdu</w:t>
      </w:r>
      <w:proofErr w:type="spellEnd"/>
      <w:r>
        <w:rPr>
          <w:rFonts w:ascii="Verdana" w:hAnsi="Verdana"/>
          <w:i/>
          <w:sz w:val="16"/>
          <w:szCs w:val="16"/>
        </w:rPr>
        <w:t xml:space="preserve"> Commentaar EVRM, Deel I - M</w:t>
      </w:r>
      <w:r w:rsidRPr="00A430BC">
        <w:rPr>
          <w:rFonts w:ascii="Verdana" w:hAnsi="Verdana"/>
          <w:i/>
          <w:sz w:val="16"/>
          <w:szCs w:val="16"/>
        </w:rPr>
        <w:t>ateriële rechten</w:t>
      </w:r>
      <w:r w:rsidRPr="00A430BC">
        <w:rPr>
          <w:rFonts w:ascii="Verdana" w:hAnsi="Verdana"/>
          <w:sz w:val="16"/>
          <w:szCs w:val="16"/>
        </w:rPr>
        <w:t xml:space="preserve">, </w:t>
      </w:r>
      <w:r>
        <w:rPr>
          <w:rFonts w:ascii="Verdana" w:hAnsi="Verdana"/>
          <w:sz w:val="16"/>
          <w:szCs w:val="16"/>
        </w:rPr>
        <w:t xml:space="preserve">Den Haag: </w:t>
      </w:r>
      <w:r w:rsidRPr="00A430BC">
        <w:rPr>
          <w:rFonts w:ascii="Verdana" w:hAnsi="Verdana"/>
          <w:sz w:val="16"/>
          <w:szCs w:val="16"/>
        </w:rPr>
        <w:t xml:space="preserve">SDU </w:t>
      </w:r>
      <w:r>
        <w:rPr>
          <w:rFonts w:ascii="Verdana" w:hAnsi="Verdana"/>
          <w:sz w:val="16"/>
          <w:szCs w:val="16"/>
        </w:rPr>
        <w:t xml:space="preserve">Uitgevers </w:t>
      </w:r>
      <w:r w:rsidRPr="00A430BC">
        <w:rPr>
          <w:rFonts w:ascii="Verdana" w:hAnsi="Verdana"/>
          <w:sz w:val="16"/>
          <w:szCs w:val="16"/>
        </w:rPr>
        <w:t>2013</w:t>
      </w:r>
      <w:r>
        <w:rPr>
          <w:rFonts w:ascii="Verdana" w:hAnsi="Verdana"/>
          <w:sz w:val="16"/>
          <w:szCs w:val="16"/>
        </w:rPr>
        <w:t xml:space="preserve">, p. 312-313, met verwijzing naar EHRM 24 oktober 1989, </w:t>
      </w:r>
      <w:r w:rsidRPr="00BB73E5">
        <w:rPr>
          <w:rFonts w:ascii="Verdana" w:hAnsi="Verdana"/>
          <w:i/>
          <w:sz w:val="16"/>
          <w:szCs w:val="16"/>
        </w:rPr>
        <w:t xml:space="preserve">H. </w:t>
      </w:r>
      <w:r w:rsidRPr="006D7F8A">
        <w:rPr>
          <w:rFonts w:ascii="Verdana" w:hAnsi="Verdana"/>
          <w:sz w:val="16"/>
          <w:szCs w:val="16"/>
        </w:rPr>
        <w:t>t.</w:t>
      </w:r>
      <w:r w:rsidRPr="00BB73E5">
        <w:rPr>
          <w:rFonts w:ascii="Verdana" w:hAnsi="Verdana"/>
          <w:i/>
          <w:sz w:val="16"/>
          <w:szCs w:val="16"/>
        </w:rPr>
        <w:t xml:space="preserve"> Frankrijk</w:t>
      </w:r>
      <w:r>
        <w:rPr>
          <w:rFonts w:ascii="Verdana" w:hAnsi="Verdana"/>
          <w:sz w:val="16"/>
          <w:szCs w:val="16"/>
        </w:rPr>
        <w:t xml:space="preserve">, nr. 10073/84, par. 58 en EHRM 27 juni 1968, </w:t>
      </w:r>
      <w:proofErr w:type="spellStart"/>
      <w:r w:rsidRPr="00BB73E5">
        <w:rPr>
          <w:rFonts w:ascii="Verdana" w:hAnsi="Verdana"/>
          <w:i/>
          <w:sz w:val="16"/>
          <w:szCs w:val="16"/>
        </w:rPr>
        <w:t>Wemhoff</w:t>
      </w:r>
      <w:proofErr w:type="spellEnd"/>
      <w:r w:rsidRPr="00BB73E5">
        <w:rPr>
          <w:rFonts w:ascii="Verdana" w:hAnsi="Verdana"/>
          <w:i/>
          <w:sz w:val="16"/>
          <w:szCs w:val="16"/>
        </w:rPr>
        <w:t xml:space="preserve"> </w:t>
      </w:r>
      <w:r w:rsidRPr="006D7F8A">
        <w:rPr>
          <w:rFonts w:ascii="Verdana" w:hAnsi="Verdana"/>
          <w:sz w:val="16"/>
          <w:szCs w:val="16"/>
        </w:rPr>
        <w:t>t.</w:t>
      </w:r>
      <w:r w:rsidRPr="00BB73E5">
        <w:rPr>
          <w:rFonts w:ascii="Verdana" w:hAnsi="Verdana"/>
          <w:i/>
          <w:sz w:val="16"/>
          <w:szCs w:val="16"/>
        </w:rPr>
        <w:t xml:space="preserve"> Duitsland</w:t>
      </w:r>
      <w:r>
        <w:rPr>
          <w:rFonts w:ascii="Verdana" w:hAnsi="Verdana"/>
          <w:sz w:val="16"/>
          <w:szCs w:val="16"/>
        </w:rPr>
        <w:t>, nr. 2122/64, par. 18.</w:t>
      </w:r>
    </w:p>
  </w:footnote>
  <w:footnote w:id="68">
    <w:p w:rsidR="001D1963" w:rsidRPr="00C27A7F" w:rsidRDefault="001D1963">
      <w:pPr>
        <w:pStyle w:val="Voetnoottekst"/>
        <w:rPr>
          <w:rFonts w:ascii="Verdana" w:hAnsi="Verdana"/>
          <w:sz w:val="16"/>
          <w:szCs w:val="16"/>
        </w:rPr>
      </w:pPr>
      <w:r w:rsidRPr="00C27A7F">
        <w:rPr>
          <w:rStyle w:val="Voetnootmarkering"/>
          <w:rFonts w:ascii="Verdana" w:hAnsi="Verdana"/>
          <w:sz w:val="16"/>
          <w:szCs w:val="16"/>
        </w:rPr>
        <w:footnoteRef/>
      </w:r>
      <w:r w:rsidRPr="00C27A7F">
        <w:rPr>
          <w:rFonts w:ascii="Verdana" w:hAnsi="Verdana"/>
          <w:sz w:val="16"/>
          <w:szCs w:val="16"/>
        </w:rPr>
        <w:t xml:space="preserve"> Vgl. </w:t>
      </w:r>
      <w:proofErr w:type="spellStart"/>
      <w:r w:rsidRPr="00C27A7F">
        <w:rPr>
          <w:rFonts w:ascii="Verdana" w:hAnsi="Verdana"/>
          <w:sz w:val="16"/>
          <w:szCs w:val="16"/>
        </w:rPr>
        <w:t>Bovend’Eert</w:t>
      </w:r>
      <w:proofErr w:type="spellEnd"/>
      <w:r w:rsidRPr="00C27A7F">
        <w:rPr>
          <w:rFonts w:ascii="Verdana" w:hAnsi="Verdana"/>
          <w:sz w:val="16"/>
          <w:szCs w:val="16"/>
        </w:rPr>
        <w:t xml:space="preserve"> 2013, p. 290-291. Van der Pot 2006, p. 605.</w:t>
      </w:r>
    </w:p>
  </w:footnote>
  <w:footnote w:id="69">
    <w:p w:rsidR="001D1963" w:rsidRPr="00C27A7F" w:rsidRDefault="001D1963">
      <w:pPr>
        <w:pStyle w:val="Voetnoottekst"/>
        <w:rPr>
          <w:rFonts w:ascii="Verdana" w:hAnsi="Verdana"/>
          <w:sz w:val="16"/>
          <w:szCs w:val="16"/>
        </w:rPr>
      </w:pPr>
      <w:r w:rsidRPr="005C017E">
        <w:rPr>
          <w:rStyle w:val="Voetnootmarkering"/>
          <w:rFonts w:ascii="Verdana" w:hAnsi="Verdana"/>
          <w:sz w:val="16"/>
          <w:szCs w:val="16"/>
        </w:rPr>
        <w:footnoteRef/>
      </w:r>
      <w:r>
        <w:rPr>
          <w:rFonts w:ascii="Verdana" w:hAnsi="Verdana"/>
          <w:sz w:val="16"/>
          <w:szCs w:val="16"/>
        </w:rPr>
        <w:t xml:space="preserve"> </w:t>
      </w:r>
      <w:proofErr w:type="spellStart"/>
      <w:r>
        <w:rPr>
          <w:rFonts w:ascii="Verdana" w:hAnsi="Verdana"/>
          <w:sz w:val="16"/>
          <w:szCs w:val="16"/>
        </w:rPr>
        <w:t>Bovend’Eert</w:t>
      </w:r>
      <w:proofErr w:type="spellEnd"/>
      <w:r>
        <w:rPr>
          <w:rFonts w:ascii="Verdana" w:hAnsi="Verdana"/>
          <w:sz w:val="16"/>
          <w:szCs w:val="16"/>
        </w:rPr>
        <w:t xml:space="preserve"> 2013,</w:t>
      </w:r>
      <w:r w:rsidRPr="00C27A7F">
        <w:rPr>
          <w:rFonts w:ascii="Verdana" w:hAnsi="Verdana"/>
          <w:sz w:val="16"/>
          <w:szCs w:val="16"/>
        </w:rPr>
        <w:t xml:space="preserve"> p. 17</w:t>
      </w:r>
      <w:r>
        <w:rPr>
          <w:rFonts w:ascii="Verdana" w:hAnsi="Verdana"/>
          <w:sz w:val="16"/>
          <w:szCs w:val="16"/>
        </w:rPr>
        <w:t>.</w:t>
      </w:r>
    </w:p>
  </w:footnote>
  <w:footnote w:id="70">
    <w:p w:rsidR="001D1963" w:rsidRPr="00570D3F" w:rsidRDefault="001D1963">
      <w:pPr>
        <w:pStyle w:val="Voetnoottekst"/>
        <w:rPr>
          <w:rFonts w:ascii="Verdana" w:hAnsi="Verdana"/>
          <w:sz w:val="16"/>
          <w:szCs w:val="16"/>
        </w:rPr>
      </w:pPr>
      <w:r w:rsidRPr="00570D3F">
        <w:rPr>
          <w:rStyle w:val="Voetnootmarkering"/>
          <w:rFonts w:ascii="Verdana" w:hAnsi="Verdana"/>
          <w:sz w:val="16"/>
          <w:szCs w:val="16"/>
        </w:rPr>
        <w:footnoteRef/>
      </w:r>
      <w:r w:rsidRPr="00570D3F">
        <w:rPr>
          <w:rFonts w:ascii="Verdana" w:hAnsi="Verdana"/>
          <w:sz w:val="16"/>
          <w:szCs w:val="16"/>
        </w:rPr>
        <w:t xml:space="preserve"> </w:t>
      </w:r>
      <w:proofErr w:type="spellStart"/>
      <w:r w:rsidRPr="00570D3F">
        <w:rPr>
          <w:rFonts w:ascii="Verdana" w:hAnsi="Verdana"/>
          <w:sz w:val="16"/>
          <w:szCs w:val="16"/>
        </w:rPr>
        <w:t>Bovend’Eert</w:t>
      </w:r>
      <w:proofErr w:type="spellEnd"/>
      <w:r w:rsidRPr="00570D3F">
        <w:rPr>
          <w:rFonts w:ascii="Verdana" w:hAnsi="Verdana"/>
          <w:sz w:val="16"/>
          <w:szCs w:val="16"/>
        </w:rPr>
        <w:t xml:space="preserve"> 2013, p. 18; P.M. van den Eijnden, </w:t>
      </w:r>
      <w:r w:rsidRPr="00570D3F">
        <w:rPr>
          <w:rFonts w:ascii="Verdana" w:hAnsi="Verdana"/>
          <w:i/>
          <w:sz w:val="16"/>
          <w:szCs w:val="16"/>
        </w:rPr>
        <w:t>Onafhankelijkheid van de rechter in constitutioneel perspectief</w:t>
      </w:r>
      <w:r w:rsidRPr="00570D3F">
        <w:rPr>
          <w:rFonts w:ascii="Verdana" w:hAnsi="Verdana"/>
          <w:sz w:val="16"/>
          <w:szCs w:val="16"/>
        </w:rPr>
        <w:t xml:space="preserve"> (</w:t>
      </w:r>
      <w:proofErr w:type="spellStart"/>
      <w:r w:rsidRPr="00570D3F">
        <w:rPr>
          <w:rFonts w:ascii="Verdana" w:hAnsi="Verdana"/>
          <w:sz w:val="16"/>
          <w:szCs w:val="16"/>
        </w:rPr>
        <w:t>diss</w:t>
      </w:r>
      <w:proofErr w:type="spellEnd"/>
      <w:r w:rsidRPr="00570D3F">
        <w:rPr>
          <w:rFonts w:ascii="Verdana" w:hAnsi="Verdana"/>
          <w:sz w:val="16"/>
          <w:szCs w:val="16"/>
        </w:rPr>
        <w:t>. Nijmegen), Deventer: Kluwer 2011</w:t>
      </w:r>
      <w:r>
        <w:rPr>
          <w:rFonts w:ascii="Verdana" w:hAnsi="Verdana"/>
          <w:sz w:val="16"/>
          <w:szCs w:val="16"/>
        </w:rPr>
        <w:t>, p. 18-21 en 460-461</w:t>
      </w:r>
      <w:r w:rsidRPr="00570D3F">
        <w:rPr>
          <w:rFonts w:ascii="Verdana" w:hAnsi="Verdana"/>
          <w:sz w:val="16"/>
          <w:szCs w:val="16"/>
        </w:rPr>
        <w:t>.</w:t>
      </w:r>
    </w:p>
  </w:footnote>
  <w:footnote w:id="71">
    <w:p w:rsidR="001D1963" w:rsidRPr="00EE4FA5" w:rsidRDefault="001D1963" w:rsidP="00EE4FA5">
      <w:pPr>
        <w:pStyle w:val="Voetnoottekst"/>
        <w:rPr>
          <w:rFonts w:ascii="Verdana" w:hAnsi="Verdana"/>
          <w:i/>
          <w:sz w:val="16"/>
          <w:szCs w:val="16"/>
        </w:rPr>
      </w:pPr>
      <w:r w:rsidRPr="005C017E">
        <w:rPr>
          <w:rStyle w:val="Voetnootmarkering"/>
          <w:rFonts w:ascii="Verdana" w:hAnsi="Verdana"/>
          <w:sz w:val="16"/>
          <w:szCs w:val="16"/>
        </w:rPr>
        <w:footnoteRef/>
      </w:r>
      <w:r w:rsidRPr="00EE4FA5">
        <w:rPr>
          <w:rFonts w:ascii="Verdana" w:hAnsi="Verdana"/>
          <w:sz w:val="16"/>
          <w:szCs w:val="16"/>
        </w:rPr>
        <w:t xml:space="preserve"> </w:t>
      </w:r>
      <w:proofErr w:type="spellStart"/>
      <w:r w:rsidRPr="00EE4FA5">
        <w:rPr>
          <w:rFonts w:ascii="Verdana" w:hAnsi="Verdana"/>
          <w:sz w:val="16"/>
          <w:szCs w:val="16"/>
        </w:rPr>
        <w:t>Bovend’Eert</w:t>
      </w:r>
      <w:proofErr w:type="spellEnd"/>
      <w:r w:rsidRPr="00EE4FA5">
        <w:rPr>
          <w:rFonts w:ascii="Verdana" w:hAnsi="Verdana"/>
          <w:sz w:val="16"/>
          <w:szCs w:val="16"/>
        </w:rPr>
        <w:t xml:space="preserve"> 2013, p. 20; Van den Eijnden 2011, p. 75; M. Kuijer, </w:t>
      </w:r>
      <w:r w:rsidRPr="00EE4FA5">
        <w:rPr>
          <w:rFonts w:ascii="Verdana" w:hAnsi="Verdana"/>
          <w:i/>
          <w:sz w:val="16"/>
          <w:szCs w:val="16"/>
        </w:rPr>
        <w:t xml:space="preserve">The </w:t>
      </w:r>
      <w:proofErr w:type="spellStart"/>
      <w:r w:rsidRPr="00EE4FA5">
        <w:rPr>
          <w:rFonts w:ascii="Verdana" w:hAnsi="Verdana"/>
          <w:i/>
          <w:sz w:val="16"/>
          <w:szCs w:val="16"/>
        </w:rPr>
        <w:t>blindfold</w:t>
      </w:r>
      <w:proofErr w:type="spellEnd"/>
      <w:r w:rsidRPr="00EE4FA5">
        <w:rPr>
          <w:rFonts w:ascii="Verdana" w:hAnsi="Verdana"/>
          <w:i/>
          <w:sz w:val="16"/>
          <w:szCs w:val="16"/>
        </w:rPr>
        <w:t xml:space="preserve"> of Lady </w:t>
      </w:r>
      <w:proofErr w:type="spellStart"/>
      <w:r w:rsidRPr="00EE4FA5">
        <w:rPr>
          <w:rFonts w:ascii="Verdana" w:hAnsi="Verdana"/>
          <w:i/>
          <w:sz w:val="16"/>
          <w:szCs w:val="16"/>
        </w:rPr>
        <w:t>Justice</w:t>
      </w:r>
      <w:proofErr w:type="spellEnd"/>
    </w:p>
    <w:p w:rsidR="001D1963" w:rsidRPr="00EE4FA5" w:rsidRDefault="001D1963" w:rsidP="00EE4FA5">
      <w:pPr>
        <w:pStyle w:val="Voetnoottekst"/>
        <w:rPr>
          <w:rFonts w:ascii="Verdana" w:hAnsi="Verdana"/>
          <w:i/>
          <w:sz w:val="16"/>
          <w:szCs w:val="16"/>
          <w:lang w:val="en-US"/>
        </w:rPr>
      </w:pPr>
      <w:r w:rsidRPr="00EE4FA5">
        <w:rPr>
          <w:rFonts w:ascii="Verdana" w:hAnsi="Verdana"/>
          <w:i/>
          <w:sz w:val="16"/>
          <w:szCs w:val="16"/>
          <w:lang w:val="en-US"/>
        </w:rPr>
        <w:t>Judicial independence and impartiality in light of the requirements of Article 6 ECHR</w:t>
      </w:r>
    </w:p>
    <w:p w:rsidR="001D1963" w:rsidRPr="00F95146" w:rsidRDefault="001D1963" w:rsidP="00EE4FA5">
      <w:pPr>
        <w:pStyle w:val="Voetnoottekst"/>
        <w:rPr>
          <w:rFonts w:ascii="Verdana" w:hAnsi="Verdana"/>
          <w:sz w:val="16"/>
          <w:szCs w:val="16"/>
          <w:lang w:val="en-US"/>
        </w:rPr>
      </w:pPr>
      <w:r w:rsidRPr="00F95146">
        <w:rPr>
          <w:rFonts w:ascii="Verdana" w:hAnsi="Verdana"/>
          <w:sz w:val="16"/>
          <w:szCs w:val="16"/>
          <w:lang w:val="en-US"/>
        </w:rPr>
        <w:t>(diss. Leiden), Nijmege</w:t>
      </w:r>
      <w:r>
        <w:rPr>
          <w:rFonts w:ascii="Verdana" w:hAnsi="Verdana"/>
          <w:sz w:val="16"/>
          <w:szCs w:val="16"/>
          <w:lang w:val="en-US"/>
        </w:rPr>
        <w:t>n: Wolf Legal Productions 2004.</w:t>
      </w:r>
    </w:p>
  </w:footnote>
  <w:footnote w:id="72">
    <w:p w:rsidR="001D1963" w:rsidRPr="00CD47FD" w:rsidRDefault="001D1963">
      <w:pPr>
        <w:pStyle w:val="Voetnoottekst"/>
        <w:rPr>
          <w:rFonts w:ascii="Verdana" w:hAnsi="Verdana"/>
          <w:sz w:val="16"/>
          <w:szCs w:val="16"/>
        </w:rPr>
      </w:pPr>
      <w:r w:rsidRPr="00867650">
        <w:rPr>
          <w:rStyle w:val="Voetnootmarkering"/>
          <w:rFonts w:ascii="Verdana" w:hAnsi="Verdana"/>
          <w:sz w:val="16"/>
          <w:szCs w:val="16"/>
        </w:rPr>
        <w:footnoteRef/>
      </w:r>
      <w:r w:rsidRPr="00CD47FD">
        <w:rPr>
          <w:rFonts w:ascii="Verdana" w:hAnsi="Verdana"/>
          <w:sz w:val="16"/>
          <w:szCs w:val="16"/>
          <w:lang w:val="en-US"/>
        </w:rPr>
        <w:t xml:space="preserve"> </w:t>
      </w:r>
      <w:proofErr w:type="spellStart"/>
      <w:r w:rsidRPr="00CD47FD">
        <w:rPr>
          <w:rFonts w:ascii="Verdana" w:hAnsi="Verdana"/>
          <w:sz w:val="16"/>
          <w:szCs w:val="16"/>
          <w:lang w:val="en-US"/>
        </w:rPr>
        <w:t>O.m</w:t>
      </w:r>
      <w:proofErr w:type="spellEnd"/>
      <w:r w:rsidRPr="00CD47FD">
        <w:rPr>
          <w:rFonts w:ascii="Verdana" w:hAnsi="Verdana"/>
          <w:sz w:val="16"/>
          <w:szCs w:val="16"/>
          <w:lang w:val="en-US"/>
        </w:rPr>
        <w:t xml:space="preserve">. EHRM 25 </w:t>
      </w:r>
      <w:proofErr w:type="spellStart"/>
      <w:r w:rsidRPr="00CD47FD">
        <w:rPr>
          <w:rFonts w:ascii="Verdana" w:hAnsi="Verdana"/>
          <w:sz w:val="16"/>
          <w:szCs w:val="16"/>
          <w:lang w:val="en-US"/>
        </w:rPr>
        <w:t>juli</w:t>
      </w:r>
      <w:proofErr w:type="spellEnd"/>
      <w:r w:rsidRPr="00CD47FD">
        <w:rPr>
          <w:rFonts w:ascii="Verdana" w:hAnsi="Verdana"/>
          <w:sz w:val="16"/>
          <w:szCs w:val="16"/>
          <w:lang w:val="en-US"/>
        </w:rPr>
        <w:t xml:space="preserve"> 2008, </w:t>
      </w:r>
      <w:proofErr w:type="spellStart"/>
      <w:r w:rsidRPr="00CD47FD">
        <w:rPr>
          <w:rFonts w:ascii="Verdana" w:hAnsi="Verdana"/>
          <w:i/>
          <w:sz w:val="16"/>
          <w:szCs w:val="16"/>
          <w:lang w:val="en-US"/>
        </w:rPr>
        <w:t>Agrokompleks</w:t>
      </w:r>
      <w:proofErr w:type="spellEnd"/>
      <w:r w:rsidRPr="00CD47FD">
        <w:rPr>
          <w:rFonts w:ascii="Verdana" w:hAnsi="Verdana"/>
          <w:sz w:val="16"/>
          <w:szCs w:val="16"/>
          <w:lang w:val="en-US"/>
        </w:rPr>
        <w:t xml:space="preserve"> t. </w:t>
      </w:r>
      <w:proofErr w:type="spellStart"/>
      <w:r w:rsidRPr="00CD47FD">
        <w:rPr>
          <w:rFonts w:ascii="Verdana" w:hAnsi="Verdana"/>
          <w:i/>
          <w:sz w:val="16"/>
          <w:szCs w:val="16"/>
          <w:lang w:val="en-US"/>
        </w:rPr>
        <w:t>Oekraïne</w:t>
      </w:r>
      <w:proofErr w:type="spellEnd"/>
      <w:r w:rsidRPr="00CD47FD">
        <w:rPr>
          <w:rFonts w:ascii="Verdana" w:hAnsi="Verdana"/>
          <w:sz w:val="16"/>
          <w:szCs w:val="16"/>
          <w:lang w:val="en-US"/>
        </w:rPr>
        <w:t xml:space="preserve">, </w:t>
      </w:r>
      <w:proofErr w:type="spellStart"/>
      <w:r w:rsidRPr="00CD47FD">
        <w:rPr>
          <w:rFonts w:ascii="Verdana" w:hAnsi="Verdana"/>
          <w:sz w:val="16"/>
          <w:szCs w:val="16"/>
          <w:lang w:val="en-US"/>
        </w:rPr>
        <w:t>nr</w:t>
      </w:r>
      <w:proofErr w:type="spellEnd"/>
      <w:r w:rsidRPr="00CD47FD">
        <w:rPr>
          <w:rFonts w:ascii="Verdana" w:hAnsi="Verdana"/>
          <w:sz w:val="16"/>
          <w:szCs w:val="16"/>
          <w:lang w:val="en-US"/>
        </w:rPr>
        <w:t xml:space="preserve">. 23465/03; EHRM 9 </w:t>
      </w:r>
      <w:proofErr w:type="spellStart"/>
      <w:r w:rsidRPr="00CD47FD">
        <w:rPr>
          <w:rFonts w:ascii="Verdana" w:hAnsi="Verdana"/>
          <w:sz w:val="16"/>
          <w:szCs w:val="16"/>
          <w:lang w:val="en-US"/>
        </w:rPr>
        <w:t>oktober</w:t>
      </w:r>
      <w:proofErr w:type="spellEnd"/>
      <w:r w:rsidRPr="00CD47FD">
        <w:rPr>
          <w:rFonts w:ascii="Verdana" w:hAnsi="Verdana"/>
          <w:sz w:val="16"/>
          <w:szCs w:val="16"/>
          <w:lang w:val="en-US"/>
        </w:rPr>
        <w:t xml:space="preserve"> 2008 </w:t>
      </w:r>
      <w:proofErr w:type="spellStart"/>
      <w:r w:rsidRPr="00CD47FD">
        <w:rPr>
          <w:rFonts w:ascii="Verdana" w:hAnsi="Verdana"/>
          <w:i/>
          <w:sz w:val="16"/>
          <w:szCs w:val="16"/>
          <w:lang w:val="en-US"/>
        </w:rPr>
        <w:t>Moiseyev</w:t>
      </w:r>
      <w:proofErr w:type="spellEnd"/>
      <w:r w:rsidRPr="00CD47FD">
        <w:rPr>
          <w:rFonts w:ascii="Verdana" w:hAnsi="Verdana"/>
          <w:sz w:val="16"/>
          <w:szCs w:val="16"/>
          <w:lang w:val="en-US"/>
        </w:rPr>
        <w:t xml:space="preserve"> t. </w:t>
      </w:r>
      <w:proofErr w:type="spellStart"/>
      <w:r w:rsidRPr="00CD47FD">
        <w:rPr>
          <w:rFonts w:ascii="Verdana" w:hAnsi="Verdana"/>
          <w:i/>
          <w:sz w:val="16"/>
          <w:szCs w:val="16"/>
          <w:lang w:val="en-US"/>
        </w:rPr>
        <w:t>Rusland</w:t>
      </w:r>
      <w:proofErr w:type="spellEnd"/>
      <w:r w:rsidRPr="00CD47FD">
        <w:rPr>
          <w:rFonts w:ascii="Verdana" w:hAnsi="Verdana"/>
          <w:sz w:val="16"/>
          <w:szCs w:val="16"/>
          <w:lang w:val="en-US"/>
        </w:rPr>
        <w:t xml:space="preserve">, </w:t>
      </w:r>
      <w:proofErr w:type="spellStart"/>
      <w:r>
        <w:rPr>
          <w:rFonts w:ascii="Verdana" w:hAnsi="Verdana"/>
          <w:sz w:val="16"/>
          <w:szCs w:val="16"/>
          <w:lang w:val="en-US"/>
        </w:rPr>
        <w:t>nr</w:t>
      </w:r>
      <w:proofErr w:type="spellEnd"/>
      <w:r>
        <w:rPr>
          <w:rFonts w:ascii="Verdana" w:hAnsi="Verdana"/>
          <w:sz w:val="16"/>
          <w:szCs w:val="16"/>
          <w:lang w:val="en-US"/>
        </w:rPr>
        <w:t xml:space="preserve">. 62936/00; EHRM 22 </w:t>
      </w:r>
      <w:proofErr w:type="spellStart"/>
      <w:r>
        <w:rPr>
          <w:rFonts w:ascii="Verdana" w:hAnsi="Verdana"/>
          <w:sz w:val="16"/>
          <w:szCs w:val="16"/>
          <w:lang w:val="en-US"/>
        </w:rPr>
        <w:t>december</w:t>
      </w:r>
      <w:proofErr w:type="spellEnd"/>
      <w:r>
        <w:rPr>
          <w:rFonts w:ascii="Verdana" w:hAnsi="Verdana"/>
          <w:sz w:val="16"/>
          <w:szCs w:val="16"/>
          <w:lang w:val="en-US"/>
        </w:rPr>
        <w:t xml:space="preserve"> 2009 </w:t>
      </w:r>
      <w:proofErr w:type="spellStart"/>
      <w:r>
        <w:rPr>
          <w:rFonts w:ascii="Verdana" w:hAnsi="Verdana"/>
          <w:i/>
          <w:sz w:val="16"/>
          <w:szCs w:val="16"/>
          <w:lang w:val="en-US"/>
        </w:rPr>
        <w:t>Parlov-Tkalic</w:t>
      </w:r>
      <w:proofErr w:type="spellEnd"/>
      <w:r>
        <w:rPr>
          <w:rFonts w:ascii="Verdana" w:hAnsi="Verdana"/>
          <w:sz w:val="16"/>
          <w:szCs w:val="16"/>
          <w:lang w:val="en-US"/>
        </w:rPr>
        <w:t xml:space="preserve"> t. </w:t>
      </w:r>
      <w:proofErr w:type="spellStart"/>
      <w:r>
        <w:rPr>
          <w:rFonts w:ascii="Verdana" w:hAnsi="Verdana"/>
          <w:i/>
          <w:sz w:val="16"/>
          <w:szCs w:val="16"/>
          <w:lang w:val="en-US"/>
        </w:rPr>
        <w:t>Kroatië</w:t>
      </w:r>
      <w:proofErr w:type="spellEnd"/>
      <w:r>
        <w:rPr>
          <w:rFonts w:ascii="Verdana" w:hAnsi="Verdana"/>
          <w:sz w:val="16"/>
          <w:szCs w:val="16"/>
          <w:lang w:val="en-US"/>
        </w:rPr>
        <w:t xml:space="preserve">, </w:t>
      </w:r>
      <w:proofErr w:type="spellStart"/>
      <w:r>
        <w:rPr>
          <w:rFonts w:ascii="Verdana" w:hAnsi="Verdana"/>
          <w:sz w:val="16"/>
          <w:szCs w:val="16"/>
          <w:lang w:val="en-US"/>
        </w:rPr>
        <w:t>nr</w:t>
      </w:r>
      <w:proofErr w:type="spellEnd"/>
      <w:r>
        <w:rPr>
          <w:rFonts w:ascii="Verdana" w:hAnsi="Verdana"/>
          <w:sz w:val="16"/>
          <w:szCs w:val="16"/>
          <w:lang w:val="en-US"/>
        </w:rPr>
        <w:t xml:space="preserve">. 24810/06; EHRM 19 </w:t>
      </w:r>
      <w:proofErr w:type="spellStart"/>
      <w:r>
        <w:rPr>
          <w:rFonts w:ascii="Verdana" w:hAnsi="Verdana"/>
          <w:sz w:val="16"/>
          <w:szCs w:val="16"/>
          <w:lang w:val="en-US"/>
        </w:rPr>
        <w:t>april</w:t>
      </w:r>
      <w:proofErr w:type="spellEnd"/>
      <w:r>
        <w:rPr>
          <w:rFonts w:ascii="Verdana" w:hAnsi="Verdana"/>
          <w:sz w:val="16"/>
          <w:szCs w:val="16"/>
          <w:lang w:val="en-US"/>
        </w:rPr>
        <w:t xml:space="preserve"> 2011, </w:t>
      </w:r>
      <w:proofErr w:type="spellStart"/>
      <w:r>
        <w:rPr>
          <w:rFonts w:ascii="Verdana" w:hAnsi="Verdana"/>
          <w:i/>
          <w:sz w:val="16"/>
          <w:szCs w:val="16"/>
          <w:lang w:val="en-US"/>
        </w:rPr>
        <w:t>Khrykin</w:t>
      </w:r>
      <w:proofErr w:type="spellEnd"/>
      <w:r>
        <w:rPr>
          <w:rFonts w:ascii="Verdana" w:hAnsi="Verdana"/>
          <w:sz w:val="16"/>
          <w:szCs w:val="16"/>
          <w:lang w:val="en-US"/>
        </w:rPr>
        <w:t xml:space="preserve"> t. </w:t>
      </w:r>
      <w:proofErr w:type="spellStart"/>
      <w:r>
        <w:rPr>
          <w:rFonts w:ascii="Verdana" w:hAnsi="Verdana"/>
          <w:i/>
          <w:sz w:val="16"/>
          <w:szCs w:val="16"/>
          <w:lang w:val="en-US"/>
        </w:rPr>
        <w:t>Rusland</w:t>
      </w:r>
      <w:proofErr w:type="spellEnd"/>
      <w:r>
        <w:rPr>
          <w:rFonts w:ascii="Verdana" w:hAnsi="Verdana"/>
          <w:sz w:val="16"/>
          <w:szCs w:val="16"/>
          <w:lang w:val="en-US"/>
        </w:rPr>
        <w:t xml:space="preserve">, </w:t>
      </w:r>
      <w:proofErr w:type="spellStart"/>
      <w:r>
        <w:rPr>
          <w:rFonts w:ascii="Verdana" w:hAnsi="Verdana"/>
          <w:sz w:val="16"/>
          <w:szCs w:val="16"/>
          <w:lang w:val="en-US"/>
        </w:rPr>
        <w:t>nr</w:t>
      </w:r>
      <w:proofErr w:type="spellEnd"/>
      <w:r>
        <w:rPr>
          <w:rFonts w:ascii="Verdana" w:hAnsi="Verdana"/>
          <w:sz w:val="16"/>
          <w:szCs w:val="16"/>
          <w:lang w:val="en-US"/>
        </w:rPr>
        <w:t xml:space="preserve">. 33186/08; EHRM 19 </w:t>
      </w:r>
      <w:proofErr w:type="spellStart"/>
      <w:r>
        <w:rPr>
          <w:rFonts w:ascii="Verdana" w:hAnsi="Verdana"/>
          <w:sz w:val="16"/>
          <w:szCs w:val="16"/>
          <w:lang w:val="en-US"/>
        </w:rPr>
        <w:t>april</w:t>
      </w:r>
      <w:proofErr w:type="spellEnd"/>
      <w:r>
        <w:rPr>
          <w:rFonts w:ascii="Verdana" w:hAnsi="Verdana"/>
          <w:sz w:val="16"/>
          <w:szCs w:val="16"/>
          <w:lang w:val="en-US"/>
        </w:rPr>
        <w:t xml:space="preserve"> 2011, </w:t>
      </w:r>
      <w:proofErr w:type="spellStart"/>
      <w:r>
        <w:rPr>
          <w:rFonts w:ascii="Verdana" w:hAnsi="Verdana"/>
          <w:i/>
          <w:sz w:val="16"/>
          <w:szCs w:val="16"/>
          <w:lang w:val="en-US"/>
        </w:rPr>
        <w:t>Baturlova</w:t>
      </w:r>
      <w:proofErr w:type="spellEnd"/>
      <w:r>
        <w:rPr>
          <w:rFonts w:ascii="Verdana" w:hAnsi="Verdana"/>
          <w:sz w:val="16"/>
          <w:szCs w:val="16"/>
          <w:lang w:val="en-US"/>
        </w:rPr>
        <w:t xml:space="preserve"> t. </w:t>
      </w:r>
      <w:proofErr w:type="spellStart"/>
      <w:r>
        <w:rPr>
          <w:rFonts w:ascii="Verdana" w:hAnsi="Verdana"/>
          <w:i/>
          <w:sz w:val="16"/>
          <w:szCs w:val="16"/>
          <w:lang w:val="en-US"/>
        </w:rPr>
        <w:t>Rusland</w:t>
      </w:r>
      <w:proofErr w:type="spellEnd"/>
      <w:r>
        <w:rPr>
          <w:rFonts w:ascii="Verdana" w:hAnsi="Verdana"/>
          <w:sz w:val="16"/>
          <w:szCs w:val="16"/>
          <w:lang w:val="en-US"/>
        </w:rPr>
        <w:t xml:space="preserve">, </w:t>
      </w:r>
      <w:proofErr w:type="spellStart"/>
      <w:r>
        <w:rPr>
          <w:rFonts w:ascii="Verdana" w:hAnsi="Verdana"/>
          <w:sz w:val="16"/>
          <w:szCs w:val="16"/>
          <w:lang w:val="en-US"/>
        </w:rPr>
        <w:t>nr</w:t>
      </w:r>
      <w:proofErr w:type="spellEnd"/>
      <w:r>
        <w:rPr>
          <w:rFonts w:ascii="Verdana" w:hAnsi="Verdana"/>
          <w:sz w:val="16"/>
          <w:szCs w:val="16"/>
          <w:lang w:val="en-US"/>
        </w:rPr>
        <w:t>.</w:t>
      </w:r>
      <w:r w:rsidRPr="00CD47FD">
        <w:rPr>
          <w:lang w:val="en-US"/>
        </w:rPr>
        <w:t xml:space="preserve"> </w:t>
      </w:r>
      <w:r w:rsidRPr="00CD47FD">
        <w:rPr>
          <w:rFonts w:ascii="Verdana" w:hAnsi="Verdana"/>
          <w:sz w:val="16"/>
          <w:szCs w:val="16"/>
          <w:lang w:val="en-US"/>
        </w:rPr>
        <w:t xml:space="preserve">33188/08. </w:t>
      </w:r>
      <w:r>
        <w:rPr>
          <w:rFonts w:ascii="Verdana" w:hAnsi="Verdana"/>
          <w:sz w:val="16"/>
          <w:szCs w:val="16"/>
        </w:rPr>
        <w:t>Vgl. P.M. van den Eijnden, Commentaar op art. 6, par. 1 (</w:t>
      </w:r>
      <w:r w:rsidRPr="00CD47FD">
        <w:rPr>
          <w:rFonts w:ascii="Verdana" w:hAnsi="Verdana"/>
          <w:sz w:val="16"/>
          <w:szCs w:val="16"/>
        </w:rPr>
        <w:t>C.8.1.3 Verhouding tussen rechters onderling</w:t>
      </w:r>
      <w:r>
        <w:rPr>
          <w:rFonts w:ascii="Verdana" w:hAnsi="Verdana"/>
          <w:sz w:val="16"/>
          <w:szCs w:val="16"/>
        </w:rPr>
        <w:t>)</w:t>
      </w:r>
      <w:r w:rsidRPr="00CD47FD">
        <w:rPr>
          <w:rFonts w:ascii="Verdana" w:hAnsi="Verdana"/>
          <w:sz w:val="16"/>
          <w:szCs w:val="16"/>
        </w:rPr>
        <w:t xml:space="preserve">, in: </w:t>
      </w:r>
      <w:r>
        <w:rPr>
          <w:rFonts w:ascii="Verdana" w:hAnsi="Verdana"/>
          <w:i/>
          <w:sz w:val="16"/>
          <w:szCs w:val="16"/>
        </w:rPr>
        <w:t>SDU Commentaar EVRM, Deel I – M</w:t>
      </w:r>
      <w:r w:rsidRPr="00CD47FD">
        <w:rPr>
          <w:rFonts w:ascii="Verdana" w:hAnsi="Verdana"/>
          <w:i/>
          <w:sz w:val="16"/>
          <w:szCs w:val="16"/>
        </w:rPr>
        <w:t>ateriële bepalingen</w:t>
      </w:r>
      <w:r w:rsidRPr="00CD47FD">
        <w:rPr>
          <w:rFonts w:ascii="Verdana" w:hAnsi="Verdana"/>
          <w:sz w:val="16"/>
          <w:szCs w:val="16"/>
        </w:rPr>
        <w:t xml:space="preserve">, Den Haag: SDU Uitgevers 2013. </w:t>
      </w:r>
    </w:p>
  </w:footnote>
  <w:footnote w:id="73">
    <w:p w:rsidR="001D1963" w:rsidRPr="0011593C" w:rsidRDefault="001D1963">
      <w:pPr>
        <w:pStyle w:val="Voetnoottekst"/>
        <w:rPr>
          <w:rFonts w:ascii="Verdana" w:hAnsi="Verdana"/>
          <w:sz w:val="16"/>
          <w:szCs w:val="16"/>
        </w:rPr>
      </w:pPr>
      <w:r w:rsidRPr="0011593C">
        <w:rPr>
          <w:rStyle w:val="Voetnootmarkering"/>
          <w:rFonts w:ascii="Verdana" w:hAnsi="Verdana"/>
          <w:sz w:val="16"/>
          <w:szCs w:val="16"/>
        </w:rPr>
        <w:footnoteRef/>
      </w:r>
      <w:r w:rsidRPr="0011593C">
        <w:rPr>
          <w:rFonts w:ascii="Verdana" w:hAnsi="Verdana"/>
          <w:sz w:val="16"/>
          <w:szCs w:val="16"/>
        </w:rPr>
        <w:t xml:space="preserve"> </w:t>
      </w:r>
      <w:proofErr w:type="spellStart"/>
      <w:r w:rsidRPr="0011593C">
        <w:rPr>
          <w:rFonts w:ascii="Verdana" w:hAnsi="Verdana"/>
          <w:sz w:val="16"/>
          <w:szCs w:val="16"/>
        </w:rPr>
        <w:t>Bovend’Eert</w:t>
      </w:r>
      <w:proofErr w:type="spellEnd"/>
      <w:r w:rsidRPr="0011593C">
        <w:rPr>
          <w:rFonts w:ascii="Verdana" w:hAnsi="Verdana"/>
          <w:sz w:val="16"/>
          <w:szCs w:val="16"/>
        </w:rPr>
        <w:t xml:space="preserve"> 2013, p. 27.</w:t>
      </w:r>
    </w:p>
  </w:footnote>
  <w:footnote w:id="74">
    <w:p w:rsidR="001D1963" w:rsidRPr="005C017E" w:rsidRDefault="001D1963">
      <w:pPr>
        <w:pStyle w:val="Voetnoottekst"/>
        <w:rPr>
          <w:rFonts w:ascii="Verdana" w:hAnsi="Verdana"/>
          <w:sz w:val="16"/>
          <w:szCs w:val="16"/>
        </w:rPr>
      </w:pPr>
      <w:r w:rsidRPr="005C017E">
        <w:rPr>
          <w:rStyle w:val="Voetnootmarkering"/>
          <w:rFonts w:ascii="Verdana" w:hAnsi="Verdana"/>
          <w:sz w:val="16"/>
          <w:szCs w:val="16"/>
        </w:rPr>
        <w:footnoteRef/>
      </w:r>
      <w:r w:rsidRPr="005C017E">
        <w:rPr>
          <w:rFonts w:ascii="Verdana" w:hAnsi="Verdana"/>
          <w:sz w:val="16"/>
          <w:szCs w:val="16"/>
        </w:rPr>
        <w:t xml:space="preserve"> M.I. Veldt, </w:t>
      </w:r>
      <w:r w:rsidRPr="005C017E">
        <w:rPr>
          <w:rFonts w:ascii="Verdana" w:hAnsi="Verdana"/>
          <w:i/>
          <w:sz w:val="16"/>
          <w:szCs w:val="16"/>
        </w:rPr>
        <w:t>Het EVRM en de onpartijdige strafrechter</w:t>
      </w:r>
      <w:r w:rsidRPr="005C017E">
        <w:rPr>
          <w:rFonts w:ascii="Verdana" w:hAnsi="Verdana"/>
          <w:sz w:val="16"/>
          <w:szCs w:val="16"/>
        </w:rPr>
        <w:t xml:space="preserve">, Arnhem: Gouda </w:t>
      </w:r>
      <w:proofErr w:type="spellStart"/>
      <w:r w:rsidRPr="005C017E">
        <w:rPr>
          <w:rFonts w:ascii="Verdana" w:hAnsi="Verdana"/>
          <w:sz w:val="16"/>
          <w:szCs w:val="16"/>
        </w:rPr>
        <w:t>Quint</w:t>
      </w:r>
      <w:proofErr w:type="spellEnd"/>
      <w:r w:rsidRPr="005C017E">
        <w:rPr>
          <w:rFonts w:ascii="Verdana" w:hAnsi="Verdana"/>
          <w:sz w:val="16"/>
          <w:szCs w:val="16"/>
        </w:rPr>
        <w:t xml:space="preserve"> 1997, p. 45.</w:t>
      </w:r>
    </w:p>
  </w:footnote>
  <w:footnote w:id="75">
    <w:p w:rsidR="001D1963" w:rsidRPr="004B138A" w:rsidRDefault="001D1963" w:rsidP="00954763">
      <w:pPr>
        <w:pStyle w:val="Voetnoottekst"/>
        <w:rPr>
          <w:rFonts w:ascii="Verdana" w:hAnsi="Verdana"/>
          <w:sz w:val="16"/>
          <w:szCs w:val="16"/>
        </w:rPr>
      </w:pPr>
      <w:r w:rsidRPr="004B138A">
        <w:rPr>
          <w:rStyle w:val="Voetnootmarkering"/>
          <w:rFonts w:ascii="Verdana" w:hAnsi="Verdana"/>
          <w:sz w:val="16"/>
          <w:szCs w:val="16"/>
        </w:rPr>
        <w:footnoteRef/>
      </w:r>
      <w:r w:rsidRPr="004B138A">
        <w:rPr>
          <w:rFonts w:ascii="Verdana" w:hAnsi="Verdana"/>
          <w:sz w:val="16"/>
          <w:szCs w:val="16"/>
        </w:rPr>
        <w:t xml:space="preserve"> Het criterium van</w:t>
      </w:r>
      <w:r>
        <w:rPr>
          <w:rFonts w:ascii="Verdana" w:hAnsi="Verdana"/>
          <w:sz w:val="16"/>
          <w:szCs w:val="16"/>
        </w:rPr>
        <w:t xml:space="preserve"> </w:t>
      </w:r>
      <w:r w:rsidRPr="004B138A">
        <w:rPr>
          <w:rFonts w:ascii="Verdana" w:hAnsi="Verdana"/>
          <w:sz w:val="16"/>
          <w:szCs w:val="16"/>
        </w:rPr>
        <w:t>dezelfde z</w:t>
      </w:r>
      <w:r>
        <w:rPr>
          <w:rFonts w:ascii="Verdana" w:hAnsi="Verdana"/>
          <w:sz w:val="16"/>
          <w:szCs w:val="16"/>
        </w:rPr>
        <w:t xml:space="preserve">aak vloeit voort uit </w:t>
      </w:r>
      <w:r w:rsidRPr="004B138A">
        <w:rPr>
          <w:rFonts w:ascii="Verdana" w:hAnsi="Verdana"/>
          <w:sz w:val="16"/>
          <w:szCs w:val="16"/>
        </w:rPr>
        <w:t>EHRM 6 mei 2003,</w:t>
      </w:r>
      <w:r>
        <w:rPr>
          <w:rFonts w:ascii="Verdana" w:hAnsi="Verdana"/>
          <w:sz w:val="16"/>
          <w:szCs w:val="16"/>
        </w:rPr>
        <w:t xml:space="preserve"> </w:t>
      </w:r>
      <w:proofErr w:type="spellStart"/>
      <w:r w:rsidRPr="00A026DC">
        <w:rPr>
          <w:rFonts w:ascii="Verdana" w:hAnsi="Verdana"/>
          <w:i/>
          <w:sz w:val="16"/>
          <w:szCs w:val="16"/>
        </w:rPr>
        <w:t>Kleyn</w:t>
      </w:r>
      <w:proofErr w:type="spellEnd"/>
      <w:r>
        <w:rPr>
          <w:rFonts w:ascii="Verdana" w:hAnsi="Verdana"/>
          <w:i/>
          <w:sz w:val="16"/>
          <w:szCs w:val="16"/>
        </w:rPr>
        <w:t xml:space="preserve"> e.a.</w:t>
      </w:r>
      <w:r>
        <w:rPr>
          <w:rFonts w:ascii="Verdana" w:hAnsi="Verdana"/>
          <w:sz w:val="16"/>
          <w:szCs w:val="16"/>
        </w:rPr>
        <w:t xml:space="preserve"> t. </w:t>
      </w:r>
      <w:r w:rsidRPr="00A026DC">
        <w:rPr>
          <w:rFonts w:ascii="Verdana" w:hAnsi="Verdana"/>
          <w:i/>
          <w:sz w:val="16"/>
          <w:szCs w:val="16"/>
        </w:rPr>
        <w:t>Nederland</w:t>
      </w:r>
      <w:r w:rsidRPr="004B138A">
        <w:rPr>
          <w:rFonts w:ascii="Verdana" w:hAnsi="Verdana"/>
          <w:sz w:val="16"/>
          <w:szCs w:val="16"/>
        </w:rPr>
        <w:t xml:space="preserve">, </w:t>
      </w:r>
      <w:proofErr w:type="spellStart"/>
      <w:r>
        <w:rPr>
          <w:rFonts w:ascii="Verdana" w:hAnsi="Verdana"/>
          <w:sz w:val="16"/>
          <w:szCs w:val="16"/>
        </w:rPr>
        <w:t>nrs</w:t>
      </w:r>
      <w:proofErr w:type="spellEnd"/>
      <w:r>
        <w:rPr>
          <w:rFonts w:ascii="Verdana" w:hAnsi="Verdana"/>
          <w:sz w:val="16"/>
          <w:szCs w:val="16"/>
        </w:rPr>
        <w:t xml:space="preserve">. </w:t>
      </w:r>
      <w:r w:rsidRPr="00A026DC">
        <w:rPr>
          <w:rFonts w:ascii="Verdana" w:hAnsi="Verdana"/>
          <w:i/>
          <w:noProof/>
          <w:sz w:val="16"/>
          <w:szCs w:val="16"/>
        </w:rPr>
        <w:t>39343/98, 39651/98, 43147/98 en 46664/99</w:t>
      </w:r>
      <w:r w:rsidRPr="00A026DC">
        <w:rPr>
          <w:rFonts w:ascii="Verdana" w:hAnsi="Verdana"/>
          <w:sz w:val="16"/>
          <w:szCs w:val="16"/>
        </w:rPr>
        <w:t>. In die zaak oordeelde het EHRM dat geen sprake was van</w:t>
      </w:r>
      <w:r w:rsidRPr="004B138A">
        <w:rPr>
          <w:rFonts w:ascii="Verdana" w:hAnsi="Verdana"/>
          <w:sz w:val="16"/>
          <w:szCs w:val="16"/>
        </w:rPr>
        <w:t xml:space="preserve"> dezelfde zaak en artikel 6 EVRM derhalve niet geschonden. </w:t>
      </w:r>
    </w:p>
  </w:footnote>
  <w:footnote w:id="76">
    <w:p w:rsidR="001D1963" w:rsidRPr="005C7C73" w:rsidRDefault="001D1963">
      <w:pPr>
        <w:pStyle w:val="Voetnoottekst"/>
        <w:rPr>
          <w:rFonts w:ascii="Verdana" w:hAnsi="Verdana"/>
          <w:sz w:val="16"/>
          <w:szCs w:val="16"/>
        </w:rPr>
      </w:pPr>
      <w:r>
        <w:rPr>
          <w:rStyle w:val="Voetnootmarkering"/>
        </w:rPr>
        <w:footnoteRef/>
      </w:r>
      <w:r>
        <w:t xml:space="preserve"> </w:t>
      </w:r>
      <w:r>
        <w:rPr>
          <w:rFonts w:ascii="Verdana" w:hAnsi="Verdana"/>
          <w:sz w:val="16"/>
          <w:szCs w:val="16"/>
        </w:rPr>
        <w:t xml:space="preserve">Vgl. EHRM 9 november 2006, </w:t>
      </w:r>
      <w:proofErr w:type="spellStart"/>
      <w:r w:rsidRPr="005C7C73">
        <w:rPr>
          <w:rFonts w:ascii="Verdana" w:hAnsi="Verdana"/>
          <w:i/>
          <w:sz w:val="16"/>
          <w:szCs w:val="16"/>
        </w:rPr>
        <w:t>Sacilor</w:t>
      </w:r>
      <w:proofErr w:type="spellEnd"/>
      <w:r w:rsidRPr="005C7C73">
        <w:rPr>
          <w:rFonts w:ascii="Verdana" w:hAnsi="Verdana"/>
          <w:i/>
          <w:sz w:val="16"/>
          <w:szCs w:val="16"/>
        </w:rPr>
        <w:t xml:space="preserve"> </w:t>
      </w:r>
      <w:proofErr w:type="spellStart"/>
      <w:r w:rsidRPr="005C7C73">
        <w:rPr>
          <w:rFonts w:ascii="Verdana" w:hAnsi="Verdana"/>
          <w:i/>
          <w:sz w:val="16"/>
          <w:szCs w:val="16"/>
        </w:rPr>
        <w:t>Lormines</w:t>
      </w:r>
      <w:proofErr w:type="spellEnd"/>
      <w:r w:rsidRPr="005C7C73">
        <w:rPr>
          <w:rFonts w:ascii="Verdana" w:hAnsi="Verdana"/>
          <w:sz w:val="16"/>
          <w:szCs w:val="16"/>
        </w:rPr>
        <w:t xml:space="preserve"> t. </w:t>
      </w:r>
      <w:r w:rsidRPr="005C7C73">
        <w:rPr>
          <w:rFonts w:ascii="Verdana" w:hAnsi="Verdana"/>
          <w:i/>
          <w:sz w:val="16"/>
          <w:szCs w:val="16"/>
        </w:rPr>
        <w:t>Frankrijk</w:t>
      </w:r>
      <w:r>
        <w:rPr>
          <w:rFonts w:ascii="Verdana" w:hAnsi="Verdana"/>
          <w:sz w:val="16"/>
          <w:szCs w:val="16"/>
        </w:rPr>
        <w:t>, nr. 65411/01, par. 74; NJ 2007, 303 (</w:t>
      </w:r>
      <w:proofErr w:type="spellStart"/>
      <w:r>
        <w:rPr>
          <w:rFonts w:ascii="Verdana" w:hAnsi="Verdana"/>
          <w:sz w:val="16"/>
          <w:szCs w:val="16"/>
        </w:rPr>
        <w:t>m.nt</w:t>
      </w:r>
      <w:proofErr w:type="spellEnd"/>
      <w:r>
        <w:rPr>
          <w:rFonts w:ascii="Verdana" w:hAnsi="Verdana"/>
          <w:sz w:val="16"/>
          <w:szCs w:val="16"/>
        </w:rPr>
        <w:t>. Alkema)</w:t>
      </w:r>
      <w:r w:rsidRPr="005C7C73">
        <w:rPr>
          <w:rFonts w:ascii="Verdana" w:hAnsi="Verdana"/>
          <w:sz w:val="16"/>
          <w:szCs w:val="16"/>
        </w:rPr>
        <w:t>; AB 2007, 281 (</w:t>
      </w:r>
      <w:proofErr w:type="spellStart"/>
      <w:r w:rsidRPr="005C7C73">
        <w:rPr>
          <w:rFonts w:ascii="Verdana" w:hAnsi="Verdana"/>
          <w:sz w:val="16"/>
          <w:szCs w:val="16"/>
        </w:rPr>
        <w:t>m.nt</w:t>
      </w:r>
      <w:proofErr w:type="spellEnd"/>
      <w:r w:rsidRPr="005C7C73">
        <w:rPr>
          <w:rFonts w:ascii="Verdana" w:hAnsi="Verdana"/>
          <w:sz w:val="16"/>
          <w:szCs w:val="16"/>
        </w:rPr>
        <w:t>. De Waard) en EHRC 2007/15 (</w:t>
      </w:r>
      <w:proofErr w:type="spellStart"/>
      <w:r w:rsidRPr="005C7C73">
        <w:rPr>
          <w:rFonts w:ascii="Verdana" w:hAnsi="Verdana"/>
          <w:sz w:val="16"/>
          <w:szCs w:val="16"/>
        </w:rPr>
        <w:t>m.nt</w:t>
      </w:r>
      <w:proofErr w:type="spellEnd"/>
      <w:r w:rsidRPr="005C7C73">
        <w:rPr>
          <w:rFonts w:ascii="Verdana" w:hAnsi="Verdana"/>
          <w:sz w:val="16"/>
          <w:szCs w:val="16"/>
        </w:rPr>
        <w:t xml:space="preserve">. </w:t>
      </w:r>
      <w:proofErr w:type="spellStart"/>
      <w:r w:rsidRPr="005C7C73">
        <w:rPr>
          <w:rFonts w:ascii="Verdana" w:hAnsi="Verdana"/>
          <w:sz w:val="16"/>
          <w:szCs w:val="16"/>
        </w:rPr>
        <w:t>Verhey</w:t>
      </w:r>
      <w:proofErr w:type="spellEnd"/>
      <w:r w:rsidRPr="005C7C73">
        <w:rPr>
          <w:rFonts w:ascii="Verdana" w:hAnsi="Verdana"/>
          <w:sz w:val="16"/>
          <w:szCs w:val="16"/>
        </w:rPr>
        <w:t>).</w:t>
      </w:r>
    </w:p>
  </w:footnote>
  <w:footnote w:id="77">
    <w:p w:rsidR="001D1963" w:rsidRPr="000A553F" w:rsidRDefault="001D1963" w:rsidP="0043747E">
      <w:pPr>
        <w:pStyle w:val="Voetnoottekst"/>
      </w:pPr>
      <w:r w:rsidRPr="00A430BC">
        <w:rPr>
          <w:rStyle w:val="Voetnootmarkering"/>
          <w:rFonts w:ascii="Verdana" w:hAnsi="Verdana"/>
          <w:sz w:val="16"/>
          <w:szCs w:val="16"/>
        </w:rPr>
        <w:footnoteRef/>
      </w:r>
      <w:r w:rsidRPr="00A430BC">
        <w:rPr>
          <w:rFonts w:ascii="Verdana" w:hAnsi="Verdana"/>
          <w:sz w:val="16"/>
          <w:szCs w:val="16"/>
        </w:rPr>
        <w:t xml:space="preserve"> J.</w:t>
      </w:r>
      <w:r w:rsidRPr="00F7634B">
        <w:rPr>
          <w:rFonts w:ascii="Verdana" w:hAnsi="Verdana"/>
          <w:sz w:val="16"/>
          <w:szCs w:val="16"/>
        </w:rPr>
        <w:t xml:space="preserve"> </w:t>
      </w:r>
      <w:proofErr w:type="spellStart"/>
      <w:r>
        <w:rPr>
          <w:rFonts w:ascii="Verdana" w:hAnsi="Verdana"/>
          <w:sz w:val="16"/>
          <w:szCs w:val="16"/>
        </w:rPr>
        <w:t>Meese</w:t>
      </w:r>
      <w:proofErr w:type="spellEnd"/>
      <w:r>
        <w:rPr>
          <w:rFonts w:ascii="Verdana" w:hAnsi="Verdana"/>
          <w:sz w:val="16"/>
          <w:szCs w:val="16"/>
        </w:rPr>
        <w:t>, Commentaar op art. 6, par. 1 (C.7 redelijke termijn)</w:t>
      </w:r>
      <w:r w:rsidRPr="00A430BC">
        <w:rPr>
          <w:rFonts w:ascii="Verdana" w:hAnsi="Verdana"/>
          <w:sz w:val="16"/>
          <w:szCs w:val="16"/>
        </w:rPr>
        <w:t xml:space="preserve">, </w:t>
      </w:r>
      <w:r>
        <w:rPr>
          <w:rFonts w:ascii="Verdana" w:hAnsi="Verdana"/>
          <w:sz w:val="16"/>
          <w:szCs w:val="16"/>
        </w:rPr>
        <w:t xml:space="preserve">in: </w:t>
      </w:r>
      <w:proofErr w:type="spellStart"/>
      <w:r>
        <w:rPr>
          <w:rFonts w:ascii="Verdana" w:hAnsi="Verdana"/>
          <w:i/>
          <w:sz w:val="16"/>
          <w:szCs w:val="16"/>
        </w:rPr>
        <w:t>Sdu</w:t>
      </w:r>
      <w:proofErr w:type="spellEnd"/>
      <w:r>
        <w:rPr>
          <w:rFonts w:ascii="Verdana" w:hAnsi="Verdana"/>
          <w:i/>
          <w:sz w:val="16"/>
          <w:szCs w:val="16"/>
        </w:rPr>
        <w:t xml:space="preserve"> Commentaar EVRM, Deel I - M</w:t>
      </w:r>
      <w:r w:rsidRPr="00A430BC">
        <w:rPr>
          <w:rFonts w:ascii="Verdana" w:hAnsi="Verdana"/>
          <w:i/>
          <w:sz w:val="16"/>
          <w:szCs w:val="16"/>
        </w:rPr>
        <w:t>ateriële rechten</w:t>
      </w:r>
      <w:r w:rsidRPr="00A430BC">
        <w:rPr>
          <w:rFonts w:ascii="Verdana" w:hAnsi="Verdana"/>
          <w:sz w:val="16"/>
          <w:szCs w:val="16"/>
        </w:rPr>
        <w:t xml:space="preserve">, </w:t>
      </w:r>
      <w:r>
        <w:rPr>
          <w:rFonts w:ascii="Verdana" w:hAnsi="Verdana"/>
          <w:sz w:val="16"/>
          <w:szCs w:val="16"/>
        </w:rPr>
        <w:t xml:space="preserve">Den Haag: </w:t>
      </w:r>
      <w:r w:rsidRPr="00A430BC">
        <w:rPr>
          <w:rFonts w:ascii="Verdana" w:hAnsi="Verdana"/>
          <w:sz w:val="16"/>
          <w:szCs w:val="16"/>
        </w:rPr>
        <w:t xml:space="preserve">SDU </w:t>
      </w:r>
      <w:r>
        <w:rPr>
          <w:rFonts w:ascii="Verdana" w:hAnsi="Verdana"/>
          <w:sz w:val="16"/>
          <w:szCs w:val="16"/>
        </w:rPr>
        <w:t xml:space="preserve">Uitgeverij </w:t>
      </w:r>
      <w:r w:rsidRPr="00A430BC">
        <w:rPr>
          <w:rFonts w:ascii="Verdana" w:hAnsi="Verdana"/>
          <w:sz w:val="16"/>
          <w:szCs w:val="16"/>
        </w:rPr>
        <w:t>2013</w:t>
      </w:r>
      <w:r>
        <w:rPr>
          <w:rFonts w:ascii="Verdana" w:hAnsi="Verdana"/>
          <w:sz w:val="16"/>
          <w:szCs w:val="16"/>
        </w:rPr>
        <w:t xml:space="preserve">, p. </w:t>
      </w:r>
      <w:r w:rsidRPr="000A553F">
        <w:rPr>
          <w:rFonts w:ascii="Verdana" w:hAnsi="Verdana"/>
          <w:sz w:val="16"/>
          <w:szCs w:val="16"/>
        </w:rPr>
        <w:t>313.</w:t>
      </w:r>
    </w:p>
  </w:footnote>
  <w:footnote w:id="78">
    <w:p w:rsidR="001D1963" w:rsidRPr="00BF0CF3" w:rsidRDefault="001D1963">
      <w:pPr>
        <w:pStyle w:val="Voetnoottekst"/>
        <w:rPr>
          <w:rFonts w:ascii="Verdana" w:hAnsi="Verdana"/>
          <w:sz w:val="16"/>
          <w:szCs w:val="16"/>
        </w:rPr>
      </w:pPr>
      <w:r w:rsidRPr="00BF0CF3">
        <w:rPr>
          <w:rStyle w:val="Voetnootmarkering"/>
          <w:rFonts w:ascii="Verdana" w:hAnsi="Verdana"/>
          <w:sz w:val="16"/>
          <w:szCs w:val="16"/>
        </w:rPr>
        <w:footnoteRef/>
      </w:r>
      <w:r>
        <w:rPr>
          <w:rFonts w:ascii="Verdana" w:hAnsi="Verdana"/>
          <w:sz w:val="16"/>
          <w:szCs w:val="16"/>
        </w:rPr>
        <w:t xml:space="preserve"> HR</w:t>
      </w:r>
      <w:r w:rsidRPr="00BF0CF3">
        <w:rPr>
          <w:rFonts w:ascii="Verdana" w:hAnsi="Verdana"/>
          <w:sz w:val="16"/>
          <w:szCs w:val="16"/>
        </w:rPr>
        <w:t xml:space="preserve"> 17 juni 2008, ECLI NL HR 2008 BD2578</w:t>
      </w:r>
      <w:r>
        <w:rPr>
          <w:rFonts w:ascii="Verdana" w:hAnsi="Verdana"/>
          <w:sz w:val="16"/>
          <w:szCs w:val="16"/>
        </w:rPr>
        <w:t xml:space="preserve">. EHRM 31 maart 1992, </w:t>
      </w:r>
      <w:r w:rsidRPr="009F6118">
        <w:rPr>
          <w:rFonts w:ascii="Verdana" w:hAnsi="Verdana"/>
          <w:i/>
          <w:sz w:val="16"/>
          <w:szCs w:val="16"/>
        </w:rPr>
        <w:t xml:space="preserve">X </w:t>
      </w:r>
      <w:r w:rsidRPr="004B138A">
        <w:rPr>
          <w:rFonts w:ascii="Verdana" w:hAnsi="Verdana"/>
          <w:sz w:val="16"/>
          <w:szCs w:val="16"/>
        </w:rPr>
        <w:t>t.</w:t>
      </w:r>
      <w:r w:rsidRPr="009F6118">
        <w:rPr>
          <w:rFonts w:ascii="Verdana" w:hAnsi="Verdana"/>
          <w:i/>
          <w:sz w:val="16"/>
          <w:szCs w:val="16"/>
        </w:rPr>
        <w:t xml:space="preserve"> Frankrijk</w:t>
      </w:r>
      <w:r>
        <w:rPr>
          <w:rFonts w:ascii="Verdana" w:hAnsi="Verdana"/>
          <w:sz w:val="16"/>
          <w:szCs w:val="16"/>
        </w:rPr>
        <w:t>, nr. 18020/91.</w:t>
      </w:r>
    </w:p>
  </w:footnote>
  <w:footnote w:id="79">
    <w:p w:rsidR="001D1963" w:rsidRPr="00124E40" w:rsidRDefault="001D1963">
      <w:pPr>
        <w:pStyle w:val="Voetnoottekst"/>
        <w:rPr>
          <w:rFonts w:ascii="Verdana" w:hAnsi="Verdana"/>
          <w:sz w:val="16"/>
          <w:szCs w:val="16"/>
        </w:rPr>
      </w:pPr>
      <w:r w:rsidRPr="00124E40">
        <w:rPr>
          <w:rStyle w:val="Voetnootmarkering"/>
          <w:rFonts w:ascii="Verdana" w:hAnsi="Verdana"/>
          <w:sz w:val="16"/>
          <w:szCs w:val="16"/>
        </w:rPr>
        <w:footnoteRef/>
      </w:r>
      <w:r w:rsidRPr="00124E40">
        <w:rPr>
          <w:rFonts w:ascii="Verdana" w:hAnsi="Verdana"/>
          <w:sz w:val="16"/>
          <w:szCs w:val="16"/>
        </w:rPr>
        <w:t xml:space="preserve"> EHRM 8 juni 2006, </w:t>
      </w:r>
      <w:proofErr w:type="spellStart"/>
      <w:r w:rsidRPr="00124E40">
        <w:rPr>
          <w:rFonts w:ascii="Verdana" w:hAnsi="Verdana"/>
          <w:i/>
          <w:sz w:val="16"/>
          <w:szCs w:val="16"/>
        </w:rPr>
        <w:t>Sü</w:t>
      </w:r>
      <w:r>
        <w:rPr>
          <w:rFonts w:ascii="Verdana" w:hAnsi="Verdana"/>
          <w:i/>
          <w:sz w:val="16"/>
          <w:szCs w:val="16"/>
        </w:rPr>
        <w:t>r</w:t>
      </w:r>
      <w:r w:rsidRPr="00124E40">
        <w:rPr>
          <w:rFonts w:ascii="Verdana" w:hAnsi="Verdana"/>
          <w:i/>
          <w:sz w:val="16"/>
          <w:szCs w:val="16"/>
        </w:rPr>
        <w:t>meli</w:t>
      </w:r>
      <w:proofErr w:type="spellEnd"/>
      <w:r w:rsidRPr="00124E40">
        <w:rPr>
          <w:rFonts w:ascii="Verdana" w:hAnsi="Verdana"/>
          <w:i/>
          <w:sz w:val="16"/>
          <w:szCs w:val="16"/>
        </w:rPr>
        <w:t xml:space="preserve"> </w:t>
      </w:r>
      <w:r w:rsidRPr="0017114E">
        <w:rPr>
          <w:rFonts w:ascii="Verdana" w:hAnsi="Verdana"/>
          <w:sz w:val="16"/>
          <w:szCs w:val="16"/>
        </w:rPr>
        <w:t>t.</w:t>
      </w:r>
      <w:r w:rsidRPr="00124E40">
        <w:rPr>
          <w:rFonts w:ascii="Verdana" w:hAnsi="Verdana"/>
          <w:i/>
          <w:sz w:val="16"/>
          <w:szCs w:val="16"/>
        </w:rPr>
        <w:t xml:space="preserve"> Duitsland</w:t>
      </w:r>
      <w:r w:rsidRPr="00124E40">
        <w:rPr>
          <w:rFonts w:ascii="Verdana" w:hAnsi="Verdana"/>
          <w:sz w:val="16"/>
          <w:szCs w:val="16"/>
        </w:rPr>
        <w:t xml:space="preserve">, </w:t>
      </w:r>
      <w:r>
        <w:rPr>
          <w:rFonts w:ascii="Verdana" w:hAnsi="Verdana"/>
          <w:sz w:val="16"/>
          <w:szCs w:val="16"/>
        </w:rPr>
        <w:t>nr.</w:t>
      </w:r>
      <w:r w:rsidRPr="0017114E">
        <w:t xml:space="preserve"> </w:t>
      </w:r>
      <w:r w:rsidRPr="0017114E">
        <w:rPr>
          <w:rFonts w:ascii="Verdana" w:hAnsi="Verdana"/>
          <w:sz w:val="16"/>
          <w:szCs w:val="16"/>
        </w:rPr>
        <w:t>75529/01, EHRC</w:t>
      </w:r>
      <w:r w:rsidRPr="00124E40">
        <w:rPr>
          <w:rFonts w:ascii="Verdana" w:hAnsi="Verdana"/>
          <w:sz w:val="16"/>
          <w:szCs w:val="16"/>
        </w:rPr>
        <w:t xml:space="preserve"> 2006, 100.</w:t>
      </w:r>
    </w:p>
  </w:footnote>
  <w:footnote w:id="80">
    <w:p w:rsidR="001D1963" w:rsidRPr="00BF0CF3" w:rsidRDefault="001D1963" w:rsidP="00BF0CF3">
      <w:pPr>
        <w:pStyle w:val="Voetnoottekst"/>
        <w:rPr>
          <w:rFonts w:ascii="Verdana" w:hAnsi="Verdana"/>
          <w:sz w:val="16"/>
          <w:szCs w:val="16"/>
        </w:rPr>
      </w:pPr>
      <w:r w:rsidRPr="00BF0CF3">
        <w:rPr>
          <w:rStyle w:val="Voetnootmarkering"/>
          <w:rFonts w:ascii="Verdana" w:hAnsi="Verdana"/>
          <w:sz w:val="16"/>
          <w:szCs w:val="16"/>
        </w:rPr>
        <w:footnoteRef/>
      </w:r>
      <w:r w:rsidRPr="00BF0CF3">
        <w:rPr>
          <w:rFonts w:ascii="Verdana" w:hAnsi="Verdana"/>
          <w:sz w:val="16"/>
          <w:szCs w:val="16"/>
        </w:rPr>
        <w:t xml:space="preserve"> </w:t>
      </w:r>
      <w:r w:rsidRPr="00E6035A">
        <w:rPr>
          <w:rFonts w:ascii="Verdana" w:hAnsi="Verdana"/>
          <w:sz w:val="16"/>
          <w:szCs w:val="16"/>
        </w:rPr>
        <w:t>Kamerstukken II</w:t>
      </w:r>
      <w:r w:rsidRPr="00BF0CF3">
        <w:rPr>
          <w:rFonts w:ascii="Verdana" w:hAnsi="Verdana"/>
          <w:sz w:val="16"/>
          <w:szCs w:val="16"/>
        </w:rPr>
        <w:t xml:space="preserve"> 1976/77, 13 872, nr. 7, </w:t>
      </w:r>
      <w:r>
        <w:rPr>
          <w:rFonts w:ascii="Verdana" w:hAnsi="Verdana"/>
          <w:sz w:val="16"/>
          <w:szCs w:val="16"/>
        </w:rPr>
        <w:t>blz.</w:t>
      </w:r>
      <w:r w:rsidRPr="00BF0CF3">
        <w:rPr>
          <w:rFonts w:ascii="Verdana" w:hAnsi="Verdana"/>
          <w:sz w:val="16"/>
          <w:szCs w:val="16"/>
        </w:rPr>
        <w:t xml:space="preserve"> 40; </w:t>
      </w:r>
      <w:r w:rsidRPr="00E6035A">
        <w:rPr>
          <w:rFonts w:ascii="Verdana" w:hAnsi="Verdana"/>
          <w:sz w:val="16"/>
          <w:szCs w:val="16"/>
        </w:rPr>
        <w:t>Kamerstukken I 1976</w:t>
      </w:r>
      <w:r w:rsidRPr="00BF0CF3">
        <w:rPr>
          <w:rFonts w:ascii="Verdana" w:hAnsi="Verdana"/>
          <w:sz w:val="16"/>
          <w:szCs w:val="16"/>
        </w:rPr>
        <w:t xml:space="preserve">/77, 13 872, nr. 55b, </w:t>
      </w:r>
      <w:r>
        <w:rPr>
          <w:rFonts w:ascii="Verdana" w:hAnsi="Verdana"/>
          <w:sz w:val="16"/>
          <w:szCs w:val="16"/>
        </w:rPr>
        <w:t>blz.</w:t>
      </w:r>
      <w:r w:rsidRPr="00BF0CF3">
        <w:rPr>
          <w:rFonts w:ascii="Verdana" w:hAnsi="Verdana"/>
          <w:sz w:val="16"/>
          <w:szCs w:val="16"/>
        </w:rPr>
        <w:t xml:space="preserve"> 46.</w:t>
      </w:r>
    </w:p>
  </w:footnote>
  <w:footnote w:id="81">
    <w:p w:rsidR="001D1963" w:rsidRPr="00BF0CF3" w:rsidRDefault="001D1963" w:rsidP="00BF0CF3">
      <w:pPr>
        <w:pStyle w:val="Geenafstand"/>
        <w:rPr>
          <w:rFonts w:ascii="Verdana" w:hAnsi="Verdana"/>
          <w:sz w:val="16"/>
          <w:szCs w:val="16"/>
        </w:rPr>
      </w:pPr>
      <w:r w:rsidRPr="00BF0CF3">
        <w:rPr>
          <w:rStyle w:val="Voetnootmarkering"/>
          <w:rFonts w:ascii="Verdana" w:hAnsi="Verdana"/>
          <w:sz w:val="16"/>
          <w:szCs w:val="16"/>
        </w:rPr>
        <w:footnoteRef/>
      </w:r>
      <w:r>
        <w:rPr>
          <w:rFonts w:ascii="Verdana" w:hAnsi="Verdana"/>
          <w:sz w:val="16"/>
          <w:szCs w:val="16"/>
        </w:rPr>
        <w:t xml:space="preserve"> HR</w:t>
      </w:r>
      <w:r w:rsidRPr="00BF0CF3">
        <w:rPr>
          <w:rFonts w:ascii="Verdana" w:hAnsi="Verdana"/>
          <w:sz w:val="16"/>
          <w:szCs w:val="16"/>
        </w:rPr>
        <w:t xml:space="preserve"> 17 juni 2008, ECLI NL HR 2008 BD2578.</w:t>
      </w:r>
    </w:p>
  </w:footnote>
  <w:footnote w:id="82">
    <w:p w:rsidR="001D1963" w:rsidRPr="00BF0CF3" w:rsidRDefault="001D1963" w:rsidP="00BF0CF3">
      <w:pPr>
        <w:pStyle w:val="Voetnoottekst"/>
        <w:rPr>
          <w:rFonts w:ascii="Verdana" w:hAnsi="Verdana"/>
          <w:sz w:val="16"/>
          <w:szCs w:val="16"/>
        </w:rPr>
      </w:pPr>
      <w:r w:rsidRPr="00BF0CF3">
        <w:rPr>
          <w:rStyle w:val="Voetnootmarkering"/>
          <w:rFonts w:ascii="Verdana" w:hAnsi="Verdana"/>
          <w:sz w:val="16"/>
          <w:szCs w:val="16"/>
        </w:rPr>
        <w:footnoteRef/>
      </w:r>
      <w:r w:rsidRPr="00BF0CF3">
        <w:rPr>
          <w:rFonts w:ascii="Verdana" w:hAnsi="Verdana"/>
          <w:sz w:val="16"/>
          <w:szCs w:val="16"/>
        </w:rPr>
        <w:t xml:space="preserve"> </w:t>
      </w:r>
      <w:proofErr w:type="spellStart"/>
      <w:r w:rsidRPr="00BF0CF3">
        <w:rPr>
          <w:rFonts w:ascii="Verdana" w:hAnsi="Verdana"/>
          <w:sz w:val="16"/>
          <w:szCs w:val="16"/>
        </w:rPr>
        <w:t>ABRvS</w:t>
      </w:r>
      <w:proofErr w:type="spellEnd"/>
      <w:r w:rsidRPr="00BF0CF3">
        <w:rPr>
          <w:rFonts w:ascii="Verdana" w:hAnsi="Verdana"/>
          <w:sz w:val="16"/>
          <w:szCs w:val="16"/>
        </w:rPr>
        <w:t xml:space="preserve"> (grote kamer) 29 januari 2014, </w:t>
      </w:r>
      <w:r w:rsidRPr="00BF0CF3">
        <w:rPr>
          <w:rFonts w:ascii="Verdana" w:hAnsi="Verdana"/>
          <w:kern w:val="36"/>
          <w:sz w:val="16"/>
          <w:szCs w:val="16"/>
        </w:rPr>
        <w:t xml:space="preserve">nr. 201302106/1/A2; conclusie Advocaat-Generaal </w:t>
      </w:r>
      <w:proofErr w:type="spellStart"/>
      <w:r w:rsidRPr="00BF0CF3">
        <w:rPr>
          <w:rFonts w:ascii="Verdana" w:hAnsi="Verdana"/>
          <w:kern w:val="36"/>
          <w:sz w:val="16"/>
          <w:szCs w:val="16"/>
        </w:rPr>
        <w:t>Widdershoven</w:t>
      </w:r>
      <w:proofErr w:type="spellEnd"/>
      <w:r w:rsidRPr="00BF0CF3">
        <w:rPr>
          <w:rFonts w:ascii="Verdana" w:hAnsi="Verdana"/>
          <w:kern w:val="36"/>
          <w:sz w:val="16"/>
          <w:szCs w:val="16"/>
        </w:rPr>
        <w:t xml:space="preserve"> van 23 oktober 2013. Deze grote kamer bestond uit de voorzitter van de Afdeling bestuursrechtspraak</w:t>
      </w:r>
      <w:r>
        <w:rPr>
          <w:rFonts w:ascii="Verdana" w:hAnsi="Verdana"/>
          <w:kern w:val="36"/>
          <w:sz w:val="16"/>
          <w:szCs w:val="16"/>
        </w:rPr>
        <w:t xml:space="preserve"> van de Raad van State</w:t>
      </w:r>
      <w:r w:rsidRPr="00BF0CF3">
        <w:rPr>
          <w:rFonts w:ascii="Verdana" w:hAnsi="Verdana"/>
          <w:kern w:val="36"/>
          <w:sz w:val="16"/>
          <w:szCs w:val="16"/>
        </w:rPr>
        <w:t>, de presidenten van de Centrale Raad van Beroep en het College van Beroep voor het bedrijfsleven en een lid van de Hoge Raad die tevens staatsraad in buitengewone dienst zijn en een staatsraad van de Afdeling bestuursrechtspraak van de Raad van State.</w:t>
      </w:r>
    </w:p>
  </w:footnote>
  <w:footnote w:id="83">
    <w:p w:rsidR="001D1963" w:rsidRPr="00917D09" w:rsidRDefault="001D1963">
      <w:pPr>
        <w:pStyle w:val="Voetnoottekst"/>
        <w:rPr>
          <w:rFonts w:ascii="Verdana" w:hAnsi="Verdana"/>
          <w:sz w:val="16"/>
          <w:szCs w:val="16"/>
        </w:rPr>
      </w:pPr>
      <w:r w:rsidRPr="00917D09">
        <w:rPr>
          <w:rStyle w:val="Voetnootmarkering"/>
          <w:rFonts w:ascii="Verdana" w:hAnsi="Verdana"/>
          <w:sz w:val="16"/>
          <w:szCs w:val="16"/>
        </w:rPr>
        <w:footnoteRef/>
      </w:r>
      <w:r w:rsidRPr="00917D09">
        <w:rPr>
          <w:rFonts w:ascii="Verdana" w:hAnsi="Verdana"/>
          <w:sz w:val="16"/>
          <w:szCs w:val="16"/>
        </w:rPr>
        <w:t xml:space="preserve"> </w:t>
      </w:r>
      <w:proofErr w:type="spellStart"/>
      <w:r w:rsidRPr="00917D09">
        <w:rPr>
          <w:rFonts w:ascii="Verdana" w:hAnsi="Verdana"/>
          <w:sz w:val="16"/>
          <w:szCs w:val="16"/>
        </w:rPr>
        <w:t>ABRvS</w:t>
      </w:r>
      <w:proofErr w:type="spellEnd"/>
      <w:r w:rsidRPr="00917D09">
        <w:rPr>
          <w:rFonts w:ascii="Verdana" w:hAnsi="Verdana"/>
          <w:sz w:val="16"/>
          <w:szCs w:val="16"/>
        </w:rPr>
        <w:t xml:space="preserve"> 24 december 2008, ECLI:NL:RVS:2010:BN1170; </w:t>
      </w:r>
      <w:proofErr w:type="spellStart"/>
      <w:r w:rsidRPr="00917D09">
        <w:rPr>
          <w:rFonts w:ascii="Verdana" w:hAnsi="Verdana"/>
          <w:sz w:val="16"/>
          <w:szCs w:val="16"/>
        </w:rPr>
        <w:t>CBb</w:t>
      </w:r>
      <w:proofErr w:type="spellEnd"/>
      <w:r w:rsidRPr="00917D09">
        <w:rPr>
          <w:rFonts w:ascii="Verdana" w:hAnsi="Verdana"/>
          <w:sz w:val="16"/>
          <w:szCs w:val="16"/>
        </w:rPr>
        <w:t xml:space="preserve"> 25 juni 2009, ECLI:NL:CBB:2009:BJ5260; </w:t>
      </w:r>
      <w:proofErr w:type="spellStart"/>
      <w:r w:rsidRPr="00917D09">
        <w:rPr>
          <w:rFonts w:ascii="Verdana" w:hAnsi="Verdana"/>
          <w:sz w:val="16"/>
          <w:szCs w:val="16"/>
        </w:rPr>
        <w:t>CRvB</w:t>
      </w:r>
      <w:proofErr w:type="spellEnd"/>
      <w:r w:rsidRPr="00917D09">
        <w:rPr>
          <w:rFonts w:ascii="Verdana" w:hAnsi="Verdana"/>
          <w:sz w:val="16"/>
          <w:szCs w:val="16"/>
        </w:rPr>
        <w:t xml:space="preserve"> 14 december 2012, ECLI:NL:CRVB:2012:BY6202 en HR 22 april 2015, ECLI:NL:HR:2005:AO9006.</w:t>
      </w:r>
    </w:p>
  </w:footnote>
  <w:footnote w:id="84">
    <w:p w:rsidR="001D1963" w:rsidRPr="00917D09" w:rsidRDefault="001D1963">
      <w:pPr>
        <w:pStyle w:val="Voetnoottekst"/>
        <w:rPr>
          <w:rFonts w:ascii="Verdana" w:hAnsi="Verdana"/>
          <w:sz w:val="16"/>
          <w:szCs w:val="16"/>
        </w:rPr>
      </w:pPr>
      <w:r w:rsidRPr="00917D09">
        <w:rPr>
          <w:rStyle w:val="Voetnootmarkering"/>
          <w:rFonts w:ascii="Verdana" w:hAnsi="Verdana"/>
          <w:sz w:val="16"/>
          <w:szCs w:val="16"/>
        </w:rPr>
        <w:footnoteRef/>
      </w:r>
      <w:r w:rsidRPr="00917D09">
        <w:rPr>
          <w:rFonts w:ascii="Verdana" w:hAnsi="Verdana"/>
          <w:sz w:val="16"/>
          <w:szCs w:val="16"/>
        </w:rPr>
        <w:t xml:space="preserve"> HR 28 maart 2014, ECLI:NL:HR:2014:736.</w:t>
      </w:r>
    </w:p>
  </w:footnote>
  <w:footnote w:id="85">
    <w:p w:rsidR="001D1963" w:rsidRPr="00E6035A" w:rsidRDefault="001D1963">
      <w:pPr>
        <w:pStyle w:val="Voetnoottekst"/>
        <w:rPr>
          <w:rFonts w:ascii="Verdana" w:hAnsi="Verdana"/>
          <w:sz w:val="16"/>
          <w:szCs w:val="16"/>
        </w:rPr>
      </w:pPr>
      <w:r w:rsidRPr="00202251">
        <w:rPr>
          <w:rStyle w:val="Voetnootmarkering"/>
          <w:rFonts w:ascii="Verdana" w:hAnsi="Verdana"/>
          <w:sz w:val="16"/>
          <w:szCs w:val="16"/>
        </w:rPr>
        <w:footnoteRef/>
      </w:r>
      <w:r w:rsidRPr="00202251">
        <w:rPr>
          <w:rFonts w:ascii="Verdana" w:hAnsi="Verdana"/>
          <w:sz w:val="16"/>
          <w:szCs w:val="16"/>
        </w:rPr>
        <w:t xml:space="preserve"> </w:t>
      </w:r>
      <w:r w:rsidRPr="00E6035A">
        <w:rPr>
          <w:rFonts w:ascii="Verdana" w:hAnsi="Verdana"/>
          <w:sz w:val="16"/>
          <w:szCs w:val="16"/>
        </w:rPr>
        <w:t>Kamerstukken II 1979/80, 16 162, nr. 3, blz. 21.</w:t>
      </w:r>
    </w:p>
  </w:footnote>
  <w:footnote w:id="86">
    <w:p w:rsidR="001D1963" w:rsidRPr="00202251" w:rsidRDefault="001D1963">
      <w:pPr>
        <w:pStyle w:val="Voetnoottekst"/>
        <w:rPr>
          <w:rFonts w:ascii="Verdana" w:hAnsi="Verdana"/>
          <w:sz w:val="16"/>
          <w:szCs w:val="16"/>
        </w:rPr>
      </w:pPr>
      <w:r w:rsidRPr="00E6035A">
        <w:rPr>
          <w:rStyle w:val="Voetnootmarkering"/>
          <w:rFonts w:ascii="Verdana" w:hAnsi="Verdana"/>
          <w:sz w:val="16"/>
          <w:szCs w:val="16"/>
        </w:rPr>
        <w:footnoteRef/>
      </w:r>
      <w:r w:rsidRPr="00E6035A">
        <w:rPr>
          <w:rFonts w:ascii="Verdana" w:hAnsi="Verdana"/>
          <w:sz w:val="16"/>
          <w:szCs w:val="16"/>
        </w:rPr>
        <w:t xml:space="preserve"> Kamerstukken II 1979/80, 16 162, nr. 3, blz</w:t>
      </w:r>
      <w:r>
        <w:rPr>
          <w:rFonts w:ascii="Verdana" w:hAnsi="Verdana"/>
          <w:sz w:val="16"/>
          <w:szCs w:val="16"/>
        </w:rPr>
        <w:t>.</w:t>
      </w:r>
      <w:r w:rsidRPr="00202251">
        <w:rPr>
          <w:rFonts w:ascii="Verdana" w:hAnsi="Verdana"/>
          <w:sz w:val="16"/>
          <w:szCs w:val="16"/>
        </w:rPr>
        <w:t xml:space="preserve"> 22-23.</w:t>
      </w:r>
    </w:p>
  </w:footnote>
  <w:footnote w:id="87">
    <w:p w:rsidR="001D1963" w:rsidRPr="00F269C6" w:rsidRDefault="001D1963">
      <w:pPr>
        <w:pStyle w:val="Voetnoottekst"/>
        <w:rPr>
          <w:rFonts w:ascii="Verdana" w:hAnsi="Verdana"/>
          <w:sz w:val="16"/>
          <w:szCs w:val="16"/>
        </w:rPr>
      </w:pPr>
      <w:r w:rsidRPr="00F269C6">
        <w:rPr>
          <w:rStyle w:val="Voetnootmarkering"/>
          <w:rFonts w:ascii="Verdana" w:hAnsi="Verdana"/>
          <w:sz w:val="16"/>
          <w:szCs w:val="16"/>
        </w:rPr>
        <w:footnoteRef/>
      </w:r>
      <w:r w:rsidRPr="00F269C6">
        <w:rPr>
          <w:rFonts w:ascii="Verdana" w:hAnsi="Verdana"/>
          <w:sz w:val="16"/>
          <w:szCs w:val="16"/>
        </w:rPr>
        <w:t xml:space="preserve"> HR 4 juni 1993</w:t>
      </w:r>
      <w:r>
        <w:rPr>
          <w:rFonts w:ascii="Verdana" w:hAnsi="Verdana"/>
          <w:sz w:val="16"/>
          <w:szCs w:val="16"/>
        </w:rPr>
        <w:t xml:space="preserve"> (</w:t>
      </w:r>
      <w:proofErr w:type="spellStart"/>
      <w:r w:rsidRPr="00576AAA">
        <w:rPr>
          <w:rFonts w:ascii="Verdana" w:hAnsi="Verdana"/>
          <w:i/>
          <w:sz w:val="16"/>
          <w:szCs w:val="16"/>
        </w:rPr>
        <w:t>Vredo</w:t>
      </w:r>
      <w:proofErr w:type="spellEnd"/>
      <w:r>
        <w:rPr>
          <w:rFonts w:ascii="Verdana" w:hAnsi="Verdana"/>
          <w:sz w:val="16"/>
          <w:szCs w:val="16"/>
        </w:rPr>
        <w:t xml:space="preserve"> t. </w:t>
      </w:r>
      <w:r w:rsidRPr="00576AAA">
        <w:rPr>
          <w:rFonts w:ascii="Verdana" w:hAnsi="Verdana"/>
          <w:i/>
          <w:sz w:val="16"/>
          <w:szCs w:val="16"/>
        </w:rPr>
        <w:t>Veenhuis</w:t>
      </w:r>
      <w:r>
        <w:rPr>
          <w:rFonts w:ascii="Verdana" w:hAnsi="Verdana"/>
          <w:sz w:val="16"/>
          <w:szCs w:val="16"/>
        </w:rPr>
        <w:t>)</w:t>
      </w:r>
      <w:r w:rsidRPr="00F269C6">
        <w:rPr>
          <w:rFonts w:ascii="Verdana" w:hAnsi="Verdana"/>
          <w:sz w:val="16"/>
          <w:szCs w:val="16"/>
        </w:rPr>
        <w:t>, LJN ZC0986, NJ 1993, 659 (</w:t>
      </w:r>
      <w:proofErr w:type="spellStart"/>
      <w:r w:rsidRPr="00F269C6">
        <w:rPr>
          <w:rFonts w:ascii="Verdana" w:hAnsi="Verdana"/>
          <w:sz w:val="16"/>
          <w:szCs w:val="16"/>
        </w:rPr>
        <w:t>m.nt</w:t>
      </w:r>
      <w:proofErr w:type="spellEnd"/>
      <w:r w:rsidRPr="00F269C6">
        <w:rPr>
          <w:rFonts w:ascii="Verdana" w:hAnsi="Verdana"/>
          <w:sz w:val="16"/>
          <w:szCs w:val="16"/>
        </w:rPr>
        <w:t>. DWFV).</w:t>
      </w:r>
    </w:p>
  </w:footnote>
  <w:footnote w:id="88">
    <w:p w:rsidR="001D1963" w:rsidRPr="0074474F" w:rsidRDefault="001D1963" w:rsidP="00044840">
      <w:pPr>
        <w:pStyle w:val="Voetnoottekst"/>
        <w:rPr>
          <w:rFonts w:ascii="Verdana" w:hAnsi="Verdana"/>
          <w:sz w:val="16"/>
          <w:szCs w:val="16"/>
        </w:rPr>
      </w:pPr>
      <w:r w:rsidRPr="0074474F">
        <w:rPr>
          <w:rStyle w:val="Voetnootmarkering"/>
          <w:rFonts w:ascii="Verdana" w:hAnsi="Verdana"/>
          <w:sz w:val="16"/>
          <w:szCs w:val="16"/>
        </w:rPr>
        <w:footnoteRef/>
      </w:r>
      <w:r w:rsidRPr="0074474F">
        <w:rPr>
          <w:rFonts w:ascii="Verdana" w:hAnsi="Verdana"/>
          <w:sz w:val="16"/>
          <w:szCs w:val="16"/>
        </w:rPr>
        <w:t xml:space="preserve"> </w:t>
      </w:r>
      <w:r>
        <w:rPr>
          <w:rFonts w:ascii="Verdana" w:hAnsi="Verdana"/>
          <w:sz w:val="16"/>
          <w:szCs w:val="16"/>
        </w:rPr>
        <w:t xml:space="preserve">I. </w:t>
      </w:r>
      <w:proofErr w:type="spellStart"/>
      <w:r>
        <w:rPr>
          <w:rFonts w:ascii="Verdana" w:hAnsi="Verdana"/>
          <w:sz w:val="16"/>
          <w:szCs w:val="16"/>
        </w:rPr>
        <w:t>Peçi</w:t>
      </w:r>
      <w:proofErr w:type="spellEnd"/>
      <w:r>
        <w:rPr>
          <w:rFonts w:ascii="Verdana" w:hAnsi="Verdana"/>
          <w:sz w:val="16"/>
          <w:szCs w:val="16"/>
        </w:rPr>
        <w:t>, Commentaar op art. 6, par. 1 (</w:t>
      </w:r>
      <w:r w:rsidRPr="0074474F">
        <w:rPr>
          <w:rFonts w:ascii="Verdana" w:hAnsi="Verdana"/>
          <w:sz w:val="16"/>
          <w:szCs w:val="16"/>
        </w:rPr>
        <w:t>C.5</w:t>
      </w:r>
      <w:r>
        <w:rPr>
          <w:rFonts w:ascii="Verdana" w:hAnsi="Verdana"/>
          <w:sz w:val="16"/>
          <w:szCs w:val="16"/>
        </w:rPr>
        <w:t xml:space="preserve"> Motivering van rechterlijke uitspraken), in:</w:t>
      </w:r>
      <w:r w:rsidRPr="00A430BC">
        <w:rPr>
          <w:rFonts w:ascii="Verdana" w:hAnsi="Verdana"/>
          <w:sz w:val="16"/>
          <w:szCs w:val="16"/>
        </w:rPr>
        <w:t xml:space="preserve"> </w:t>
      </w:r>
      <w:proofErr w:type="spellStart"/>
      <w:r>
        <w:rPr>
          <w:rFonts w:ascii="Verdana" w:hAnsi="Verdana"/>
          <w:i/>
          <w:sz w:val="16"/>
          <w:szCs w:val="16"/>
        </w:rPr>
        <w:t>Sdu</w:t>
      </w:r>
      <w:proofErr w:type="spellEnd"/>
      <w:r>
        <w:rPr>
          <w:rFonts w:ascii="Verdana" w:hAnsi="Verdana"/>
          <w:i/>
          <w:sz w:val="16"/>
          <w:szCs w:val="16"/>
        </w:rPr>
        <w:t xml:space="preserve"> Commentaar EVRM, Deel I - M</w:t>
      </w:r>
      <w:r w:rsidRPr="00A430BC">
        <w:rPr>
          <w:rFonts w:ascii="Verdana" w:hAnsi="Verdana"/>
          <w:i/>
          <w:sz w:val="16"/>
          <w:szCs w:val="16"/>
        </w:rPr>
        <w:t>ateriële rechten</w:t>
      </w:r>
      <w:r w:rsidRPr="00A430BC">
        <w:rPr>
          <w:rFonts w:ascii="Verdana" w:hAnsi="Verdana"/>
          <w:sz w:val="16"/>
          <w:szCs w:val="16"/>
        </w:rPr>
        <w:t xml:space="preserve">, </w:t>
      </w:r>
      <w:r>
        <w:rPr>
          <w:rFonts w:ascii="Verdana" w:hAnsi="Verdana"/>
          <w:sz w:val="16"/>
          <w:szCs w:val="16"/>
        </w:rPr>
        <w:t xml:space="preserve">Den Haag: </w:t>
      </w:r>
      <w:r w:rsidRPr="00A430BC">
        <w:rPr>
          <w:rFonts w:ascii="Verdana" w:hAnsi="Verdana"/>
          <w:sz w:val="16"/>
          <w:szCs w:val="16"/>
        </w:rPr>
        <w:t xml:space="preserve">SDU </w:t>
      </w:r>
      <w:r>
        <w:rPr>
          <w:rFonts w:ascii="Verdana" w:hAnsi="Verdana"/>
          <w:sz w:val="16"/>
          <w:szCs w:val="16"/>
        </w:rPr>
        <w:t xml:space="preserve">Uitgevers </w:t>
      </w:r>
      <w:r w:rsidRPr="00A430BC">
        <w:rPr>
          <w:rFonts w:ascii="Verdana" w:hAnsi="Verdana"/>
          <w:sz w:val="16"/>
          <w:szCs w:val="16"/>
        </w:rPr>
        <w:t>2013</w:t>
      </w:r>
      <w:r w:rsidRPr="0074474F">
        <w:rPr>
          <w:rFonts w:ascii="Verdana" w:hAnsi="Verdana"/>
          <w:sz w:val="16"/>
          <w:szCs w:val="16"/>
        </w:rPr>
        <w:t>, p. 288-293.</w:t>
      </w:r>
    </w:p>
  </w:footnote>
  <w:footnote w:id="89">
    <w:p w:rsidR="001D1963" w:rsidRPr="0074474F" w:rsidRDefault="001D1963">
      <w:pPr>
        <w:pStyle w:val="Voetnoottekst"/>
        <w:rPr>
          <w:rFonts w:ascii="Verdana" w:hAnsi="Verdana"/>
          <w:sz w:val="16"/>
          <w:szCs w:val="16"/>
        </w:rPr>
      </w:pPr>
      <w:r w:rsidRPr="0074474F">
        <w:rPr>
          <w:rStyle w:val="Voetnootmarkering"/>
          <w:rFonts w:ascii="Verdana" w:hAnsi="Verdana"/>
          <w:sz w:val="16"/>
          <w:szCs w:val="16"/>
        </w:rPr>
        <w:footnoteRef/>
      </w:r>
      <w:r w:rsidRPr="0074474F">
        <w:rPr>
          <w:rFonts w:ascii="Verdana" w:hAnsi="Verdana"/>
          <w:sz w:val="16"/>
          <w:szCs w:val="16"/>
        </w:rPr>
        <w:t xml:space="preserve"> </w:t>
      </w:r>
      <w:r w:rsidRPr="009C1850">
        <w:rPr>
          <w:rFonts w:ascii="Verdana" w:hAnsi="Verdana"/>
          <w:sz w:val="16"/>
          <w:szCs w:val="16"/>
        </w:rPr>
        <w:t xml:space="preserve">R.J.N. </w:t>
      </w:r>
      <w:proofErr w:type="spellStart"/>
      <w:r w:rsidRPr="009C1850">
        <w:rPr>
          <w:rFonts w:ascii="Verdana" w:hAnsi="Verdana"/>
          <w:sz w:val="16"/>
          <w:szCs w:val="16"/>
        </w:rPr>
        <w:t>Schlössels</w:t>
      </w:r>
      <w:proofErr w:type="spellEnd"/>
      <w:r w:rsidRPr="009C1850">
        <w:rPr>
          <w:rFonts w:ascii="Verdana" w:hAnsi="Verdana"/>
          <w:sz w:val="16"/>
          <w:szCs w:val="16"/>
        </w:rPr>
        <w:t xml:space="preserve">, S.E. Zijlstra, </w:t>
      </w:r>
      <w:r w:rsidRPr="009C1850">
        <w:rPr>
          <w:rFonts w:ascii="Verdana" w:hAnsi="Verdana"/>
          <w:i/>
          <w:sz w:val="16"/>
          <w:szCs w:val="16"/>
        </w:rPr>
        <w:t>Bestuursrecht in de sociale rechtsstaat</w:t>
      </w:r>
      <w:r w:rsidRPr="009C1850">
        <w:rPr>
          <w:rFonts w:ascii="Verdana" w:hAnsi="Verdana"/>
          <w:sz w:val="16"/>
          <w:szCs w:val="16"/>
        </w:rPr>
        <w:t>, 6</w:t>
      </w:r>
      <w:r w:rsidRPr="009C1850">
        <w:rPr>
          <w:rFonts w:ascii="Verdana" w:hAnsi="Verdana"/>
          <w:sz w:val="16"/>
          <w:szCs w:val="16"/>
          <w:vertAlign w:val="superscript"/>
        </w:rPr>
        <w:t>e</w:t>
      </w:r>
      <w:r w:rsidRPr="009C1850">
        <w:rPr>
          <w:rFonts w:ascii="Verdana" w:hAnsi="Verdana"/>
          <w:sz w:val="16"/>
          <w:szCs w:val="16"/>
        </w:rPr>
        <w:t xml:space="preserve"> geheel </w:t>
      </w:r>
      <w:proofErr w:type="spellStart"/>
      <w:r w:rsidRPr="009C1850">
        <w:rPr>
          <w:rFonts w:ascii="Verdana" w:hAnsi="Verdana"/>
          <w:sz w:val="16"/>
          <w:szCs w:val="16"/>
        </w:rPr>
        <w:t>herziene</w:t>
      </w:r>
      <w:proofErr w:type="spellEnd"/>
      <w:r w:rsidRPr="009C1850">
        <w:rPr>
          <w:rFonts w:ascii="Verdana" w:hAnsi="Verdana"/>
          <w:sz w:val="16"/>
          <w:szCs w:val="16"/>
        </w:rPr>
        <w:t xml:space="preserve"> druk, Deventer: Kluwer 2010, </w:t>
      </w:r>
      <w:r w:rsidRPr="0074474F">
        <w:rPr>
          <w:rFonts w:ascii="Verdana" w:hAnsi="Verdana"/>
          <w:sz w:val="16"/>
          <w:szCs w:val="16"/>
        </w:rPr>
        <w:t>p. 1084.</w:t>
      </w:r>
    </w:p>
  </w:footnote>
  <w:footnote w:id="90">
    <w:p w:rsidR="001D1963" w:rsidRDefault="001D1963">
      <w:pPr>
        <w:pStyle w:val="Voetnoottekst"/>
      </w:pPr>
      <w:r>
        <w:rPr>
          <w:rStyle w:val="Voetnootmarkering"/>
        </w:rPr>
        <w:footnoteRef/>
      </w:r>
      <w:r>
        <w:t xml:space="preserve"> </w:t>
      </w:r>
      <w:proofErr w:type="spellStart"/>
      <w:r w:rsidRPr="0074474F">
        <w:rPr>
          <w:rFonts w:ascii="Verdana" w:hAnsi="Verdana"/>
          <w:sz w:val="16"/>
          <w:szCs w:val="16"/>
        </w:rPr>
        <w:t>S</w:t>
      </w:r>
      <w:r>
        <w:rPr>
          <w:rFonts w:ascii="Verdana" w:hAnsi="Verdana"/>
          <w:sz w:val="16"/>
          <w:szCs w:val="16"/>
        </w:rPr>
        <w:t>chlössels</w:t>
      </w:r>
      <w:proofErr w:type="spellEnd"/>
      <w:r>
        <w:rPr>
          <w:rFonts w:ascii="Verdana" w:hAnsi="Verdana"/>
          <w:sz w:val="16"/>
          <w:szCs w:val="16"/>
        </w:rPr>
        <w:t>/Zijlstra 2010, p. 1291.</w:t>
      </w:r>
    </w:p>
  </w:footnote>
  <w:footnote w:id="91">
    <w:p w:rsidR="001D1963" w:rsidRPr="00A15416" w:rsidRDefault="001D1963" w:rsidP="00D816DD">
      <w:pPr>
        <w:pStyle w:val="Voetnoottekst"/>
        <w:rPr>
          <w:rFonts w:ascii="Verdana" w:hAnsi="Verdana"/>
          <w:sz w:val="16"/>
          <w:szCs w:val="16"/>
        </w:rPr>
      </w:pPr>
      <w:r w:rsidRPr="00A15416">
        <w:rPr>
          <w:rStyle w:val="Voetnootmarkering"/>
          <w:rFonts w:ascii="Verdana" w:hAnsi="Verdana"/>
          <w:sz w:val="16"/>
          <w:szCs w:val="16"/>
        </w:rPr>
        <w:footnoteRef/>
      </w:r>
      <w:r w:rsidRPr="00A15416">
        <w:rPr>
          <w:rFonts w:ascii="Verdana" w:hAnsi="Verdana"/>
          <w:sz w:val="16"/>
          <w:szCs w:val="16"/>
        </w:rPr>
        <w:t xml:space="preserve"> </w:t>
      </w:r>
      <w:r>
        <w:rPr>
          <w:rFonts w:ascii="Verdana" w:hAnsi="Verdana"/>
          <w:sz w:val="16"/>
          <w:szCs w:val="16"/>
        </w:rPr>
        <w:t xml:space="preserve">G. J.M. </w:t>
      </w:r>
      <w:proofErr w:type="spellStart"/>
      <w:r w:rsidRPr="00256AC3">
        <w:rPr>
          <w:rFonts w:ascii="Verdana" w:hAnsi="Verdana"/>
          <w:sz w:val="16"/>
          <w:szCs w:val="16"/>
        </w:rPr>
        <w:t>Corstens</w:t>
      </w:r>
      <w:proofErr w:type="spellEnd"/>
      <w:r>
        <w:rPr>
          <w:rFonts w:ascii="Verdana" w:hAnsi="Verdana"/>
          <w:sz w:val="16"/>
          <w:szCs w:val="16"/>
        </w:rPr>
        <w:t xml:space="preserve">, M. J. </w:t>
      </w:r>
      <w:proofErr w:type="spellStart"/>
      <w:r>
        <w:rPr>
          <w:rFonts w:ascii="Verdana" w:hAnsi="Verdana"/>
          <w:sz w:val="16"/>
          <w:szCs w:val="16"/>
        </w:rPr>
        <w:t>Borgers</w:t>
      </w:r>
      <w:proofErr w:type="spellEnd"/>
      <w:r w:rsidRPr="00256AC3">
        <w:rPr>
          <w:rFonts w:ascii="Verdana" w:hAnsi="Verdana"/>
          <w:sz w:val="16"/>
          <w:szCs w:val="16"/>
        </w:rPr>
        <w:t xml:space="preserve">, </w:t>
      </w:r>
      <w:r w:rsidRPr="006149D8">
        <w:rPr>
          <w:rFonts w:ascii="Verdana" w:hAnsi="Verdana"/>
          <w:i/>
          <w:sz w:val="16"/>
          <w:szCs w:val="16"/>
        </w:rPr>
        <w:t xml:space="preserve">Het Nederlands </w:t>
      </w:r>
      <w:r>
        <w:rPr>
          <w:rFonts w:ascii="Verdana" w:hAnsi="Verdana"/>
          <w:i/>
          <w:sz w:val="16"/>
          <w:szCs w:val="16"/>
        </w:rPr>
        <w:t>S</w:t>
      </w:r>
      <w:r w:rsidRPr="006149D8">
        <w:rPr>
          <w:rFonts w:ascii="Verdana" w:hAnsi="Verdana"/>
          <w:i/>
          <w:sz w:val="16"/>
          <w:szCs w:val="16"/>
        </w:rPr>
        <w:t>trafprocesrecht</w:t>
      </w:r>
      <w:r w:rsidRPr="00256AC3">
        <w:rPr>
          <w:rFonts w:ascii="Verdana" w:hAnsi="Verdana"/>
          <w:sz w:val="16"/>
          <w:szCs w:val="16"/>
        </w:rPr>
        <w:t xml:space="preserve">, </w:t>
      </w:r>
      <w:r>
        <w:rPr>
          <w:rFonts w:ascii="Verdana" w:hAnsi="Verdana"/>
          <w:sz w:val="16"/>
          <w:szCs w:val="16"/>
        </w:rPr>
        <w:t>2011, p. 787.</w:t>
      </w:r>
    </w:p>
  </w:footnote>
  <w:footnote w:id="92">
    <w:p w:rsidR="001D1963" w:rsidRPr="00A15416" w:rsidRDefault="001D1963" w:rsidP="00D816DD">
      <w:pPr>
        <w:pStyle w:val="Voetnoottekst"/>
        <w:rPr>
          <w:rFonts w:ascii="Verdana" w:hAnsi="Verdana"/>
          <w:sz w:val="16"/>
          <w:szCs w:val="16"/>
        </w:rPr>
      </w:pPr>
      <w:r w:rsidRPr="00A15416">
        <w:rPr>
          <w:rStyle w:val="Voetnootmarkering"/>
          <w:rFonts w:ascii="Verdana" w:hAnsi="Verdana"/>
          <w:sz w:val="16"/>
          <w:szCs w:val="16"/>
        </w:rPr>
        <w:footnoteRef/>
      </w:r>
      <w:r w:rsidRPr="00A15416">
        <w:rPr>
          <w:rFonts w:ascii="Verdana" w:hAnsi="Verdana"/>
          <w:sz w:val="16"/>
          <w:szCs w:val="16"/>
        </w:rPr>
        <w:t xml:space="preserve"> </w:t>
      </w:r>
      <w:r w:rsidRPr="00E6035A">
        <w:rPr>
          <w:rFonts w:ascii="Verdana" w:hAnsi="Verdana"/>
          <w:sz w:val="16"/>
          <w:szCs w:val="16"/>
        </w:rPr>
        <w:t xml:space="preserve">Kamerstukken II </w:t>
      </w:r>
      <w:r w:rsidRPr="00A15416">
        <w:rPr>
          <w:rFonts w:ascii="Verdana" w:hAnsi="Verdana"/>
          <w:sz w:val="16"/>
          <w:szCs w:val="16"/>
        </w:rPr>
        <w:t xml:space="preserve">2005/06, 30 320, nr. 3, </w:t>
      </w:r>
      <w:r>
        <w:rPr>
          <w:rFonts w:ascii="Verdana" w:hAnsi="Verdana"/>
          <w:sz w:val="16"/>
          <w:szCs w:val="16"/>
        </w:rPr>
        <w:t>blz.</w:t>
      </w:r>
      <w:r w:rsidRPr="00A15416">
        <w:rPr>
          <w:rFonts w:ascii="Verdana" w:hAnsi="Verdana"/>
          <w:sz w:val="16"/>
          <w:szCs w:val="16"/>
        </w:rPr>
        <w:t xml:space="preserve"> 5-6 (Wet stroomlijnen hoger beroep).</w:t>
      </w:r>
      <w:r>
        <w:rPr>
          <w:rFonts w:ascii="Verdana" w:hAnsi="Verdana"/>
          <w:sz w:val="16"/>
          <w:szCs w:val="16"/>
        </w:rPr>
        <w:t xml:space="preserve"> </w:t>
      </w:r>
    </w:p>
  </w:footnote>
  <w:footnote w:id="93">
    <w:p w:rsidR="001D1963" w:rsidRPr="004B138A" w:rsidRDefault="001D1963">
      <w:pPr>
        <w:pStyle w:val="Voetnoottekst"/>
        <w:rPr>
          <w:rFonts w:ascii="Verdana" w:hAnsi="Verdana"/>
          <w:sz w:val="16"/>
          <w:szCs w:val="16"/>
        </w:rPr>
      </w:pPr>
      <w:r w:rsidRPr="004B138A">
        <w:rPr>
          <w:rStyle w:val="Voetnootmarkering"/>
          <w:rFonts w:ascii="Verdana" w:hAnsi="Verdana"/>
          <w:sz w:val="16"/>
          <w:szCs w:val="16"/>
        </w:rPr>
        <w:footnoteRef/>
      </w:r>
      <w:r w:rsidRPr="004B138A">
        <w:rPr>
          <w:rFonts w:ascii="Verdana" w:hAnsi="Verdana"/>
          <w:sz w:val="16"/>
          <w:szCs w:val="16"/>
        </w:rPr>
        <w:t xml:space="preserve"> Vgl. o.a. A. </w:t>
      </w:r>
      <w:proofErr w:type="spellStart"/>
      <w:r w:rsidRPr="004B138A">
        <w:rPr>
          <w:rFonts w:ascii="Verdana" w:hAnsi="Verdana"/>
          <w:sz w:val="16"/>
          <w:szCs w:val="16"/>
        </w:rPr>
        <w:t>Hammerstein</w:t>
      </w:r>
      <w:proofErr w:type="spellEnd"/>
      <w:r w:rsidRPr="004B138A">
        <w:rPr>
          <w:rFonts w:ascii="Verdana" w:hAnsi="Verdana"/>
          <w:sz w:val="16"/>
          <w:szCs w:val="16"/>
        </w:rPr>
        <w:t xml:space="preserve">, ‘Toegang tot en omvang van het hoger beroep’, in: P.H.P.H.M.C. Van Kempen, C.J.M. Klaassen, R.J.N. </w:t>
      </w:r>
      <w:proofErr w:type="spellStart"/>
      <w:r w:rsidRPr="004B138A">
        <w:rPr>
          <w:rFonts w:ascii="Verdana" w:hAnsi="Verdana"/>
          <w:sz w:val="16"/>
          <w:szCs w:val="16"/>
        </w:rPr>
        <w:t>Schl</w:t>
      </w:r>
      <w:r w:rsidRPr="004B138A">
        <w:rPr>
          <w:rFonts w:ascii="Verdana" w:hAnsi="Verdana" w:cstheme="minorHAnsi"/>
          <w:sz w:val="16"/>
          <w:szCs w:val="16"/>
        </w:rPr>
        <w:t>ö</w:t>
      </w:r>
      <w:r w:rsidRPr="004B138A">
        <w:rPr>
          <w:rFonts w:ascii="Verdana" w:hAnsi="Verdana"/>
          <w:sz w:val="16"/>
          <w:szCs w:val="16"/>
        </w:rPr>
        <w:t>ssels</w:t>
      </w:r>
      <w:proofErr w:type="spellEnd"/>
      <w:r w:rsidRPr="004B138A">
        <w:rPr>
          <w:rFonts w:ascii="Verdana" w:hAnsi="Verdana"/>
          <w:sz w:val="16"/>
          <w:szCs w:val="16"/>
        </w:rPr>
        <w:t xml:space="preserve">, J.J. </w:t>
      </w:r>
      <w:proofErr w:type="spellStart"/>
      <w:r w:rsidRPr="004B138A">
        <w:rPr>
          <w:rFonts w:ascii="Verdana" w:hAnsi="Verdana"/>
          <w:sz w:val="16"/>
          <w:szCs w:val="16"/>
        </w:rPr>
        <w:t>Dammingh</w:t>
      </w:r>
      <w:proofErr w:type="spellEnd"/>
      <w:r w:rsidRPr="004B138A">
        <w:rPr>
          <w:rFonts w:ascii="Verdana" w:hAnsi="Verdana"/>
          <w:sz w:val="16"/>
          <w:szCs w:val="16"/>
        </w:rPr>
        <w:t xml:space="preserve"> (red.), </w:t>
      </w:r>
      <w:r w:rsidRPr="004B138A">
        <w:rPr>
          <w:rFonts w:ascii="Verdana" w:hAnsi="Verdana"/>
          <w:i/>
          <w:sz w:val="16"/>
          <w:szCs w:val="16"/>
        </w:rPr>
        <w:t>Hoger beroep: renovatie en innovatie. Het appel in het burgerlijk, straf- en bestuursprocesrecht,</w:t>
      </w:r>
      <w:r w:rsidRPr="004B138A">
        <w:rPr>
          <w:rFonts w:ascii="Verdana" w:hAnsi="Verdana"/>
          <w:sz w:val="16"/>
          <w:szCs w:val="16"/>
        </w:rPr>
        <w:t xml:space="preserve"> Deventer: Kluwer 2014,</w:t>
      </w:r>
      <w:r w:rsidRPr="004B138A">
        <w:rPr>
          <w:rFonts w:ascii="Verdana" w:hAnsi="Verdana"/>
          <w:i/>
          <w:sz w:val="16"/>
          <w:szCs w:val="16"/>
        </w:rPr>
        <w:t xml:space="preserve"> </w:t>
      </w:r>
      <w:r w:rsidRPr="004B138A">
        <w:rPr>
          <w:rFonts w:ascii="Verdana" w:hAnsi="Verdana"/>
          <w:sz w:val="16"/>
          <w:szCs w:val="16"/>
        </w:rPr>
        <w:t xml:space="preserve">p. 68, en R.J.N. </w:t>
      </w:r>
      <w:proofErr w:type="spellStart"/>
      <w:r w:rsidRPr="004B138A">
        <w:rPr>
          <w:rFonts w:ascii="Verdana" w:hAnsi="Verdana"/>
          <w:sz w:val="16"/>
          <w:szCs w:val="16"/>
        </w:rPr>
        <w:t>Schl</w:t>
      </w:r>
      <w:r w:rsidRPr="004B138A">
        <w:rPr>
          <w:rFonts w:ascii="Verdana" w:hAnsi="Verdana" w:cstheme="minorHAnsi"/>
          <w:sz w:val="16"/>
          <w:szCs w:val="16"/>
        </w:rPr>
        <w:t>ö</w:t>
      </w:r>
      <w:r w:rsidRPr="004B138A">
        <w:rPr>
          <w:rFonts w:ascii="Verdana" w:hAnsi="Verdana"/>
          <w:sz w:val="16"/>
          <w:szCs w:val="16"/>
        </w:rPr>
        <w:t>ssels</w:t>
      </w:r>
      <w:proofErr w:type="spellEnd"/>
      <w:r w:rsidRPr="004B138A">
        <w:rPr>
          <w:rFonts w:ascii="Verdana" w:hAnsi="Verdana"/>
          <w:sz w:val="16"/>
          <w:szCs w:val="16"/>
        </w:rPr>
        <w:t xml:space="preserve"> &amp; C.L.G.F.H. Albers, Het bestuursrechtelijk hoger beroep: schuivende panelen, in: (idem), p. 47.</w:t>
      </w:r>
    </w:p>
  </w:footnote>
  <w:footnote w:id="94">
    <w:p w:rsidR="001D1963" w:rsidRPr="00784C13" w:rsidRDefault="001D1963" w:rsidP="009C1850">
      <w:pPr>
        <w:pStyle w:val="Voetnoottekst"/>
        <w:rPr>
          <w:rFonts w:ascii="Verdana" w:hAnsi="Verdana"/>
          <w:sz w:val="16"/>
          <w:szCs w:val="16"/>
        </w:rPr>
      </w:pPr>
      <w:r w:rsidRPr="009C1850">
        <w:rPr>
          <w:rStyle w:val="Voetnootmarkering"/>
          <w:rFonts w:ascii="Verdana" w:hAnsi="Verdana"/>
          <w:sz w:val="16"/>
          <w:szCs w:val="16"/>
        </w:rPr>
        <w:footnoteRef/>
      </w:r>
      <w:r>
        <w:rPr>
          <w:rFonts w:ascii="Verdana" w:hAnsi="Verdana"/>
          <w:sz w:val="16"/>
          <w:szCs w:val="16"/>
        </w:rPr>
        <w:t xml:space="preserve"> </w:t>
      </w:r>
      <w:proofErr w:type="spellStart"/>
      <w:r>
        <w:rPr>
          <w:rFonts w:ascii="Verdana" w:hAnsi="Verdana"/>
          <w:sz w:val="16"/>
          <w:szCs w:val="16"/>
        </w:rPr>
        <w:t>Schlössels</w:t>
      </w:r>
      <w:proofErr w:type="spellEnd"/>
      <w:r>
        <w:rPr>
          <w:rFonts w:ascii="Verdana" w:hAnsi="Verdana"/>
          <w:sz w:val="16"/>
          <w:szCs w:val="16"/>
        </w:rPr>
        <w:t xml:space="preserve">/Zijlstra </w:t>
      </w:r>
      <w:r w:rsidRPr="009C1850">
        <w:rPr>
          <w:rFonts w:ascii="Verdana" w:hAnsi="Verdana"/>
          <w:sz w:val="16"/>
          <w:szCs w:val="16"/>
        </w:rPr>
        <w:t>2010, p. 1345.</w:t>
      </w:r>
    </w:p>
  </w:footnote>
  <w:footnote w:id="95">
    <w:p w:rsidR="001D1963" w:rsidRDefault="001D1963">
      <w:pPr>
        <w:pStyle w:val="Voetnoottekst"/>
      </w:pPr>
      <w:r>
        <w:rPr>
          <w:rStyle w:val="Voetnootmarkering"/>
        </w:rPr>
        <w:footnoteRef/>
      </w:r>
      <w:r>
        <w:t xml:space="preserve"> </w:t>
      </w:r>
      <w:r>
        <w:rPr>
          <w:rFonts w:ascii="Verdana" w:hAnsi="Verdana"/>
          <w:sz w:val="16"/>
          <w:szCs w:val="16"/>
        </w:rPr>
        <w:t xml:space="preserve">A.Q.C. Tak, Het </w:t>
      </w:r>
      <w:r w:rsidRPr="009C1850">
        <w:rPr>
          <w:rFonts w:ascii="Verdana" w:hAnsi="Verdana"/>
          <w:i/>
          <w:sz w:val="16"/>
          <w:szCs w:val="16"/>
        </w:rPr>
        <w:t>Nederlandse bestuursprocesrecht in theorie en praktijk</w:t>
      </w:r>
      <w:r>
        <w:rPr>
          <w:rFonts w:ascii="Verdana" w:hAnsi="Verdana"/>
          <w:sz w:val="16"/>
          <w:szCs w:val="16"/>
        </w:rPr>
        <w:t>, deel II, Den Haag: SDU Uitgevers 2002, p. 358.</w:t>
      </w:r>
    </w:p>
  </w:footnote>
  <w:footnote w:id="96">
    <w:p w:rsidR="001D1963" w:rsidRPr="00E6035A" w:rsidRDefault="001D1963">
      <w:pPr>
        <w:pStyle w:val="Voetnoottekst"/>
        <w:rPr>
          <w:rFonts w:ascii="Verdana" w:hAnsi="Verdana" w:cs="Arial"/>
          <w:sz w:val="16"/>
          <w:szCs w:val="16"/>
        </w:rPr>
      </w:pPr>
      <w:r w:rsidRPr="00290B7B">
        <w:rPr>
          <w:rStyle w:val="Voetnootmarkering"/>
          <w:rFonts w:ascii="Verdana" w:hAnsi="Verdana" w:cs="Arial"/>
          <w:sz w:val="16"/>
          <w:szCs w:val="16"/>
        </w:rPr>
        <w:footnoteRef/>
      </w:r>
      <w:r w:rsidRPr="00290B7B">
        <w:rPr>
          <w:rFonts w:ascii="Verdana" w:hAnsi="Verdana" w:cs="Arial"/>
          <w:sz w:val="16"/>
          <w:szCs w:val="16"/>
        </w:rPr>
        <w:t xml:space="preserve"> </w:t>
      </w:r>
      <w:r w:rsidRPr="00E6035A">
        <w:rPr>
          <w:rFonts w:ascii="Verdana" w:hAnsi="Verdana" w:cs="Arial"/>
          <w:sz w:val="16"/>
          <w:szCs w:val="16"/>
        </w:rPr>
        <w:t>Kamerstukken II 2008/09, 31 700 V, nr. 127.</w:t>
      </w:r>
    </w:p>
  </w:footnote>
  <w:footnote w:id="97">
    <w:p w:rsidR="001D1963" w:rsidRDefault="001D1963">
      <w:pPr>
        <w:pStyle w:val="Voetnoottekst"/>
      </w:pPr>
      <w:r w:rsidRPr="00E6035A">
        <w:rPr>
          <w:rStyle w:val="Voetnootmarkering"/>
        </w:rPr>
        <w:footnoteRef/>
      </w:r>
      <w:r w:rsidRPr="00E6035A">
        <w:t xml:space="preserve"> </w:t>
      </w:r>
      <w:r w:rsidRPr="00E6035A">
        <w:rPr>
          <w:rFonts w:ascii="Verdana" w:hAnsi="Verdana"/>
          <w:sz w:val="16"/>
          <w:szCs w:val="16"/>
        </w:rPr>
        <w:t>Kamerstukken II</w:t>
      </w:r>
      <w:r w:rsidRPr="00D2781B">
        <w:rPr>
          <w:rFonts w:ascii="Verdana" w:hAnsi="Verdana"/>
          <w:sz w:val="16"/>
          <w:szCs w:val="16"/>
        </w:rPr>
        <w:t xml:space="preserve"> 2012/13, 33 400 V, nr. 146, </w:t>
      </w:r>
      <w:r>
        <w:rPr>
          <w:rFonts w:ascii="Verdana" w:hAnsi="Verdana"/>
          <w:sz w:val="16"/>
          <w:szCs w:val="16"/>
        </w:rPr>
        <w:t>blz.</w:t>
      </w:r>
      <w:r w:rsidRPr="00D2781B">
        <w:rPr>
          <w:rFonts w:ascii="Verdana" w:hAnsi="Verdana"/>
          <w:sz w:val="16"/>
          <w:szCs w:val="16"/>
        </w:rPr>
        <w:t xml:space="preserve"> 5-6</w:t>
      </w:r>
      <w:r>
        <w:rPr>
          <w:rFonts w:ascii="Verdana" w:hAnsi="Verdana"/>
          <w:sz w:val="16"/>
          <w:szCs w:val="16"/>
        </w:rPr>
        <w:t xml:space="preserve"> (vraag 10)</w:t>
      </w:r>
      <w:r w:rsidRPr="00D2781B">
        <w:rPr>
          <w:rFonts w:ascii="Verdana" w:hAnsi="Verdana"/>
          <w:sz w:val="16"/>
          <w:szCs w:val="16"/>
        </w:rPr>
        <w:t>.</w:t>
      </w:r>
    </w:p>
  </w:footnote>
  <w:footnote w:id="98">
    <w:p w:rsidR="001D1963" w:rsidRPr="00E97B23" w:rsidRDefault="001D1963" w:rsidP="00E97B23">
      <w:pPr>
        <w:pStyle w:val="Voetnoottekst"/>
        <w:rPr>
          <w:rFonts w:ascii="Verdana" w:hAnsi="Verdana"/>
          <w:sz w:val="16"/>
          <w:szCs w:val="16"/>
        </w:rPr>
      </w:pPr>
      <w:r w:rsidRPr="00E97B23">
        <w:rPr>
          <w:rStyle w:val="Voetnootmarkering"/>
          <w:rFonts w:ascii="Verdana" w:hAnsi="Verdana"/>
          <w:sz w:val="16"/>
          <w:szCs w:val="16"/>
        </w:rPr>
        <w:footnoteRef/>
      </w:r>
      <w:r w:rsidRPr="00E97B23">
        <w:rPr>
          <w:rFonts w:ascii="Verdana" w:hAnsi="Verdana"/>
          <w:sz w:val="16"/>
          <w:szCs w:val="16"/>
        </w:rPr>
        <w:t xml:space="preserve"> Behoudens het geval waarin de nationale norm een inbreuk met zich zou brengen van het Unierecht, vgl</w:t>
      </w:r>
      <w:r>
        <w:rPr>
          <w:rFonts w:ascii="Verdana" w:hAnsi="Verdana"/>
          <w:sz w:val="16"/>
          <w:szCs w:val="16"/>
        </w:rPr>
        <w:t xml:space="preserve">. </w:t>
      </w:r>
      <w:proofErr w:type="spellStart"/>
      <w:r w:rsidRPr="00E97B23">
        <w:rPr>
          <w:rFonts w:ascii="Verdana" w:hAnsi="Verdana"/>
          <w:sz w:val="16"/>
          <w:szCs w:val="16"/>
        </w:rPr>
        <w:t>HvJ</w:t>
      </w:r>
      <w:proofErr w:type="spellEnd"/>
      <w:r>
        <w:rPr>
          <w:rFonts w:ascii="Verdana" w:hAnsi="Verdana"/>
          <w:sz w:val="16"/>
          <w:szCs w:val="16"/>
        </w:rPr>
        <w:t xml:space="preserve"> 26 februari 2013, zaak C-399/11 (</w:t>
      </w:r>
      <w:proofErr w:type="spellStart"/>
      <w:r w:rsidRPr="00E97B23">
        <w:rPr>
          <w:rFonts w:ascii="Verdana" w:hAnsi="Verdana"/>
          <w:sz w:val="16"/>
          <w:szCs w:val="16"/>
        </w:rPr>
        <w:t>Melloni</w:t>
      </w:r>
      <w:proofErr w:type="spellEnd"/>
      <w:r>
        <w:rPr>
          <w:rFonts w:ascii="Verdana" w:hAnsi="Verdana"/>
          <w:sz w:val="16"/>
          <w:szCs w:val="16"/>
        </w:rPr>
        <w:t>)</w:t>
      </w:r>
      <w:r w:rsidRPr="00E97B23">
        <w:rPr>
          <w:rFonts w:ascii="Verdana" w:hAnsi="Verdana"/>
          <w:sz w:val="16"/>
          <w:szCs w:val="16"/>
        </w:rPr>
        <w:t>.</w:t>
      </w:r>
    </w:p>
  </w:footnote>
  <w:footnote w:id="99">
    <w:p w:rsidR="001D1963" w:rsidRDefault="001D1963">
      <w:pPr>
        <w:pStyle w:val="Voetnoottekst"/>
        <w:rPr>
          <w:rFonts w:ascii="Verdana" w:hAnsi="Verdana"/>
          <w:sz w:val="16"/>
          <w:szCs w:val="16"/>
        </w:rPr>
      </w:pPr>
      <w:r>
        <w:rPr>
          <w:rStyle w:val="Voetnootmarkering"/>
        </w:rPr>
        <w:footnoteRef/>
      </w:r>
      <w:r>
        <w:t xml:space="preserve"> </w:t>
      </w:r>
      <w:r w:rsidRPr="00CD2074">
        <w:rPr>
          <w:rFonts w:ascii="Verdana" w:hAnsi="Verdana"/>
          <w:sz w:val="16"/>
          <w:szCs w:val="16"/>
        </w:rPr>
        <w:t>Richtlijn</w:t>
      </w:r>
      <w:r w:rsidRPr="00653B37">
        <w:rPr>
          <w:rFonts w:ascii="Verdana" w:hAnsi="Verdana"/>
          <w:sz w:val="16"/>
          <w:szCs w:val="16"/>
        </w:rPr>
        <w:t xml:space="preserve"> 2016/343/EU van het Europees Parlement en de Raad van 9 maart 2016 betreffende de versterking van bepaalde aspecten van het vermoeden van onschuld en van het recht om in strafprocedures bij de terechtzitting aanwezig te zijn, PbEU L65. De richtlijn dient uiterlijk 1 april 2018 geïmplementeerd te zijn.</w:t>
      </w:r>
      <w:r>
        <w:rPr>
          <w:rFonts w:ascii="Verdana" w:hAnsi="Verdana"/>
          <w:sz w:val="16"/>
          <w:szCs w:val="16"/>
        </w:rPr>
        <w:t xml:space="preserve"> </w:t>
      </w:r>
    </w:p>
    <w:p w:rsidR="001D1963" w:rsidRDefault="001D1963">
      <w:pPr>
        <w:pStyle w:val="Voetnoottekst"/>
        <w:rPr>
          <w:rFonts w:ascii="Verdana" w:hAnsi="Verdana"/>
          <w:sz w:val="16"/>
          <w:szCs w:val="16"/>
        </w:rPr>
      </w:pPr>
      <w:r>
        <w:rPr>
          <w:rFonts w:ascii="Verdana" w:hAnsi="Verdana"/>
          <w:sz w:val="16"/>
          <w:szCs w:val="16"/>
        </w:rPr>
        <w:t xml:space="preserve">Richtlijn 2016/800 van het Europees Parlement en de Raad van 11 mei 2016 betreffende procedurele waarborgen voor kinderen die verdachte of beklaagde zijn in een strafprocedure, PbEU L132/1. De richtlijn dient voor 11 mei 2022 geïmplementeerd te zijn. </w:t>
      </w:r>
    </w:p>
    <w:p w:rsidR="001D1963" w:rsidRPr="00653B37" w:rsidRDefault="001D1963">
      <w:pPr>
        <w:pStyle w:val="Voetnoottekst"/>
        <w:rPr>
          <w:rFonts w:ascii="Verdana" w:hAnsi="Verdana"/>
          <w:sz w:val="16"/>
          <w:szCs w:val="16"/>
        </w:rPr>
      </w:pPr>
      <w:r w:rsidRPr="00CD2074">
        <w:rPr>
          <w:rFonts w:ascii="Verdana" w:hAnsi="Verdana"/>
          <w:sz w:val="16"/>
          <w:szCs w:val="16"/>
        </w:rPr>
        <w:t xml:space="preserve">Over het voorstel </w:t>
      </w:r>
      <w:r>
        <w:rPr>
          <w:rFonts w:ascii="Verdana" w:hAnsi="Verdana"/>
          <w:sz w:val="16"/>
          <w:szCs w:val="16"/>
        </w:rPr>
        <w:t xml:space="preserve">COM(2013)824 </w:t>
      </w:r>
      <w:r w:rsidRPr="00CD2074">
        <w:rPr>
          <w:rFonts w:ascii="Verdana" w:hAnsi="Verdana"/>
          <w:sz w:val="16"/>
          <w:szCs w:val="16"/>
        </w:rPr>
        <w:t>voor een richtlijn betreffende voorlopige rechtsbijstand voor verdachten en beklaagden wie de vrijheid is ontnomen en rechtsbijstand in procedures ter uitvoering van een Europees aanhoudingsbevel wordt nog onderhandeld.</w:t>
      </w:r>
    </w:p>
  </w:footnote>
  <w:footnote w:id="100">
    <w:p w:rsidR="001D1963" w:rsidRPr="000F7E7E" w:rsidRDefault="001D1963" w:rsidP="000F7E7E">
      <w:pPr>
        <w:pStyle w:val="Default"/>
        <w:rPr>
          <w:rFonts w:ascii="Verdana" w:hAnsi="Verdana" w:cs="EUAlbertina"/>
          <w:sz w:val="16"/>
          <w:szCs w:val="16"/>
        </w:rPr>
      </w:pPr>
      <w:r w:rsidRPr="000F7E7E">
        <w:rPr>
          <w:rStyle w:val="Voetnootmarkering"/>
          <w:rFonts w:ascii="Verdana" w:hAnsi="Verdana"/>
          <w:sz w:val="16"/>
          <w:szCs w:val="16"/>
        </w:rPr>
        <w:footnoteRef/>
      </w:r>
      <w:r w:rsidRPr="000F7E7E">
        <w:rPr>
          <w:rFonts w:ascii="Verdana" w:hAnsi="Verdana"/>
          <w:sz w:val="16"/>
          <w:szCs w:val="16"/>
        </w:rPr>
        <w:t xml:space="preserve"> </w:t>
      </w:r>
      <w:r>
        <w:rPr>
          <w:rFonts w:ascii="Verdana" w:hAnsi="Verdana"/>
          <w:sz w:val="16"/>
          <w:szCs w:val="16"/>
        </w:rPr>
        <w:t>Richtlijn</w:t>
      </w:r>
      <w:r w:rsidRPr="000F7E7E">
        <w:rPr>
          <w:rFonts w:ascii="Verdana" w:hAnsi="Verdana"/>
          <w:sz w:val="16"/>
          <w:szCs w:val="16"/>
        </w:rPr>
        <w:t xml:space="preserve"> 2010/64/EU </w:t>
      </w:r>
      <w:r>
        <w:rPr>
          <w:rFonts w:ascii="Verdana" w:hAnsi="Verdana"/>
          <w:sz w:val="16"/>
          <w:szCs w:val="16"/>
        </w:rPr>
        <w:t>van het Europees Parlement en d</w:t>
      </w:r>
      <w:r w:rsidRPr="000F7E7E">
        <w:rPr>
          <w:rFonts w:ascii="Verdana" w:hAnsi="Verdana"/>
          <w:sz w:val="16"/>
          <w:szCs w:val="16"/>
        </w:rPr>
        <w:t>e Raad van 20 oktober 2010 betreffende het recht op vertolking en vertaling in strafprocedures</w:t>
      </w:r>
      <w:r>
        <w:rPr>
          <w:rFonts w:ascii="Verdana" w:hAnsi="Verdana"/>
          <w:sz w:val="16"/>
          <w:szCs w:val="16"/>
        </w:rPr>
        <w:t xml:space="preserve">, </w:t>
      </w:r>
      <w:r>
        <w:rPr>
          <w:rFonts w:ascii="Verdana" w:hAnsi="Verdana" w:cs="EUAlbertina"/>
          <w:sz w:val="16"/>
          <w:szCs w:val="16"/>
        </w:rPr>
        <w:t>PbEU</w:t>
      </w:r>
      <w:r w:rsidRPr="000F7E7E">
        <w:rPr>
          <w:rFonts w:ascii="Verdana" w:hAnsi="Verdana" w:cs="EUAlbertina"/>
          <w:sz w:val="16"/>
          <w:szCs w:val="16"/>
        </w:rPr>
        <w:t xml:space="preserve"> L 280/1</w:t>
      </w:r>
      <w:r>
        <w:rPr>
          <w:rFonts w:ascii="Verdana" w:hAnsi="Verdana" w:cs="EUAlbertina"/>
          <w:sz w:val="16"/>
          <w:szCs w:val="16"/>
        </w:rPr>
        <w:t>.</w:t>
      </w:r>
    </w:p>
  </w:footnote>
  <w:footnote w:id="101">
    <w:p w:rsidR="001D1963" w:rsidRPr="000F7E7E" w:rsidRDefault="001D1963" w:rsidP="000F7E7E">
      <w:pPr>
        <w:pStyle w:val="Default"/>
        <w:rPr>
          <w:rFonts w:ascii="Verdana" w:hAnsi="Verdana" w:cs="EUAlbertina"/>
          <w:sz w:val="16"/>
          <w:szCs w:val="16"/>
        </w:rPr>
      </w:pPr>
      <w:r w:rsidRPr="000F7E7E">
        <w:rPr>
          <w:rStyle w:val="Voetnootmarkering"/>
          <w:rFonts w:ascii="Verdana" w:hAnsi="Verdana"/>
          <w:sz w:val="16"/>
          <w:szCs w:val="16"/>
        </w:rPr>
        <w:footnoteRef/>
      </w:r>
      <w:r w:rsidRPr="000F7E7E">
        <w:rPr>
          <w:rFonts w:ascii="Verdana" w:hAnsi="Verdana"/>
          <w:sz w:val="16"/>
          <w:szCs w:val="16"/>
        </w:rPr>
        <w:t xml:space="preserve"> </w:t>
      </w:r>
      <w:r w:rsidRPr="000F7E7E">
        <w:rPr>
          <w:rFonts w:ascii="Verdana" w:hAnsi="Verdana" w:cs="EUAlbertina"/>
          <w:bCs/>
          <w:sz w:val="16"/>
          <w:szCs w:val="16"/>
        </w:rPr>
        <w:t xml:space="preserve">Richtlijn 2012/13/EU van het Europees Parlement en de Raad van </w:t>
      </w:r>
      <w:r>
        <w:rPr>
          <w:rFonts w:ascii="Verdana" w:hAnsi="Verdana" w:cs="EUAlbertina"/>
          <w:bCs/>
          <w:sz w:val="16"/>
          <w:szCs w:val="16"/>
        </w:rPr>
        <w:t>22 mei</w:t>
      </w:r>
      <w:r w:rsidRPr="000F7E7E">
        <w:rPr>
          <w:rFonts w:ascii="Verdana" w:hAnsi="Verdana" w:cs="EUAlbertina"/>
          <w:bCs/>
          <w:sz w:val="16"/>
          <w:szCs w:val="16"/>
        </w:rPr>
        <w:t xml:space="preserve"> 2012</w:t>
      </w:r>
      <w:r>
        <w:rPr>
          <w:rFonts w:ascii="Verdana" w:hAnsi="Verdana" w:cs="EUAlbertina"/>
          <w:bCs/>
          <w:sz w:val="16"/>
          <w:szCs w:val="16"/>
        </w:rPr>
        <w:t xml:space="preserve"> betreffende het recht op informatie in strafprocedures, PbEU </w:t>
      </w:r>
      <w:r w:rsidRPr="000F7E7E">
        <w:rPr>
          <w:rFonts w:ascii="Verdana" w:hAnsi="Verdana" w:cs="EUAlbertina"/>
          <w:sz w:val="16"/>
          <w:szCs w:val="16"/>
        </w:rPr>
        <w:t>L 142/1</w:t>
      </w:r>
      <w:r>
        <w:rPr>
          <w:rFonts w:ascii="Verdana" w:hAnsi="Verdana" w:cs="EUAlbertina"/>
          <w:sz w:val="16"/>
          <w:szCs w:val="16"/>
        </w:rPr>
        <w:t>.</w:t>
      </w:r>
    </w:p>
  </w:footnote>
  <w:footnote w:id="102">
    <w:p w:rsidR="001D1963" w:rsidRPr="00743FC2" w:rsidRDefault="001D1963" w:rsidP="00CD2074">
      <w:pPr>
        <w:pStyle w:val="Default"/>
        <w:rPr>
          <w:rFonts w:ascii="Verdana" w:hAnsi="Verdana" w:cs="Verdana"/>
          <w:sz w:val="16"/>
          <w:szCs w:val="16"/>
        </w:rPr>
      </w:pPr>
      <w:r w:rsidRPr="00743FC2">
        <w:rPr>
          <w:rStyle w:val="Voetnootmarkering"/>
          <w:rFonts w:ascii="Verdana" w:hAnsi="Verdana"/>
          <w:sz w:val="16"/>
          <w:szCs w:val="16"/>
        </w:rPr>
        <w:footnoteRef/>
      </w:r>
      <w:r w:rsidRPr="00743FC2">
        <w:rPr>
          <w:rFonts w:ascii="Verdana" w:hAnsi="Verdana"/>
          <w:sz w:val="16"/>
          <w:szCs w:val="16"/>
        </w:rPr>
        <w:t xml:space="preserve"> </w:t>
      </w:r>
      <w:r>
        <w:rPr>
          <w:rFonts w:ascii="Verdana" w:hAnsi="Verdana" w:cs="Verdana"/>
          <w:bCs/>
          <w:sz w:val="16"/>
          <w:szCs w:val="16"/>
        </w:rPr>
        <w:t>R</w:t>
      </w:r>
      <w:r w:rsidRPr="00743FC2">
        <w:rPr>
          <w:rFonts w:ascii="Verdana" w:hAnsi="Verdana" w:cs="Verdana"/>
          <w:bCs/>
          <w:sz w:val="16"/>
          <w:szCs w:val="16"/>
        </w:rPr>
        <w:t>ichtlijn 2013/48/EU van het Europees Parlement en de Raad van 22 oktober 2013 betreffende het recht op toegang tot een advocaat in strafprocedures en in procedures ter uitvoering van een Europees aanhoudingsbevel en het recht om een derde op de hoogte te laten brengen vanaf de vrijheidsbeneming en om met derden en consulaire autoriteiten te communiceren tijdens d</w:t>
      </w:r>
      <w:r>
        <w:rPr>
          <w:rFonts w:ascii="Verdana" w:hAnsi="Verdana" w:cs="Verdana"/>
          <w:bCs/>
          <w:sz w:val="16"/>
          <w:szCs w:val="16"/>
        </w:rPr>
        <w:t>e vrijheidsbeneming, PbEU L294.</w:t>
      </w:r>
    </w:p>
  </w:footnote>
  <w:footnote w:id="103">
    <w:p w:rsidR="001D1963" w:rsidRPr="00A26515" w:rsidRDefault="001D1963" w:rsidP="009C6A3A">
      <w:pPr>
        <w:pStyle w:val="Voetnoottekst"/>
        <w:rPr>
          <w:rFonts w:ascii="Verdana" w:hAnsi="Verdana"/>
          <w:sz w:val="16"/>
          <w:szCs w:val="16"/>
        </w:rPr>
      </w:pPr>
      <w:r w:rsidRPr="00A26515">
        <w:rPr>
          <w:rStyle w:val="Voetnootmarkering"/>
          <w:rFonts w:ascii="Verdana" w:hAnsi="Verdana"/>
          <w:sz w:val="16"/>
          <w:szCs w:val="16"/>
        </w:rPr>
        <w:footnoteRef/>
      </w:r>
      <w:r w:rsidRPr="00A26515">
        <w:rPr>
          <w:rFonts w:ascii="Verdana" w:hAnsi="Verdana"/>
          <w:sz w:val="16"/>
          <w:szCs w:val="16"/>
        </w:rPr>
        <w:t xml:space="preserve"> Richtlijn 2012/29/EU van het Europees Parlement en de Raad van 25 oktober 2012 tot vaststelling van minimumnormen voor de rechten, de o</w:t>
      </w:r>
      <w:r>
        <w:rPr>
          <w:rFonts w:ascii="Verdana" w:hAnsi="Verdana"/>
          <w:sz w:val="16"/>
          <w:szCs w:val="16"/>
        </w:rPr>
        <w:t xml:space="preserve">ndersteuning en de bescherming </w:t>
      </w:r>
      <w:r w:rsidRPr="00A26515">
        <w:rPr>
          <w:rFonts w:ascii="Verdana" w:hAnsi="Verdana"/>
          <w:sz w:val="16"/>
          <w:szCs w:val="16"/>
        </w:rPr>
        <w:t>van slachtoffers van strafbare feiten, en ter vervanging van Kaderbesluit 2001/220/JBZ, PbEU L 315/57.</w:t>
      </w:r>
      <w:r>
        <w:rPr>
          <w:rFonts w:ascii="Verdana" w:hAnsi="Verdana"/>
          <w:sz w:val="16"/>
          <w:szCs w:val="16"/>
        </w:rPr>
        <w:t xml:space="preserve"> Deze richtlijn wordt thans geïmplementeerd in het wetboek van Strafvordering (zie Kamerstukken 34236).</w:t>
      </w:r>
    </w:p>
  </w:footnote>
  <w:footnote w:id="104">
    <w:p w:rsidR="001D1963" w:rsidRPr="00E11FF2" w:rsidRDefault="001D1963" w:rsidP="00E11FF2">
      <w:pPr>
        <w:pStyle w:val="Voetnoottekst"/>
        <w:rPr>
          <w:rFonts w:ascii="Verdana" w:hAnsi="Verdana"/>
          <w:sz w:val="16"/>
          <w:szCs w:val="16"/>
        </w:rPr>
      </w:pPr>
      <w:r w:rsidRPr="00E11FF2">
        <w:rPr>
          <w:rStyle w:val="Voetnootmarkering"/>
          <w:rFonts w:ascii="Verdana" w:hAnsi="Verdana"/>
          <w:sz w:val="16"/>
          <w:szCs w:val="16"/>
        </w:rPr>
        <w:footnoteRef/>
      </w:r>
      <w:r w:rsidRPr="00E11FF2">
        <w:rPr>
          <w:rFonts w:ascii="Verdana" w:hAnsi="Verdana"/>
          <w:sz w:val="16"/>
          <w:szCs w:val="16"/>
        </w:rPr>
        <w:t xml:space="preserve"> C.A.J.M. </w:t>
      </w:r>
      <w:proofErr w:type="spellStart"/>
      <w:r w:rsidRPr="00E11FF2">
        <w:rPr>
          <w:rFonts w:ascii="Verdana" w:hAnsi="Verdana"/>
          <w:sz w:val="16"/>
          <w:szCs w:val="16"/>
        </w:rPr>
        <w:t>Kortmann</w:t>
      </w:r>
      <w:proofErr w:type="spellEnd"/>
      <w:r w:rsidRPr="00E11FF2">
        <w:rPr>
          <w:rFonts w:ascii="Verdana" w:hAnsi="Verdana"/>
          <w:sz w:val="16"/>
          <w:szCs w:val="16"/>
        </w:rPr>
        <w:t xml:space="preserve">, </w:t>
      </w:r>
      <w:r w:rsidRPr="00E11FF2">
        <w:rPr>
          <w:rFonts w:ascii="Verdana" w:hAnsi="Verdana"/>
          <w:i/>
          <w:iCs/>
          <w:sz w:val="16"/>
          <w:szCs w:val="16"/>
        </w:rPr>
        <w:t>De grondwetsherzieningen 1983 en 1987</w:t>
      </w:r>
      <w:r w:rsidRPr="00E11FF2">
        <w:rPr>
          <w:rFonts w:ascii="Verdana" w:hAnsi="Verdana"/>
          <w:sz w:val="16"/>
          <w:szCs w:val="16"/>
        </w:rPr>
        <w:t>, Deventer: Kluwer 1987, p. 112.</w:t>
      </w:r>
    </w:p>
  </w:footnote>
  <w:footnote w:id="105">
    <w:p w:rsidR="001D1963" w:rsidRPr="008361D2" w:rsidRDefault="001D1963">
      <w:pPr>
        <w:pStyle w:val="Voetnoottekst"/>
        <w:rPr>
          <w:rFonts w:ascii="Verdana" w:hAnsi="Verdana"/>
          <w:sz w:val="16"/>
          <w:szCs w:val="16"/>
        </w:rPr>
      </w:pPr>
      <w:r w:rsidRPr="008361D2">
        <w:rPr>
          <w:rStyle w:val="Voetnootmarkering"/>
          <w:rFonts w:ascii="Verdana" w:hAnsi="Verdana"/>
          <w:sz w:val="16"/>
          <w:szCs w:val="16"/>
        </w:rPr>
        <w:footnoteRef/>
      </w:r>
      <w:r w:rsidRPr="008361D2">
        <w:rPr>
          <w:rFonts w:ascii="Verdana" w:hAnsi="Verdana"/>
          <w:sz w:val="16"/>
          <w:szCs w:val="16"/>
        </w:rPr>
        <w:t xml:space="preserve"> Voorstudie staatscommissie Grondwet UL 2009, p. 13, met verwijzing naar </w:t>
      </w:r>
      <w:proofErr w:type="spellStart"/>
      <w:r w:rsidRPr="008361D2">
        <w:rPr>
          <w:rFonts w:ascii="Verdana" w:hAnsi="Verdana"/>
          <w:sz w:val="16"/>
          <w:szCs w:val="16"/>
        </w:rPr>
        <w:t>Kortmann</w:t>
      </w:r>
      <w:proofErr w:type="spellEnd"/>
      <w:r w:rsidRPr="008361D2">
        <w:rPr>
          <w:rFonts w:ascii="Verdana" w:hAnsi="Verdana"/>
          <w:sz w:val="16"/>
          <w:szCs w:val="16"/>
        </w:rPr>
        <w:t xml:space="preserve"> 1987, p.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63" w:rsidRDefault="001D196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63" w:rsidRDefault="00AF4A8F">
    <w:pPr>
      <w:pStyle w:val="Koptekst"/>
    </w:pPr>
    <w:sdt>
      <w:sdtPr>
        <w:rPr>
          <w:rFonts w:asciiTheme="majorHAnsi" w:eastAsiaTheme="majorEastAsia" w:hAnsiTheme="majorHAnsi" w:cstheme="majorBidi"/>
          <w:color w:val="4F81BD" w:themeColor="accent1"/>
          <w:sz w:val="24"/>
          <w:szCs w:val="24"/>
        </w:rPr>
        <w:alias w:val="Titel"/>
        <w:id w:val="78404852"/>
        <w:placeholder>
          <w:docPart w:val="95B1C4C4841B422CB9A8ED2CE14521D3"/>
        </w:placeholder>
        <w:dataBinding w:prefixMappings="xmlns:ns0='http://schemas.openxmlformats.org/package/2006/metadata/core-properties' xmlns:ns1='http://purl.org/dc/elements/1.1/'" w:xpath="/ns0:coreProperties[1]/ns1:title[1]" w:storeItemID="{6C3C8BC8-F283-45AE-878A-BAB7291924A1}"/>
        <w:text/>
      </w:sdtPr>
      <w:sdtEndPr/>
      <w:sdtContent>
        <w:r w:rsidR="001D1963">
          <w:rPr>
            <w:rFonts w:asciiTheme="majorHAnsi" w:eastAsiaTheme="majorEastAsia" w:hAnsiTheme="majorHAnsi" w:cstheme="majorBidi"/>
            <w:color w:val="4F81BD" w:themeColor="accent1"/>
            <w:sz w:val="24"/>
            <w:szCs w:val="24"/>
          </w:rPr>
          <w:t>Memorie van Toelichting – versie Nader rapport</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63" w:rsidRDefault="001D196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C5D"/>
    <w:multiLevelType w:val="hybridMultilevel"/>
    <w:tmpl w:val="79B6B9E4"/>
    <w:lvl w:ilvl="0" w:tplc="664614F0">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81A78AA"/>
    <w:multiLevelType w:val="multilevel"/>
    <w:tmpl w:val="078A9E26"/>
    <w:styleLink w:val="Opmaakprofiel1"/>
    <w:lvl w:ilvl="0">
      <w:start w:val="2"/>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BA97D93"/>
    <w:multiLevelType w:val="multilevel"/>
    <w:tmpl w:val="A2B6A95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1D041C"/>
    <w:multiLevelType w:val="hybridMultilevel"/>
    <w:tmpl w:val="DBB2DBCE"/>
    <w:lvl w:ilvl="0" w:tplc="17E87156">
      <w:start w:val="1"/>
      <w:numFmt w:val="bullet"/>
      <w:pStyle w:val="Tiret1"/>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58506E"/>
    <w:multiLevelType w:val="multilevel"/>
    <w:tmpl w:val="8996E3A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723CBE"/>
    <w:multiLevelType w:val="hybridMultilevel"/>
    <w:tmpl w:val="2E0E4882"/>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6A27671"/>
    <w:multiLevelType w:val="hybridMultilevel"/>
    <w:tmpl w:val="6020101C"/>
    <w:lvl w:ilvl="0" w:tplc="0413000F">
      <w:start w:val="1"/>
      <w:numFmt w:val="decimal"/>
      <w:lvlText w:val="%1."/>
      <w:lvlJc w:val="left"/>
      <w:pPr>
        <w:ind w:left="720" w:hanging="360"/>
      </w:pPr>
      <w:rPr>
        <w:rFonts w:cs="Times New Roman" w:hint="default"/>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FB22D9E"/>
    <w:multiLevelType w:val="multilevel"/>
    <w:tmpl w:val="975299D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680473"/>
    <w:multiLevelType w:val="hybridMultilevel"/>
    <w:tmpl w:val="A0486172"/>
    <w:lvl w:ilvl="0" w:tplc="0E58B3E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27F7783E"/>
    <w:multiLevelType w:val="multilevel"/>
    <w:tmpl w:val="4B7AD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9D3D11"/>
    <w:multiLevelType w:val="hybridMultilevel"/>
    <w:tmpl w:val="E200AD46"/>
    <w:lvl w:ilvl="0" w:tplc="0AF6C2D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783E5F"/>
    <w:multiLevelType w:val="hybridMultilevel"/>
    <w:tmpl w:val="1AB866DC"/>
    <w:lvl w:ilvl="0" w:tplc="C568D530">
      <w:start w:val="1"/>
      <w:numFmt w:val="lowerLetter"/>
      <w:lvlText w:val="%1."/>
      <w:lvlJc w:val="left"/>
      <w:pPr>
        <w:tabs>
          <w:tab w:val="num" w:pos="720"/>
        </w:tabs>
        <w:ind w:left="720" w:hanging="360"/>
      </w:pPr>
    </w:lvl>
    <w:lvl w:ilvl="1" w:tplc="EED856C0">
      <w:start w:val="1"/>
      <w:numFmt w:val="bullet"/>
      <w:lvlText w:val=""/>
      <w:lvlJc w:val="left"/>
      <w:pPr>
        <w:tabs>
          <w:tab w:val="num" w:pos="1440"/>
        </w:tabs>
        <w:ind w:left="1440" w:hanging="360"/>
      </w:pPr>
      <w:rPr>
        <w:rFonts w:ascii="Symbol" w:hAnsi="Symbol" w:hint="default"/>
        <w:color w:val="auto"/>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2">
    <w:nsid w:val="47036F7B"/>
    <w:multiLevelType w:val="multilevel"/>
    <w:tmpl w:val="A2146F3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49DC5351"/>
    <w:multiLevelType w:val="multilevel"/>
    <w:tmpl w:val="19E493F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BE437C3"/>
    <w:multiLevelType w:val="multilevel"/>
    <w:tmpl w:val="285810F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DF627DB"/>
    <w:multiLevelType w:val="multilevel"/>
    <w:tmpl w:val="4AF4DA1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34C5B6F"/>
    <w:multiLevelType w:val="multilevel"/>
    <w:tmpl w:val="078A9E26"/>
    <w:lvl w:ilvl="0">
      <w:start w:val="1"/>
      <w:numFmt w:val="upperRoman"/>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573B316A"/>
    <w:multiLevelType w:val="multilevel"/>
    <w:tmpl w:val="E5A2F8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C782732"/>
    <w:multiLevelType w:val="multilevel"/>
    <w:tmpl w:val="AFC6ABD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FC2626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4460DE3"/>
    <w:multiLevelType w:val="hybridMultilevel"/>
    <w:tmpl w:val="70443F78"/>
    <w:lvl w:ilvl="0" w:tplc="55ECBC0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65AA01E9"/>
    <w:multiLevelType w:val="hybridMultilevel"/>
    <w:tmpl w:val="85BAD7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66035005"/>
    <w:multiLevelType w:val="hybridMultilevel"/>
    <w:tmpl w:val="14B49F98"/>
    <w:lvl w:ilvl="0" w:tplc="083A1716">
      <w:start w:val="1"/>
      <w:numFmt w:val="bullet"/>
      <w:lvlText w:val="-"/>
      <w:lvlJc w:val="left"/>
      <w:pPr>
        <w:ind w:left="108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BD92309"/>
    <w:multiLevelType w:val="hybridMultilevel"/>
    <w:tmpl w:val="11740364"/>
    <w:lvl w:ilvl="0" w:tplc="3E3E3B8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5470893"/>
    <w:multiLevelType w:val="hybridMultilevel"/>
    <w:tmpl w:val="0A1C48DE"/>
    <w:lvl w:ilvl="0" w:tplc="84E26AF0">
      <w:start w:val="2"/>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75965243"/>
    <w:multiLevelType w:val="multilevel"/>
    <w:tmpl w:val="078A9E26"/>
    <w:lvl w:ilvl="0">
      <w:start w:val="1"/>
      <w:numFmt w:val="upperRoman"/>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796161CD"/>
    <w:multiLevelType w:val="hybridMultilevel"/>
    <w:tmpl w:val="71B21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7C5C15"/>
    <w:multiLevelType w:val="multilevel"/>
    <w:tmpl w:val="9270797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A491E2B"/>
    <w:multiLevelType w:val="multilevel"/>
    <w:tmpl w:val="167E3A2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23"/>
  </w:num>
  <w:num w:numId="3">
    <w:abstractNumId w:val="6"/>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5"/>
  </w:num>
  <w:num w:numId="8">
    <w:abstractNumId w:val="17"/>
  </w:num>
  <w:num w:numId="9">
    <w:abstractNumId w:val="4"/>
  </w:num>
  <w:num w:numId="10">
    <w:abstractNumId w:val="13"/>
  </w:num>
  <w:num w:numId="11">
    <w:abstractNumId w:val="18"/>
  </w:num>
  <w:num w:numId="12">
    <w:abstractNumId w:val="15"/>
  </w:num>
  <w:num w:numId="13">
    <w:abstractNumId w:val="26"/>
  </w:num>
  <w:num w:numId="14">
    <w:abstractNumId w:val="10"/>
  </w:num>
  <w:num w:numId="15">
    <w:abstractNumId w:val="28"/>
  </w:num>
  <w:num w:numId="16">
    <w:abstractNumId w:val="19"/>
  </w:num>
  <w:num w:numId="17">
    <w:abstractNumId w:val="24"/>
  </w:num>
  <w:num w:numId="18">
    <w:abstractNumId w:val="20"/>
  </w:num>
  <w:num w:numId="19">
    <w:abstractNumId w:val="21"/>
  </w:num>
  <w:num w:numId="20">
    <w:abstractNumId w:val="2"/>
  </w:num>
  <w:num w:numId="21">
    <w:abstractNumId w:val="27"/>
  </w:num>
  <w:num w:numId="22">
    <w:abstractNumId w:val="7"/>
  </w:num>
  <w:num w:numId="23">
    <w:abstractNumId w:val="8"/>
  </w:num>
  <w:num w:numId="24">
    <w:abstractNumId w:val="16"/>
  </w:num>
  <w:num w:numId="25">
    <w:abstractNumId w:val="0"/>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87"/>
    <w:rsid w:val="000000C2"/>
    <w:rsid w:val="00000601"/>
    <w:rsid w:val="00002F87"/>
    <w:rsid w:val="0000324F"/>
    <w:rsid w:val="0000337B"/>
    <w:rsid w:val="0000446B"/>
    <w:rsid w:val="0000584F"/>
    <w:rsid w:val="00005C32"/>
    <w:rsid w:val="00011042"/>
    <w:rsid w:val="00011098"/>
    <w:rsid w:val="00014336"/>
    <w:rsid w:val="0001692F"/>
    <w:rsid w:val="00020290"/>
    <w:rsid w:val="00021F5D"/>
    <w:rsid w:val="00022188"/>
    <w:rsid w:val="000227D8"/>
    <w:rsid w:val="00023E76"/>
    <w:rsid w:val="00024036"/>
    <w:rsid w:val="00027CF0"/>
    <w:rsid w:val="00027E4E"/>
    <w:rsid w:val="00030CF8"/>
    <w:rsid w:val="00030D41"/>
    <w:rsid w:val="00030F4B"/>
    <w:rsid w:val="00032AD4"/>
    <w:rsid w:val="00037389"/>
    <w:rsid w:val="00037BE4"/>
    <w:rsid w:val="00040176"/>
    <w:rsid w:val="00042C8F"/>
    <w:rsid w:val="000434D3"/>
    <w:rsid w:val="00043559"/>
    <w:rsid w:val="00044142"/>
    <w:rsid w:val="00044840"/>
    <w:rsid w:val="00050497"/>
    <w:rsid w:val="00052ACA"/>
    <w:rsid w:val="00053A1E"/>
    <w:rsid w:val="00055DDC"/>
    <w:rsid w:val="00056D80"/>
    <w:rsid w:val="00057223"/>
    <w:rsid w:val="000579D8"/>
    <w:rsid w:val="000629F3"/>
    <w:rsid w:val="00064C71"/>
    <w:rsid w:val="00066ACD"/>
    <w:rsid w:val="00067B10"/>
    <w:rsid w:val="00071AB5"/>
    <w:rsid w:val="00072EB4"/>
    <w:rsid w:val="00077E92"/>
    <w:rsid w:val="00084724"/>
    <w:rsid w:val="000868D5"/>
    <w:rsid w:val="000906AF"/>
    <w:rsid w:val="00091078"/>
    <w:rsid w:val="00091BE1"/>
    <w:rsid w:val="000950D4"/>
    <w:rsid w:val="000970FF"/>
    <w:rsid w:val="000A2559"/>
    <w:rsid w:val="000A2AF1"/>
    <w:rsid w:val="000A5244"/>
    <w:rsid w:val="000A553F"/>
    <w:rsid w:val="000A62EF"/>
    <w:rsid w:val="000A6B9C"/>
    <w:rsid w:val="000B162D"/>
    <w:rsid w:val="000B2CAA"/>
    <w:rsid w:val="000B3546"/>
    <w:rsid w:val="000B499D"/>
    <w:rsid w:val="000B5DC1"/>
    <w:rsid w:val="000B63A9"/>
    <w:rsid w:val="000C04AE"/>
    <w:rsid w:val="000C1AE7"/>
    <w:rsid w:val="000C2424"/>
    <w:rsid w:val="000C2CEF"/>
    <w:rsid w:val="000C405F"/>
    <w:rsid w:val="000C4A4D"/>
    <w:rsid w:val="000C7F9C"/>
    <w:rsid w:val="000D13C5"/>
    <w:rsid w:val="000D2758"/>
    <w:rsid w:val="000D2D8D"/>
    <w:rsid w:val="000D6131"/>
    <w:rsid w:val="000E02D0"/>
    <w:rsid w:val="000E09FA"/>
    <w:rsid w:val="000E0A50"/>
    <w:rsid w:val="000E11D7"/>
    <w:rsid w:val="000E14A0"/>
    <w:rsid w:val="000E4F13"/>
    <w:rsid w:val="000F3C77"/>
    <w:rsid w:val="000F69F4"/>
    <w:rsid w:val="000F7179"/>
    <w:rsid w:val="000F7E7E"/>
    <w:rsid w:val="00101459"/>
    <w:rsid w:val="00101DB5"/>
    <w:rsid w:val="00104F4C"/>
    <w:rsid w:val="0010530B"/>
    <w:rsid w:val="001053B3"/>
    <w:rsid w:val="0010652A"/>
    <w:rsid w:val="001078F3"/>
    <w:rsid w:val="00111C45"/>
    <w:rsid w:val="001127D1"/>
    <w:rsid w:val="001143CD"/>
    <w:rsid w:val="00114C0B"/>
    <w:rsid w:val="0011593C"/>
    <w:rsid w:val="00120364"/>
    <w:rsid w:val="00120F4E"/>
    <w:rsid w:val="00124E40"/>
    <w:rsid w:val="001250E8"/>
    <w:rsid w:val="00127770"/>
    <w:rsid w:val="0013082A"/>
    <w:rsid w:val="0013172E"/>
    <w:rsid w:val="00135A5C"/>
    <w:rsid w:val="001419D6"/>
    <w:rsid w:val="001419E2"/>
    <w:rsid w:val="00144B9E"/>
    <w:rsid w:val="001506AF"/>
    <w:rsid w:val="00151119"/>
    <w:rsid w:val="00152159"/>
    <w:rsid w:val="001524A6"/>
    <w:rsid w:val="00152AF6"/>
    <w:rsid w:val="00154E53"/>
    <w:rsid w:val="00156206"/>
    <w:rsid w:val="001607CC"/>
    <w:rsid w:val="00161507"/>
    <w:rsid w:val="00166EA1"/>
    <w:rsid w:val="0016734B"/>
    <w:rsid w:val="001702A8"/>
    <w:rsid w:val="0017114E"/>
    <w:rsid w:val="001729A1"/>
    <w:rsid w:val="00172E72"/>
    <w:rsid w:val="00174851"/>
    <w:rsid w:val="00175DE1"/>
    <w:rsid w:val="001767DE"/>
    <w:rsid w:val="00177401"/>
    <w:rsid w:val="001816C6"/>
    <w:rsid w:val="001821CE"/>
    <w:rsid w:val="0018369F"/>
    <w:rsid w:val="00183C7E"/>
    <w:rsid w:val="00183FE5"/>
    <w:rsid w:val="00190A77"/>
    <w:rsid w:val="00193FBA"/>
    <w:rsid w:val="001A0033"/>
    <w:rsid w:val="001A0899"/>
    <w:rsid w:val="001A0F09"/>
    <w:rsid w:val="001A231F"/>
    <w:rsid w:val="001A26DB"/>
    <w:rsid w:val="001A2D28"/>
    <w:rsid w:val="001A4C3D"/>
    <w:rsid w:val="001A6485"/>
    <w:rsid w:val="001A6C84"/>
    <w:rsid w:val="001A7A98"/>
    <w:rsid w:val="001B13E6"/>
    <w:rsid w:val="001B7B3B"/>
    <w:rsid w:val="001C0571"/>
    <w:rsid w:val="001C4DA5"/>
    <w:rsid w:val="001C6A43"/>
    <w:rsid w:val="001D0F74"/>
    <w:rsid w:val="001D1963"/>
    <w:rsid w:val="001D46BB"/>
    <w:rsid w:val="001D49D6"/>
    <w:rsid w:val="001D54C3"/>
    <w:rsid w:val="001D7B6D"/>
    <w:rsid w:val="001E3278"/>
    <w:rsid w:val="001E5506"/>
    <w:rsid w:val="001F0059"/>
    <w:rsid w:val="001F6636"/>
    <w:rsid w:val="001F79A4"/>
    <w:rsid w:val="00202251"/>
    <w:rsid w:val="00203B2C"/>
    <w:rsid w:val="00205300"/>
    <w:rsid w:val="00205A5D"/>
    <w:rsid w:val="00212567"/>
    <w:rsid w:val="00216262"/>
    <w:rsid w:val="00216CDC"/>
    <w:rsid w:val="00217D31"/>
    <w:rsid w:val="002240C0"/>
    <w:rsid w:val="00224470"/>
    <w:rsid w:val="002250AA"/>
    <w:rsid w:val="00225679"/>
    <w:rsid w:val="00225B90"/>
    <w:rsid w:val="0022620C"/>
    <w:rsid w:val="00231D07"/>
    <w:rsid w:val="00242BDC"/>
    <w:rsid w:val="00242D19"/>
    <w:rsid w:val="00243163"/>
    <w:rsid w:val="00243898"/>
    <w:rsid w:val="002439EE"/>
    <w:rsid w:val="00245940"/>
    <w:rsid w:val="00250F57"/>
    <w:rsid w:val="0025121C"/>
    <w:rsid w:val="00251FC1"/>
    <w:rsid w:val="00254A77"/>
    <w:rsid w:val="00256AC3"/>
    <w:rsid w:val="002576D6"/>
    <w:rsid w:val="00262D39"/>
    <w:rsid w:val="00262FED"/>
    <w:rsid w:val="00267155"/>
    <w:rsid w:val="002729C7"/>
    <w:rsid w:val="0027398E"/>
    <w:rsid w:val="0027442F"/>
    <w:rsid w:val="00274A2F"/>
    <w:rsid w:val="00274D6C"/>
    <w:rsid w:val="0027537D"/>
    <w:rsid w:val="0028017B"/>
    <w:rsid w:val="00280B79"/>
    <w:rsid w:val="00281C8C"/>
    <w:rsid w:val="0028353A"/>
    <w:rsid w:val="00284432"/>
    <w:rsid w:val="0028560A"/>
    <w:rsid w:val="00286591"/>
    <w:rsid w:val="00290B7B"/>
    <w:rsid w:val="00290CD8"/>
    <w:rsid w:val="00292DE0"/>
    <w:rsid w:val="002952A1"/>
    <w:rsid w:val="00296568"/>
    <w:rsid w:val="002A2A9D"/>
    <w:rsid w:val="002A3114"/>
    <w:rsid w:val="002A52B4"/>
    <w:rsid w:val="002A60F5"/>
    <w:rsid w:val="002A6DB7"/>
    <w:rsid w:val="002A7CA8"/>
    <w:rsid w:val="002A7FB5"/>
    <w:rsid w:val="002B00DD"/>
    <w:rsid w:val="002B1218"/>
    <w:rsid w:val="002B38CF"/>
    <w:rsid w:val="002B3B74"/>
    <w:rsid w:val="002B42E6"/>
    <w:rsid w:val="002B53EC"/>
    <w:rsid w:val="002B7F5C"/>
    <w:rsid w:val="002C26BD"/>
    <w:rsid w:val="002C41FE"/>
    <w:rsid w:val="002C6CCB"/>
    <w:rsid w:val="002D09B5"/>
    <w:rsid w:val="002D3187"/>
    <w:rsid w:val="002D6331"/>
    <w:rsid w:val="002D675E"/>
    <w:rsid w:val="002D7D92"/>
    <w:rsid w:val="002E0237"/>
    <w:rsid w:val="002E0A34"/>
    <w:rsid w:val="002E4607"/>
    <w:rsid w:val="002F03C6"/>
    <w:rsid w:val="002F0A6E"/>
    <w:rsid w:val="002F1350"/>
    <w:rsid w:val="002F7033"/>
    <w:rsid w:val="00302CD1"/>
    <w:rsid w:val="00304791"/>
    <w:rsid w:val="0030657C"/>
    <w:rsid w:val="00306A73"/>
    <w:rsid w:val="003109AA"/>
    <w:rsid w:val="00313DE5"/>
    <w:rsid w:val="003161AF"/>
    <w:rsid w:val="003163E8"/>
    <w:rsid w:val="003202AB"/>
    <w:rsid w:val="00321C2D"/>
    <w:rsid w:val="0032294E"/>
    <w:rsid w:val="00322D58"/>
    <w:rsid w:val="003251C5"/>
    <w:rsid w:val="00327E6D"/>
    <w:rsid w:val="00330583"/>
    <w:rsid w:val="00332085"/>
    <w:rsid w:val="00332BC8"/>
    <w:rsid w:val="00334416"/>
    <w:rsid w:val="00334D87"/>
    <w:rsid w:val="00336640"/>
    <w:rsid w:val="00336868"/>
    <w:rsid w:val="00336FA0"/>
    <w:rsid w:val="003373B1"/>
    <w:rsid w:val="00337A28"/>
    <w:rsid w:val="00337E63"/>
    <w:rsid w:val="00340708"/>
    <w:rsid w:val="00341F40"/>
    <w:rsid w:val="00344367"/>
    <w:rsid w:val="00346968"/>
    <w:rsid w:val="00346A35"/>
    <w:rsid w:val="00350500"/>
    <w:rsid w:val="003527F4"/>
    <w:rsid w:val="00352FCD"/>
    <w:rsid w:val="0035323F"/>
    <w:rsid w:val="00354383"/>
    <w:rsid w:val="00354823"/>
    <w:rsid w:val="00355444"/>
    <w:rsid w:val="003560F3"/>
    <w:rsid w:val="00361A0B"/>
    <w:rsid w:val="00362206"/>
    <w:rsid w:val="00363302"/>
    <w:rsid w:val="00367AC2"/>
    <w:rsid w:val="003719C5"/>
    <w:rsid w:val="003721F5"/>
    <w:rsid w:val="003779BF"/>
    <w:rsid w:val="00377C4D"/>
    <w:rsid w:val="00377E39"/>
    <w:rsid w:val="00380F0A"/>
    <w:rsid w:val="003831E9"/>
    <w:rsid w:val="00383941"/>
    <w:rsid w:val="00386322"/>
    <w:rsid w:val="0039092D"/>
    <w:rsid w:val="00391939"/>
    <w:rsid w:val="00392D45"/>
    <w:rsid w:val="003949C5"/>
    <w:rsid w:val="003961FF"/>
    <w:rsid w:val="003A1557"/>
    <w:rsid w:val="003A35B3"/>
    <w:rsid w:val="003A35E4"/>
    <w:rsid w:val="003A3647"/>
    <w:rsid w:val="003A5823"/>
    <w:rsid w:val="003A77DC"/>
    <w:rsid w:val="003B1190"/>
    <w:rsid w:val="003B43CC"/>
    <w:rsid w:val="003B7592"/>
    <w:rsid w:val="003B7F13"/>
    <w:rsid w:val="003C1251"/>
    <w:rsid w:val="003C2EC7"/>
    <w:rsid w:val="003C360E"/>
    <w:rsid w:val="003C4059"/>
    <w:rsid w:val="003C45E9"/>
    <w:rsid w:val="003C7913"/>
    <w:rsid w:val="003D2C73"/>
    <w:rsid w:val="003D2E38"/>
    <w:rsid w:val="003D7B16"/>
    <w:rsid w:val="003D7E50"/>
    <w:rsid w:val="003E3AB3"/>
    <w:rsid w:val="003F0F51"/>
    <w:rsid w:val="003F20B8"/>
    <w:rsid w:val="003F3254"/>
    <w:rsid w:val="003F5855"/>
    <w:rsid w:val="004024FE"/>
    <w:rsid w:val="00402AC6"/>
    <w:rsid w:val="00402EE6"/>
    <w:rsid w:val="0040411B"/>
    <w:rsid w:val="0040551C"/>
    <w:rsid w:val="004055A9"/>
    <w:rsid w:val="0040704D"/>
    <w:rsid w:val="004071D7"/>
    <w:rsid w:val="00410646"/>
    <w:rsid w:val="0041084E"/>
    <w:rsid w:val="004118F2"/>
    <w:rsid w:val="00415BB8"/>
    <w:rsid w:val="00415DFC"/>
    <w:rsid w:val="00425DF0"/>
    <w:rsid w:val="00426CD3"/>
    <w:rsid w:val="00432C4C"/>
    <w:rsid w:val="004348B4"/>
    <w:rsid w:val="0043520A"/>
    <w:rsid w:val="00436B28"/>
    <w:rsid w:val="0043747E"/>
    <w:rsid w:val="004405C7"/>
    <w:rsid w:val="00443CCF"/>
    <w:rsid w:val="0044423E"/>
    <w:rsid w:val="00444247"/>
    <w:rsid w:val="00445530"/>
    <w:rsid w:val="00446DA9"/>
    <w:rsid w:val="0044777E"/>
    <w:rsid w:val="004507F6"/>
    <w:rsid w:val="00451AE9"/>
    <w:rsid w:val="00453512"/>
    <w:rsid w:val="00456DB7"/>
    <w:rsid w:val="00460DA6"/>
    <w:rsid w:val="004610F0"/>
    <w:rsid w:val="00461592"/>
    <w:rsid w:val="00462646"/>
    <w:rsid w:val="00462A1C"/>
    <w:rsid w:val="004632F7"/>
    <w:rsid w:val="004634C7"/>
    <w:rsid w:val="004649A2"/>
    <w:rsid w:val="00464A5B"/>
    <w:rsid w:val="004654D4"/>
    <w:rsid w:val="004668E8"/>
    <w:rsid w:val="0046770F"/>
    <w:rsid w:val="00467CD7"/>
    <w:rsid w:val="00470368"/>
    <w:rsid w:val="00470D23"/>
    <w:rsid w:val="004713F4"/>
    <w:rsid w:val="004724A2"/>
    <w:rsid w:val="004736C7"/>
    <w:rsid w:val="004752E3"/>
    <w:rsid w:val="00476241"/>
    <w:rsid w:val="00480B6F"/>
    <w:rsid w:val="00480CB3"/>
    <w:rsid w:val="004847D9"/>
    <w:rsid w:val="00484AE9"/>
    <w:rsid w:val="00485997"/>
    <w:rsid w:val="004871E5"/>
    <w:rsid w:val="00487FB8"/>
    <w:rsid w:val="00490E54"/>
    <w:rsid w:val="00494EC4"/>
    <w:rsid w:val="004A2F3C"/>
    <w:rsid w:val="004B138A"/>
    <w:rsid w:val="004B4FA1"/>
    <w:rsid w:val="004B6B1D"/>
    <w:rsid w:val="004C2909"/>
    <w:rsid w:val="004C2A14"/>
    <w:rsid w:val="004C682C"/>
    <w:rsid w:val="004C7897"/>
    <w:rsid w:val="004D0A5A"/>
    <w:rsid w:val="004D1860"/>
    <w:rsid w:val="004D3013"/>
    <w:rsid w:val="004E4A8A"/>
    <w:rsid w:val="004F2408"/>
    <w:rsid w:val="004F288B"/>
    <w:rsid w:val="004F47A7"/>
    <w:rsid w:val="004F5720"/>
    <w:rsid w:val="004F74E5"/>
    <w:rsid w:val="00501970"/>
    <w:rsid w:val="00501A03"/>
    <w:rsid w:val="00502FB7"/>
    <w:rsid w:val="005039A3"/>
    <w:rsid w:val="00504264"/>
    <w:rsid w:val="00504F3B"/>
    <w:rsid w:val="005127A6"/>
    <w:rsid w:val="00513032"/>
    <w:rsid w:val="00513D73"/>
    <w:rsid w:val="005148C7"/>
    <w:rsid w:val="0051623E"/>
    <w:rsid w:val="0052029D"/>
    <w:rsid w:val="00521D72"/>
    <w:rsid w:val="005273E4"/>
    <w:rsid w:val="00527C93"/>
    <w:rsid w:val="00530422"/>
    <w:rsid w:val="00530D27"/>
    <w:rsid w:val="00531F87"/>
    <w:rsid w:val="00536C3E"/>
    <w:rsid w:val="00542AA4"/>
    <w:rsid w:val="00542BDC"/>
    <w:rsid w:val="005457BD"/>
    <w:rsid w:val="0054603F"/>
    <w:rsid w:val="0055083C"/>
    <w:rsid w:val="0055110D"/>
    <w:rsid w:val="00551981"/>
    <w:rsid w:val="005548D1"/>
    <w:rsid w:val="00555A55"/>
    <w:rsid w:val="0055679C"/>
    <w:rsid w:val="00560EB0"/>
    <w:rsid w:val="00562BE3"/>
    <w:rsid w:val="005632C8"/>
    <w:rsid w:val="00565A3B"/>
    <w:rsid w:val="005703E3"/>
    <w:rsid w:val="00570D3F"/>
    <w:rsid w:val="00570E03"/>
    <w:rsid w:val="00571FE4"/>
    <w:rsid w:val="0057257F"/>
    <w:rsid w:val="005768B9"/>
    <w:rsid w:val="00576AAA"/>
    <w:rsid w:val="0058029C"/>
    <w:rsid w:val="00580CCE"/>
    <w:rsid w:val="00582384"/>
    <w:rsid w:val="005838DD"/>
    <w:rsid w:val="00585ECB"/>
    <w:rsid w:val="00587C4D"/>
    <w:rsid w:val="005924EB"/>
    <w:rsid w:val="00592A6E"/>
    <w:rsid w:val="00595421"/>
    <w:rsid w:val="005A1E24"/>
    <w:rsid w:val="005A4141"/>
    <w:rsid w:val="005A4388"/>
    <w:rsid w:val="005A54AF"/>
    <w:rsid w:val="005A5C9D"/>
    <w:rsid w:val="005A6622"/>
    <w:rsid w:val="005B0753"/>
    <w:rsid w:val="005B3555"/>
    <w:rsid w:val="005B499A"/>
    <w:rsid w:val="005B5DCB"/>
    <w:rsid w:val="005B6C60"/>
    <w:rsid w:val="005B7032"/>
    <w:rsid w:val="005B713E"/>
    <w:rsid w:val="005C017E"/>
    <w:rsid w:val="005C04A2"/>
    <w:rsid w:val="005C07F0"/>
    <w:rsid w:val="005C0E0E"/>
    <w:rsid w:val="005C5DB5"/>
    <w:rsid w:val="005C6EF5"/>
    <w:rsid w:val="005C7C73"/>
    <w:rsid w:val="005D011F"/>
    <w:rsid w:val="005D079F"/>
    <w:rsid w:val="005D1565"/>
    <w:rsid w:val="005D1E8B"/>
    <w:rsid w:val="005D54B2"/>
    <w:rsid w:val="005D7F9D"/>
    <w:rsid w:val="005E2CFA"/>
    <w:rsid w:val="005E5E54"/>
    <w:rsid w:val="005E61DD"/>
    <w:rsid w:val="005E6A92"/>
    <w:rsid w:val="005F3FB7"/>
    <w:rsid w:val="005F44ED"/>
    <w:rsid w:val="005F5C9F"/>
    <w:rsid w:val="00601668"/>
    <w:rsid w:val="00601F37"/>
    <w:rsid w:val="00603B01"/>
    <w:rsid w:val="00604042"/>
    <w:rsid w:val="00604B79"/>
    <w:rsid w:val="00605688"/>
    <w:rsid w:val="006104B1"/>
    <w:rsid w:val="00612BA5"/>
    <w:rsid w:val="00613771"/>
    <w:rsid w:val="006149D8"/>
    <w:rsid w:val="0061575D"/>
    <w:rsid w:val="0062374E"/>
    <w:rsid w:val="00624A60"/>
    <w:rsid w:val="0062756D"/>
    <w:rsid w:val="006323F2"/>
    <w:rsid w:val="006339DC"/>
    <w:rsid w:val="00635AAF"/>
    <w:rsid w:val="00640819"/>
    <w:rsid w:val="00640E7D"/>
    <w:rsid w:val="0064227D"/>
    <w:rsid w:val="00642DB2"/>
    <w:rsid w:val="00643644"/>
    <w:rsid w:val="00646765"/>
    <w:rsid w:val="00646931"/>
    <w:rsid w:val="006473D3"/>
    <w:rsid w:val="0065011F"/>
    <w:rsid w:val="0065293C"/>
    <w:rsid w:val="00652A67"/>
    <w:rsid w:val="00653B37"/>
    <w:rsid w:val="00655831"/>
    <w:rsid w:val="006570F9"/>
    <w:rsid w:val="006725FA"/>
    <w:rsid w:val="00675ADD"/>
    <w:rsid w:val="00677936"/>
    <w:rsid w:val="00682E8D"/>
    <w:rsid w:val="00690131"/>
    <w:rsid w:val="006920D4"/>
    <w:rsid w:val="006A4201"/>
    <w:rsid w:val="006A6FD7"/>
    <w:rsid w:val="006A7600"/>
    <w:rsid w:val="006B3EC4"/>
    <w:rsid w:val="006B4276"/>
    <w:rsid w:val="006B4FE0"/>
    <w:rsid w:val="006B620C"/>
    <w:rsid w:val="006C0007"/>
    <w:rsid w:val="006C21FD"/>
    <w:rsid w:val="006C23AB"/>
    <w:rsid w:val="006C6908"/>
    <w:rsid w:val="006C6FC6"/>
    <w:rsid w:val="006D1693"/>
    <w:rsid w:val="006D1B78"/>
    <w:rsid w:val="006D2007"/>
    <w:rsid w:val="006D4001"/>
    <w:rsid w:val="006D6C66"/>
    <w:rsid w:val="006D7923"/>
    <w:rsid w:val="006D7F8A"/>
    <w:rsid w:val="006E00AC"/>
    <w:rsid w:val="006E0ABC"/>
    <w:rsid w:val="006E1F3A"/>
    <w:rsid w:val="006E48EA"/>
    <w:rsid w:val="006E48F9"/>
    <w:rsid w:val="006E71A4"/>
    <w:rsid w:val="006F040F"/>
    <w:rsid w:val="006F1FB9"/>
    <w:rsid w:val="006F2322"/>
    <w:rsid w:val="006F6744"/>
    <w:rsid w:val="006F74B8"/>
    <w:rsid w:val="00701428"/>
    <w:rsid w:val="007046A7"/>
    <w:rsid w:val="00707327"/>
    <w:rsid w:val="00711016"/>
    <w:rsid w:val="00712F5E"/>
    <w:rsid w:val="00720797"/>
    <w:rsid w:val="00720B32"/>
    <w:rsid w:val="00722130"/>
    <w:rsid w:val="007251A6"/>
    <w:rsid w:val="00726491"/>
    <w:rsid w:val="00727CC8"/>
    <w:rsid w:val="00731951"/>
    <w:rsid w:val="00734442"/>
    <w:rsid w:val="00735C46"/>
    <w:rsid w:val="0073756C"/>
    <w:rsid w:val="00743FC2"/>
    <w:rsid w:val="0074474F"/>
    <w:rsid w:val="00747001"/>
    <w:rsid w:val="00750218"/>
    <w:rsid w:val="00751269"/>
    <w:rsid w:val="0075524C"/>
    <w:rsid w:val="00757E0D"/>
    <w:rsid w:val="0076017D"/>
    <w:rsid w:val="0076226B"/>
    <w:rsid w:val="00764FCF"/>
    <w:rsid w:val="00766B8F"/>
    <w:rsid w:val="00766D14"/>
    <w:rsid w:val="00771435"/>
    <w:rsid w:val="00773BF5"/>
    <w:rsid w:val="00775BDB"/>
    <w:rsid w:val="00777639"/>
    <w:rsid w:val="007779FF"/>
    <w:rsid w:val="007809A5"/>
    <w:rsid w:val="007847CB"/>
    <w:rsid w:val="00784C13"/>
    <w:rsid w:val="007863A8"/>
    <w:rsid w:val="00786525"/>
    <w:rsid w:val="00786A97"/>
    <w:rsid w:val="00787895"/>
    <w:rsid w:val="00787D5C"/>
    <w:rsid w:val="0079021B"/>
    <w:rsid w:val="00791071"/>
    <w:rsid w:val="00793C78"/>
    <w:rsid w:val="00796C88"/>
    <w:rsid w:val="007A0BBA"/>
    <w:rsid w:val="007A5526"/>
    <w:rsid w:val="007B5CB5"/>
    <w:rsid w:val="007B6B1B"/>
    <w:rsid w:val="007C1190"/>
    <w:rsid w:val="007C3F35"/>
    <w:rsid w:val="007C3F44"/>
    <w:rsid w:val="007C6C2E"/>
    <w:rsid w:val="007D61EB"/>
    <w:rsid w:val="007D7BCE"/>
    <w:rsid w:val="007E041C"/>
    <w:rsid w:val="007E4E22"/>
    <w:rsid w:val="007E5656"/>
    <w:rsid w:val="007E5E3D"/>
    <w:rsid w:val="007E65EA"/>
    <w:rsid w:val="007F0661"/>
    <w:rsid w:val="007F4FCE"/>
    <w:rsid w:val="007F76B8"/>
    <w:rsid w:val="00800497"/>
    <w:rsid w:val="008033BD"/>
    <w:rsid w:val="00805A5D"/>
    <w:rsid w:val="00805E3D"/>
    <w:rsid w:val="00810C6E"/>
    <w:rsid w:val="00810E42"/>
    <w:rsid w:val="0081445C"/>
    <w:rsid w:val="00814AB0"/>
    <w:rsid w:val="00814BCA"/>
    <w:rsid w:val="008165C5"/>
    <w:rsid w:val="008176F4"/>
    <w:rsid w:val="00820970"/>
    <w:rsid w:val="00820E3B"/>
    <w:rsid w:val="0082306D"/>
    <w:rsid w:val="00823A6F"/>
    <w:rsid w:val="008271DA"/>
    <w:rsid w:val="008361D2"/>
    <w:rsid w:val="0083680F"/>
    <w:rsid w:val="0083689B"/>
    <w:rsid w:val="00841282"/>
    <w:rsid w:val="0084140A"/>
    <w:rsid w:val="00841E29"/>
    <w:rsid w:val="00842706"/>
    <w:rsid w:val="00842804"/>
    <w:rsid w:val="00842AFB"/>
    <w:rsid w:val="00845BEE"/>
    <w:rsid w:val="008466ED"/>
    <w:rsid w:val="00847D28"/>
    <w:rsid w:val="008504B3"/>
    <w:rsid w:val="00853266"/>
    <w:rsid w:val="0085406F"/>
    <w:rsid w:val="00854FA6"/>
    <w:rsid w:val="00855058"/>
    <w:rsid w:val="00855F95"/>
    <w:rsid w:val="00860C6E"/>
    <w:rsid w:val="008618D0"/>
    <w:rsid w:val="00861AFF"/>
    <w:rsid w:val="00864284"/>
    <w:rsid w:val="008652C4"/>
    <w:rsid w:val="00866339"/>
    <w:rsid w:val="00867650"/>
    <w:rsid w:val="00870BB6"/>
    <w:rsid w:val="00874C83"/>
    <w:rsid w:val="00881A08"/>
    <w:rsid w:val="00882C6C"/>
    <w:rsid w:val="00882CD4"/>
    <w:rsid w:val="0088478C"/>
    <w:rsid w:val="00885F3A"/>
    <w:rsid w:val="00891105"/>
    <w:rsid w:val="008931A4"/>
    <w:rsid w:val="0089770E"/>
    <w:rsid w:val="008A19C9"/>
    <w:rsid w:val="008A3D1E"/>
    <w:rsid w:val="008A6C51"/>
    <w:rsid w:val="008A7082"/>
    <w:rsid w:val="008A7C6F"/>
    <w:rsid w:val="008B39DF"/>
    <w:rsid w:val="008B4B8E"/>
    <w:rsid w:val="008B76E7"/>
    <w:rsid w:val="008C197C"/>
    <w:rsid w:val="008C2202"/>
    <w:rsid w:val="008C289C"/>
    <w:rsid w:val="008C32D0"/>
    <w:rsid w:val="008C3957"/>
    <w:rsid w:val="008C39F7"/>
    <w:rsid w:val="008D19AA"/>
    <w:rsid w:val="008D565A"/>
    <w:rsid w:val="008D6091"/>
    <w:rsid w:val="008D67EC"/>
    <w:rsid w:val="008D7EF9"/>
    <w:rsid w:val="008E1205"/>
    <w:rsid w:val="008E2D4C"/>
    <w:rsid w:val="008E322B"/>
    <w:rsid w:val="008E6704"/>
    <w:rsid w:val="008E70B9"/>
    <w:rsid w:val="008F06B4"/>
    <w:rsid w:val="008F1512"/>
    <w:rsid w:val="008F2278"/>
    <w:rsid w:val="008F275A"/>
    <w:rsid w:val="008F5144"/>
    <w:rsid w:val="008F599B"/>
    <w:rsid w:val="008F6120"/>
    <w:rsid w:val="0090316B"/>
    <w:rsid w:val="00903728"/>
    <w:rsid w:val="009056E6"/>
    <w:rsid w:val="0090592A"/>
    <w:rsid w:val="009063CE"/>
    <w:rsid w:val="009146DC"/>
    <w:rsid w:val="00914FD5"/>
    <w:rsid w:val="00917D09"/>
    <w:rsid w:val="00920ACA"/>
    <w:rsid w:val="00926FFB"/>
    <w:rsid w:val="00930BD0"/>
    <w:rsid w:val="00932875"/>
    <w:rsid w:val="009354D1"/>
    <w:rsid w:val="0093604A"/>
    <w:rsid w:val="00942962"/>
    <w:rsid w:val="0094482C"/>
    <w:rsid w:val="0094786E"/>
    <w:rsid w:val="009510A6"/>
    <w:rsid w:val="0095214D"/>
    <w:rsid w:val="00954763"/>
    <w:rsid w:val="0095503F"/>
    <w:rsid w:val="009562B8"/>
    <w:rsid w:val="00957541"/>
    <w:rsid w:val="009620FA"/>
    <w:rsid w:val="00965FCE"/>
    <w:rsid w:val="00967239"/>
    <w:rsid w:val="0096780C"/>
    <w:rsid w:val="009711DD"/>
    <w:rsid w:val="0097306C"/>
    <w:rsid w:val="00977100"/>
    <w:rsid w:val="00977236"/>
    <w:rsid w:val="0098152A"/>
    <w:rsid w:val="009829F7"/>
    <w:rsid w:val="00985F6C"/>
    <w:rsid w:val="00987788"/>
    <w:rsid w:val="0098783B"/>
    <w:rsid w:val="00992CF2"/>
    <w:rsid w:val="009942E3"/>
    <w:rsid w:val="009952F0"/>
    <w:rsid w:val="00996960"/>
    <w:rsid w:val="00996E16"/>
    <w:rsid w:val="00996FF1"/>
    <w:rsid w:val="009A1064"/>
    <w:rsid w:val="009A1AE3"/>
    <w:rsid w:val="009A6B15"/>
    <w:rsid w:val="009B0803"/>
    <w:rsid w:val="009B0E82"/>
    <w:rsid w:val="009B1215"/>
    <w:rsid w:val="009B247E"/>
    <w:rsid w:val="009B343D"/>
    <w:rsid w:val="009B4F8F"/>
    <w:rsid w:val="009C07DD"/>
    <w:rsid w:val="009C1850"/>
    <w:rsid w:val="009C6A3A"/>
    <w:rsid w:val="009D0D42"/>
    <w:rsid w:val="009D3D91"/>
    <w:rsid w:val="009D60D9"/>
    <w:rsid w:val="009D6BC5"/>
    <w:rsid w:val="009E33A5"/>
    <w:rsid w:val="009E4DAF"/>
    <w:rsid w:val="009E52B7"/>
    <w:rsid w:val="009F0C5C"/>
    <w:rsid w:val="009F216E"/>
    <w:rsid w:val="009F2353"/>
    <w:rsid w:val="009F2F4E"/>
    <w:rsid w:val="009F546C"/>
    <w:rsid w:val="009F5988"/>
    <w:rsid w:val="009F6118"/>
    <w:rsid w:val="009F76D3"/>
    <w:rsid w:val="009F7CBA"/>
    <w:rsid w:val="00A002D2"/>
    <w:rsid w:val="00A026DC"/>
    <w:rsid w:val="00A03FEC"/>
    <w:rsid w:val="00A07AFB"/>
    <w:rsid w:val="00A15416"/>
    <w:rsid w:val="00A15626"/>
    <w:rsid w:val="00A17047"/>
    <w:rsid w:val="00A17C6E"/>
    <w:rsid w:val="00A226A8"/>
    <w:rsid w:val="00A231AE"/>
    <w:rsid w:val="00A238CB"/>
    <w:rsid w:val="00A2444F"/>
    <w:rsid w:val="00A24FB6"/>
    <w:rsid w:val="00A26515"/>
    <w:rsid w:val="00A2696E"/>
    <w:rsid w:val="00A26B90"/>
    <w:rsid w:val="00A26BEC"/>
    <w:rsid w:val="00A27695"/>
    <w:rsid w:val="00A32FC9"/>
    <w:rsid w:val="00A34609"/>
    <w:rsid w:val="00A36593"/>
    <w:rsid w:val="00A365A0"/>
    <w:rsid w:val="00A36BEE"/>
    <w:rsid w:val="00A4000B"/>
    <w:rsid w:val="00A4054F"/>
    <w:rsid w:val="00A40DC1"/>
    <w:rsid w:val="00A430BC"/>
    <w:rsid w:val="00A4655B"/>
    <w:rsid w:val="00A50D56"/>
    <w:rsid w:val="00A55501"/>
    <w:rsid w:val="00A61E36"/>
    <w:rsid w:val="00A62FB4"/>
    <w:rsid w:val="00A63210"/>
    <w:rsid w:val="00A66349"/>
    <w:rsid w:val="00A66F21"/>
    <w:rsid w:val="00A730FA"/>
    <w:rsid w:val="00A73E8A"/>
    <w:rsid w:val="00A755C0"/>
    <w:rsid w:val="00A770F9"/>
    <w:rsid w:val="00A7725D"/>
    <w:rsid w:val="00A777C6"/>
    <w:rsid w:val="00A81203"/>
    <w:rsid w:val="00A8238D"/>
    <w:rsid w:val="00A8313C"/>
    <w:rsid w:val="00A83C38"/>
    <w:rsid w:val="00A872FD"/>
    <w:rsid w:val="00A8787C"/>
    <w:rsid w:val="00A92607"/>
    <w:rsid w:val="00A9292C"/>
    <w:rsid w:val="00A93457"/>
    <w:rsid w:val="00A95E80"/>
    <w:rsid w:val="00AA1072"/>
    <w:rsid w:val="00AA3832"/>
    <w:rsid w:val="00AA402E"/>
    <w:rsid w:val="00AA50B9"/>
    <w:rsid w:val="00AA52BA"/>
    <w:rsid w:val="00AA7BCD"/>
    <w:rsid w:val="00AB0310"/>
    <w:rsid w:val="00AB20CA"/>
    <w:rsid w:val="00AB3A56"/>
    <w:rsid w:val="00AB427F"/>
    <w:rsid w:val="00AB6EAE"/>
    <w:rsid w:val="00AC1E97"/>
    <w:rsid w:val="00AC4031"/>
    <w:rsid w:val="00AC51BF"/>
    <w:rsid w:val="00AC67AA"/>
    <w:rsid w:val="00AD18AB"/>
    <w:rsid w:val="00AD585E"/>
    <w:rsid w:val="00AD5C69"/>
    <w:rsid w:val="00AD65BF"/>
    <w:rsid w:val="00AD6891"/>
    <w:rsid w:val="00AD7603"/>
    <w:rsid w:val="00AE0095"/>
    <w:rsid w:val="00AE0F24"/>
    <w:rsid w:val="00AE174E"/>
    <w:rsid w:val="00AE3512"/>
    <w:rsid w:val="00AE402A"/>
    <w:rsid w:val="00AE6880"/>
    <w:rsid w:val="00AE71C6"/>
    <w:rsid w:val="00AF00C5"/>
    <w:rsid w:val="00AF0E34"/>
    <w:rsid w:val="00AF1CC6"/>
    <w:rsid w:val="00AF27B4"/>
    <w:rsid w:val="00AF2C20"/>
    <w:rsid w:val="00AF2EEE"/>
    <w:rsid w:val="00AF4A8F"/>
    <w:rsid w:val="00B07AD7"/>
    <w:rsid w:val="00B10794"/>
    <w:rsid w:val="00B11858"/>
    <w:rsid w:val="00B16BA9"/>
    <w:rsid w:val="00B17F15"/>
    <w:rsid w:val="00B229AB"/>
    <w:rsid w:val="00B23305"/>
    <w:rsid w:val="00B31010"/>
    <w:rsid w:val="00B34050"/>
    <w:rsid w:val="00B34187"/>
    <w:rsid w:val="00B3607C"/>
    <w:rsid w:val="00B42787"/>
    <w:rsid w:val="00B44B63"/>
    <w:rsid w:val="00B452AD"/>
    <w:rsid w:val="00B45312"/>
    <w:rsid w:val="00B460DC"/>
    <w:rsid w:val="00B461EC"/>
    <w:rsid w:val="00B4620A"/>
    <w:rsid w:val="00B524B7"/>
    <w:rsid w:val="00B5348D"/>
    <w:rsid w:val="00B53662"/>
    <w:rsid w:val="00B53B5E"/>
    <w:rsid w:val="00B53CB8"/>
    <w:rsid w:val="00B54899"/>
    <w:rsid w:val="00B55719"/>
    <w:rsid w:val="00B55966"/>
    <w:rsid w:val="00B5624A"/>
    <w:rsid w:val="00B56821"/>
    <w:rsid w:val="00B574F5"/>
    <w:rsid w:val="00B577EF"/>
    <w:rsid w:val="00B57864"/>
    <w:rsid w:val="00B608F5"/>
    <w:rsid w:val="00B61013"/>
    <w:rsid w:val="00B62E1E"/>
    <w:rsid w:val="00B63387"/>
    <w:rsid w:val="00B65D69"/>
    <w:rsid w:val="00B66786"/>
    <w:rsid w:val="00B70BC4"/>
    <w:rsid w:val="00B715E9"/>
    <w:rsid w:val="00B73314"/>
    <w:rsid w:val="00B73815"/>
    <w:rsid w:val="00B76468"/>
    <w:rsid w:val="00B770AF"/>
    <w:rsid w:val="00B77CFB"/>
    <w:rsid w:val="00B81431"/>
    <w:rsid w:val="00B82FEE"/>
    <w:rsid w:val="00B84E0C"/>
    <w:rsid w:val="00B86753"/>
    <w:rsid w:val="00B86A35"/>
    <w:rsid w:val="00B87390"/>
    <w:rsid w:val="00B900EE"/>
    <w:rsid w:val="00B90CE1"/>
    <w:rsid w:val="00B9400D"/>
    <w:rsid w:val="00B97355"/>
    <w:rsid w:val="00BA065B"/>
    <w:rsid w:val="00BA1AEF"/>
    <w:rsid w:val="00BA2E58"/>
    <w:rsid w:val="00BA34B8"/>
    <w:rsid w:val="00BA485C"/>
    <w:rsid w:val="00BA5426"/>
    <w:rsid w:val="00BA7D64"/>
    <w:rsid w:val="00BB17D2"/>
    <w:rsid w:val="00BB220A"/>
    <w:rsid w:val="00BB2B5D"/>
    <w:rsid w:val="00BB4D8C"/>
    <w:rsid w:val="00BB4FE8"/>
    <w:rsid w:val="00BB656E"/>
    <w:rsid w:val="00BB73E5"/>
    <w:rsid w:val="00BC31EE"/>
    <w:rsid w:val="00BC4095"/>
    <w:rsid w:val="00BC62E6"/>
    <w:rsid w:val="00BD0B2F"/>
    <w:rsid w:val="00BD0CEA"/>
    <w:rsid w:val="00BD335E"/>
    <w:rsid w:val="00BD3B69"/>
    <w:rsid w:val="00BD5702"/>
    <w:rsid w:val="00BD5DC7"/>
    <w:rsid w:val="00BD6479"/>
    <w:rsid w:val="00BD6996"/>
    <w:rsid w:val="00BD6E4C"/>
    <w:rsid w:val="00BD719A"/>
    <w:rsid w:val="00BD7E01"/>
    <w:rsid w:val="00BE1EE9"/>
    <w:rsid w:val="00BE4AAF"/>
    <w:rsid w:val="00BE4F85"/>
    <w:rsid w:val="00BE71E0"/>
    <w:rsid w:val="00BF0CF3"/>
    <w:rsid w:val="00BF0E01"/>
    <w:rsid w:val="00BF1E84"/>
    <w:rsid w:val="00BF2D06"/>
    <w:rsid w:val="00BF5ABA"/>
    <w:rsid w:val="00BF5E23"/>
    <w:rsid w:val="00C047CA"/>
    <w:rsid w:val="00C060B7"/>
    <w:rsid w:val="00C06230"/>
    <w:rsid w:val="00C0647E"/>
    <w:rsid w:val="00C1086D"/>
    <w:rsid w:val="00C1195C"/>
    <w:rsid w:val="00C129CA"/>
    <w:rsid w:val="00C13A8C"/>
    <w:rsid w:val="00C162D0"/>
    <w:rsid w:val="00C16795"/>
    <w:rsid w:val="00C21DC3"/>
    <w:rsid w:val="00C250BA"/>
    <w:rsid w:val="00C26DB5"/>
    <w:rsid w:val="00C279B5"/>
    <w:rsid w:val="00C27A7F"/>
    <w:rsid w:val="00C31701"/>
    <w:rsid w:val="00C31CA4"/>
    <w:rsid w:val="00C37F7A"/>
    <w:rsid w:val="00C464A6"/>
    <w:rsid w:val="00C502FA"/>
    <w:rsid w:val="00C534FC"/>
    <w:rsid w:val="00C54752"/>
    <w:rsid w:val="00C551A0"/>
    <w:rsid w:val="00C557CB"/>
    <w:rsid w:val="00C5610B"/>
    <w:rsid w:val="00C5649D"/>
    <w:rsid w:val="00C617A7"/>
    <w:rsid w:val="00C6412B"/>
    <w:rsid w:val="00C64B68"/>
    <w:rsid w:val="00C65FBC"/>
    <w:rsid w:val="00C6602D"/>
    <w:rsid w:val="00C70B84"/>
    <w:rsid w:val="00C70E00"/>
    <w:rsid w:val="00C71AC2"/>
    <w:rsid w:val="00C7512C"/>
    <w:rsid w:val="00C76D7F"/>
    <w:rsid w:val="00C80B16"/>
    <w:rsid w:val="00C81AAD"/>
    <w:rsid w:val="00C82101"/>
    <w:rsid w:val="00C83BB3"/>
    <w:rsid w:val="00C84E55"/>
    <w:rsid w:val="00C850BE"/>
    <w:rsid w:val="00C95F08"/>
    <w:rsid w:val="00C96427"/>
    <w:rsid w:val="00C96BED"/>
    <w:rsid w:val="00C9793B"/>
    <w:rsid w:val="00CA19F6"/>
    <w:rsid w:val="00CA4E4C"/>
    <w:rsid w:val="00CA6985"/>
    <w:rsid w:val="00CB1372"/>
    <w:rsid w:val="00CB1909"/>
    <w:rsid w:val="00CB3355"/>
    <w:rsid w:val="00CB378F"/>
    <w:rsid w:val="00CB4373"/>
    <w:rsid w:val="00CB4CB9"/>
    <w:rsid w:val="00CB591A"/>
    <w:rsid w:val="00CB75A0"/>
    <w:rsid w:val="00CC02A9"/>
    <w:rsid w:val="00CC1FF6"/>
    <w:rsid w:val="00CC405E"/>
    <w:rsid w:val="00CC588C"/>
    <w:rsid w:val="00CD2074"/>
    <w:rsid w:val="00CD47FD"/>
    <w:rsid w:val="00CD5A30"/>
    <w:rsid w:val="00CE0787"/>
    <w:rsid w:val="00CE1F83"/>
    <w:rsid w:val="00CE6E87"/>
    <w:rsid w:val="00CE73A6"/>
    <w:rsid w:val="00CF32C1"/>
    <w:rsid w:val="00D0291A"/>
    <w:rsid w:val="00D02F1C"/>
    <w:rsid w:val="00D05564"/>
    <w:rsid w:val="00D0705C"/>
    <w:rsid w:val="00D07F98"/>
    <w:rsid w:val="00D10506"/>
    <w:rsid w:val="00D109E0"/>
    <w:rsid w:val="00D201D0"/>
    <w:rsid w:val="00D20858"/>
    <w:rsid w:val="00D215A6"/>
    <w:rsid w:val="00D2659F"/>
    <w:rsid w:val="00D277C1"/>
    <w:rsid w:val="00D2781B"/>
    <w:rsid w:val="00D30055"/>
    <w:rsid w:val="00D30510"/>
    <w:rsid w:val="00D31711"/>
    <w:rsid w:val="00D3192D"/>
    <w:rsid w:val="00D327CA"/>
    <w:rsid w:val="00D33717"/>
    <w:rsid w:val="00D33AF0"/>
    <w:rsid w:val="00D346E1"/>
    <w:rsid w:val="00D34E1B"/>
    <w:rsid w:val="00D3726B"/>
    <w:rsid w:val="00D3769B"/>
    <w:rsid w:val="00D4342F"/>
    <w:rsid w:val="00D443DD"/>
    <w:rsid w:val="00D52203"/>
    <w:rsid w:val="00D53B36"/>
    <w:rsid w:val="00D61E94"/>
    <w:rsid w:val="00D66508"/>
    <w:rsid w:val="00D671A8"/>
    <w:rsid w:val="00D70A5B"/>
    <w:rsid w:val="00D7433F"/>
    <w:rsid w:val="00D74B72"/>
    <w:rsid w:val="00D801F6"/>
    <w:rsid w:val="00D816DD"/>
    <w:rsid w:val="00D81ED8"/>
    <w:rsid w:val="00D82C6A"/>
    <w:rsid w:val="00D830F9"/>
    <w:rsid w:val="00D8700A"/>
    <w:rsid w:val="00D87D9F"/>
    <w:rsid w:val="00D90664"/>
    <w:rsid w:val="00D91ECC"/>
    <w:rsid w:val="00D927D6"/>
    <w:rsid w:val="00D95468"/>
    <w:rsid w:val="00D959D2"/>
    <w:rsid w:val="00D95BCC"/>
    <w:rsid w:val="00D973C0"/>
    <w:rsid w:val="00DA32C0"/>
    <w:rsid w:val="00DA3DC7"/>
    <w:rsid w:val="00DB04CE"/>
    <w:rsid w:val="00DB29B8"/>
    <w:rsid w:val="00DB67C1"/>
    <w:rsid w:val="00DC5D2F"/>
    <w:rsid w:val="00DC6B9A"/>
    <w:rsid w:val="00DD0B8A"/>
    <w:rsid w:val="00DD122E"/>
    <w:rsid w:val="00DD4B31"/>
    <w:rsid w:val="00DD511C"/>
    <w:rsid w:val="00DD76CB"/>
    <w:rsid w:val="00DD7E78"/>
    <w:rsid w:val="00DE11B3"/>
    <w:rsid w:val="00DE206B"/>
    <w:rsid w:val="00DE60E0"/>
    <w:rsid w:val="00DF1378"/>
    <w:rsid w:val="00DF1B12"/>
    <w:rsid w:val="00DF6C38"/>
    <w:rsid w:val="00DF731E"/>
    <w:rsid w:val="00E0170A"/>
    <w:rsid w:val="00E04790"/>
    <w:rsid w:val="00E0534E"/>
    <w:rsid w:val="00E11FF2"/>
    <w:rsid w:val="00E1384D"/>
    <w:rsid w:val="00E1550A"/>
    <w:rsid w:val="00E16A4A"/>
    <w:rsid w:val="00E16A79"/>
    <w:rsid w:val="00E17230"/>
    <w:rsid w:val="00E1733A"/>
    <w:rsid w:val="00E21011"/>
    <w:rsid w:val="00E22224"/>
    <w:rsid w:val="00E2491C"/>
    <w:rsid w:val="00E25D8A"/>
    <w:rsid w:val="00E30F0F"/>
    <w:rsid w:val="00E35C6B"/>
    <w:rsid w:val="00E40E95"/>
    <w:rsid w:val="00E42260"/>
    <w:rsid w:val="00E43B99"/>
    <w:rsid w:val="00E45469"/>
    <w:rsid w:val="00E45B76"/>
    <w:rsid w:val="00E51064"/>
    <w:rsid w:val="00E51BF7"/>
    <w:rsid w:val="00E51E46"/>
    <w:rsid w:val="00E554E7"/>
    <w:rsid w:val="00E55C33"/>
    <w:rsid w:val="00E6035A"/>
    <w:rsid w:val="00E61585"/>
    <w:rsid w:val="00E64FC9"/>
    <w:rsid w:val="00E65A13"/>
    <w:rsid w:val="00E7086F"/>
    <w:rsid w:val="00E73B23"/>
    <w:rsid w:val="00E77872"/>
    <w:rsid w:val="00E80549"/>
    <w:rsid w:val="00E8566B"/>
    <w:rsid w:val="00E90D15"/>
    <w:rsid w:val="00E93A06"/>
    <w:rsid w:val="00E941A6"/>
    <w:rsid w:val="00E94871"/>
    <w:rsid w:val="00E97B23"/>
    <w:rsid w:val="00EA2167"/>
    <w:rsid w:val="00EA23DB"/>
    <w:rsid w:val="00EA4AD2"/>
    <w:rsid w:val="00EA4FB4"/>
    <w:rsid w:val="00EA50DE"/>
    <w:rsid w:val="00EA75D9"/>
    <w:rsid w:val="00EA7E6F"/>
    <w:rsid w:val="00EB1570"/>
    <w:rsid w:val="00EB2737"/>
    <w:rsid w:val="00EB62C1"/>
    <w:rsid w:val="00EC0D0E"/>
    <w:rsid w:val="00EC13FC"/>
    <w:rsid w:val="00EC1D73"/>
    <w:rsid w:val="00EC572F"/>
    <w:rsid w:val="00ED068B"/>
    <w:rsid w:val="00ED30BF"/>
    <w:rsid w:val="00ED3692"/>
    <w:rsid w:val="00ED3C15"/>
    <w:rsid w:val="00ED67B0"/>
    <w:rsid w:val="00ED69FC"/>
    <w:rsid w:val="00ED7ABB"/>
    <w:rsid w:val="00EE39B9"/>
    <w:rsid w:val="00EE4FA5"/>
    <w:rsid w:val="00EE7161"/>
    <w:rsid w:val="00EF0268"/>
    <w:rsid w:val="00EF174B"/>
    <w:rsid w:val="00EF1B2C"/>
    <w:rsid w:val="00EF315C"/>
    <w:rsid w:val="00F023F4"/>
    <w:rsid w:val="00F03CCB"/>
    <w:rsid w:val="00F059A0"/>
    <w:rsid w:val="00F1715A"/>
    <w:rsid w:val="00F201C9"/>
    <w:rsid w:val="00F22CDC"/>
    <w:rsid w:val="00F23258"/>
    <w:rsid w:val="00F237CA"/>
    <w:rsid w:val="00F250E1"/>
    <w:rsid w:val="00F269C6"/>
    <w:rsid w:val="00F26F5D"/>
    <w:rsid w:val="00F27453"/>
    <w:rsid w:val="00F27676"/>
    <w:rsid w:val="00F46FAE"/>
    <w:rsid w:val="00F47252"/>
    <w:rsid w:val="00F47F94"/>
    <w:rsid w:val="00F50B8D"/>
    <w:rsid w:val="00F539FE"/>
    <w:rsid w:val="00F54283"/>
    <w:rsid w:val="00F54454"/>
    <w:rsid w:val="00F54C09"/>
    <w:rsid w:val="00F577DD"/>
    <w:rsid w:val="00F60351"/>
    <w:rsid w:val="00F624E3"/>
    <w:rsid w:val="00F6320B"/>
    <w:rsid w:val="00F638C6"/>
    <w:rsid w:val="00F64AA1"/>
    <w:rsid w:val="00F64FC3"/>
    <w:rsid w:val="00F66640"/>
    <w:rsid w:val="00F673EA"/>
    <w:rsid w:val="00F67670"/>
    <w:rsid w:val="00F71B48"/>
    <w:rsid w:val="00F7634B"/>
    <w:rsid w:val="00F7710F"/>
    <w:rsid w:val="00F81CDE"/>
    <w:rsid w:val="00F82815"/>
    <w:rsid w:val="00F84062"/>
    <w:rsid w:val="00F849A1"/>
    <w:rsid w:val="00F850B7"/>
    <w:rsid w:val="00F85303"/>
    <w:rsid w:val="00F87451"/>
    <w:rsid w:val="00F908BD"/>
    <w:rsid w:val="00F91279"/>
    <w:rsid w:val="00F915A2"/>
    <w:rsid w:val="00F92C86"/>
    <w:rsid w:val="00F95146"/>
    <w:rsid w:val="00F97C79"/>
    <w:rsid w:val="00FA06D2"/>
    <w:rsid w:val="00FA1AF1"/>
    <w:rsid w:val="00FA395F"/>
    <w:rsid w:val="00FA3CC1"/>
    <w:rsid w:val="00FA4F17"/>
    <w:rsid w:val="00FB0CBA"/>
    <w:rsid w:val="00FB32C0"/>
    <w:rsid w:val="00FB373E"/>
    <w:rsid w:val="00FB45AF"/>
    <w:rsid w:val="00FB580F"/>
    <w:rsid w:val="00FB62AA"/>
    <w:rsid w:val="00FC005E"/>
    <w:rsid w:val="00FC4818"/>
    <w:rsid w:val="00FC5C40"/>
    <w:rsid w:val="00FD10A9"/>
    <w:rsid w:val="00FD1A50"/>
    <w:rsid w:val="00FD7170"/>
    <w:rsid w:val="00FE22E9"/>
    <w:rsid w:val="00FE344F"/>
    <w:rsid w:val="00FE727A"/>
    <w:rsid w:val="00FE72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7913"/>
    <w:pPr>
      <w:ind w:left="720"/>
      <w:contextualSpacing/>
    </w:pPr>
  </w:style>
  <w:style w:type="paragraph" w:styleId="Voetnoottekst">
    <w:name w:val="footnote text"/>
    <w:basedOn w:val="Standaard"/>
    <w:link w:val="VoetnoottekstChar"/>
    <w:uiPriority w:val="99"/>
    <w:unhideWhenUsed/>
    <w:rsid w:val="006237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2374E"/>
    <w:rPr>
      <w:sz w:val="20"/>
      <w:szCs w:val="20"/>
    </w:rPr>
  </w:style>
  <w:style w:type="character" w:styleId="Voetnootmarkering">
    <w:name w:val="footnote reference"/>
    <w:basedOn w:val="Standaardalinea-lettertype"/>
    <w:uiPriority w:val="99"/>
    <w:unhideWhenUsed/>
    <w:rsid w:val="0062374E"/>
    <w:rPr>
      <w:vertAlign w:val="superscript"/>
    </w:rPr>
  </w:style>
  <w:style w:type="paragraph" w:styleId="Koptekst">
    <w:name w:val="header"/>
    <w:basedOn w:val="Standaard"/>
    <w:link w:val="KoptekstChar"/>
    <w:uiPriority w:val="99"/>
    <w:semiHidden/>
    <w:unhideWhenUsed/>
    <w:rsid w:val="00042C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42C8F"/>
  </w:style>
  <w:style w:type="paragraph" w:styleId="Voettekst">
    <w:name w:val="footer"/>
    <w:basedOn w:val="Standaard"/>
    <w:link w:val="VoettekstChar"/>
    <w:uiPriority w:val="99"/>
    <w:unhideWhenUsed/>
    <w:rsid w:val="00042C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2C8F"/>
  </w:style>
  <w:style w:type="character" w:styleId="Nadruk">
    <w:name w:val="Emphasis"/>
    <w:basedOn w:val="Standaardalinea-lettertype"/>
    <w:uiPriority w:val="20"/>
    <w:qFormat/>
    <w:rsid w:val="009D3D91"/>
    <w:rPr>
      <w:i/>
      <w:iCs/>
    </w:rPr>
  </w:style>
  <w:style w:type="paragraph" w:styleId="Geenafstand">
    <w:name w:val="No Spacing"/>
    <w:uiPriority w:val="1"/>
    <w:qFormat/>
    <w:rsid w:val="00D34E1B"/>
    <w:pPr>
      <w:spacing w:after="0" w:line="240" w:lineRule="auto"/>
    </w:pPr>
    <w:rPr>
      <w:rFonts w:ascii="Times New Roman" w:eastAsia="Times New Roman" w:hAnsi="Times New Roman" w:cs="Times New Roman"/>
      <w:sz w:val="24"/>
      <w:szCs w:val="24"/>
    </w:rPr>
  </w:style>
  <w:style w:type="paragraph" w:customStyle="1" w:styleId="Default">
    <w:name w:val="Default"/>
    <w:rsid w:val="007863A8"/>
    <w:pPr>
      <w:autoSpaceDE w:val="0"/>
      <w:autoSpaceDN w:val="0"/>
      <w:adjustRightInd w:val="0"/>
      <w:spacing w:after="0" w:line="240" w:lineRule="auto"/>
    </w:pPr>
    <w:rPr>
      <w:rFonts w:ascii="GJKIN D+ Univers" w:hAnsi="GJKIN D+ Univers" w:cs="GJKIN D+ Univers"/>
      <w:color w:val="000000"/>
      <w:sz w:val="24"/>
      <w:szCs w:val="24"/>
    </w:rPr>
  </w:style>
  <w:style w:type="character" w:styleId="Verwijzingopmerking">
    <w:name w:val="annotation reference"/>
    <w:basedOn w:val="Standaardalinea-lettertype"/>
    <w:uiPriority w:val="99"/>
    <w:semiHidden/>
    <w:unhideWhenUsed/>
    <w:rsid w:val="00464A5B"/>
    <w:rPr>
      <w:sz w:val="16"/>
      <w:szCs w:val="16"/>
    </w:rPr>
  </w:style>
  <w:style w:type="paragraph" w:styleId="Tekstopmerking">
    <w:name w:val="annotation text"/>
    <w:basedOn w:val="Standaard"/>
    <w:link w:val="TekstopmerkingChar"/>
    <w:uiPriority w:val="99"/>
    <w:unhideWhenUsed/>
    <w:rsid w:val="00464A5B"/>
    <w:pPr>
      <w:spacing w:line="240" w:lineRule="auto"/>
    </w:pPr>
    <w:rPr>
      <w:sz w:val="20"/>
      <w:szCs w:val="20"/>
    </w:rPr>
  </w:style>
  <w:style w:type="character" w:customStyle="1" w:styleId="TekstopmerkingChar">
    <w:name w:val="Tekst opmerking Char"/>
    <w:basedOn w:val="Standaardalinea-lettertype"/>
    <w:link w:val="Tekstopmerking"/>
    <w:uiPriority w:val="99"/>
    <w:rsid w:val="00464A5B"/>
    <w:rPr>
      <w:sz w:val="20"/>
      <w:szCs w:val="20"/>
    </w:rPr>
  </w:style>
  <w:style w:type="paragraph" w:styleId="Ballontekst">
    <w:name w:val="Balloon Text"/>
    <w:basedOn w:val="Standaard"/>
    <w:link w:val="BallontekstChar"/>
    <w:uiPriority w:val="99"/>
    <w:semiHidden/>
    <w:unhideWhenUsed/>
    <w:rsid w:val="00464A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4A5B"/>
    <w:rPr>
      <w:rFonts w:ascii="Tahoma" w:hAnsi="Tahoma" w:cs="Tahoma"/>
      <w:sz w:val="16"/>
      <w:szCs w:val="16"/>
    </w:rPr>
  </w:style>
  <w:style w:type="paragraph" w:customStyle="1" w:styleId="5Normal">
    <w:name w:val="5 Normal"/>
    <w:basedOn w:val="Standaard"/>
    <w:link w:val="5NormalChar"/>
    <w:rsid w:val="00ED369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bidi="nl-NL"/>
    </w:rPr>
  </w:style>
  <w:style w:type="character" w:customStyle="1" w:styleId="5NormalChar">
    <w:name w:val="5 Normal Char"/>
    <w:link w:val="5Normal"/>
    <w:locked/>
    <w:rsid w:val="00ED3692"/>
    <w:rPr>
      <w:rFonts w:ascii="Verdana" w:eastAsia="Times New Roman" w:hAnsi="Verdana" w:cs="Times New Roman"/>
      <w:spacing w:val="-2"/>
      <w:sz w:val="20"/>
      <w:szCs w:val="24"/>
      <w:lang w:eastAsia="nl-NL" w:bidi="nl-NL"/>
    </w:rPr>
  </w:style>
  <w:style w:type="character" w:styleId="Hyperlink">
    <w:name w:val="Hyperlink"/>
    <w:rsid w:val="00ED3692"/>
    <w:rPr>
      <w:rFonts w:cs="Times New Roman"/>
      <w:color w:val="0000FF"/>
      <w:u w:val="single"/>
    </w:rPr>
  </w:style>
  <w:style w:type="paragraph" w:customStyle="1" w:styleId="Tiret1">
    <w:name w:val="Tiret 1"/>
    <w:basedOn w:val="5Normal"/>
    <w:next w:val="5Normal"/>
    <w:rsid w:val="00ED3692"/>
    <w:pPr>
      <w:numPr>
        <w:numId w:val="6"/>
      </w:numPr>
      <w:tabs>
        <w:tab w:val="clear" w:pos="720"/>
        <w:tab w:val="num" w:pos="360"/>
      </w:tabs>
      <w:spacing w:after="40"/>
      <w:ind w:left="0" w:firstLine="0"/>
    </w:pPr>
  </w:style>
  <w:style w:type="paragraph" w:styleId="Onderwerpvanopmerking">
    <w:name w:val="annotation subject"/>
    <w:basedOn w:val="Tekstopmerking"/>
    <w:next w:val="Tekstopmerking"/>
    <w:link w:val="OnderwerpvanopmerkingChar"/>
    <w:uiPriority w:val="99"/>
    <w:semiHidden/>
    <w:unhideWhenUsed/>
    <w:rsid w:val="00E94871"/>
    <w:rPr>
      <w:b/>
      <w:bCs/>
    </w:rPr>
  </w:style>
  <w:style w:type="character" w:customStyle="1" w:styleId="OnderwerpvanopmerkingChar">
    <w:name w:val="Onderwerp van opmerking Char"/>
    <w:basedOn w:val="TekstopmerkingChar"/>
    <w:link w:val="Onderwerpvanopmerking"/>
    <w:uiPriority w:val="99"/>
    <w:semiHidden/>
    <w:rsid w:val="00E94871"/>
    <w:rPr>
      <w:b/>
      <w:bCs/>
      <w:sz w:val="20"/>
      <w:szCs w:val="20"/>
    </w:rPr>
  </w:style>
  <w:style w:type="paragraph" w:customStyle="1" w:styleId="Pa9">
    <w:name w:val="Pa9"/>
    <w:basedOn w:val="Default"/>
    <w:next w:val="Default"/>
    <w:uiPriority w:val="99"/>
    <w:rsid w:val="007847CB"/>
    <w:pPr>
      <w:spacing w:line="181" w:lineRule="atLeast"/>
    </w:pPr>
    <w:rPr>
      <w:rFonts w:ascii="Futura Std" w:hAnsi="Futura Std" w:cstheme="minorBidi"/>
      <w:color w:val="auto"/>
    </w:rPr>
  </w:style>
  <w:style w:type="paragraph" w:customStyle="1" w:styleId="Pa10">
    <w:name w:val="Pa10"/>
    <w:basedOn w:val="Default"/>
    <w:next w:val="Default"/>
    <w:uiPriority w:val="99"/>
    <w:rsid w:val="007847CB"/>
    <w:pPr>
      <w:spacing w:line="161" w:lineRule="atLeast"/>
    </w:pPr>
    <w:rPr>
      <w:rFonts w:ascii="Futura Std" w:hAnsi="Futura Std" w:cstheme="minorBidi"/>
      <w:color w:val="auto"/>
    </w:rPr>
  </w:style>
  <w:style w:type="paragraph" w:customStyle="1" w:styleId="Pa11">
    <w:name w:val="Pa11"/>
    <w:basedOn w:val="Default"/>
    <w:next w:val="Default"/>
    <w:uiPriority w:val="99"/>
    <w:rsid w:val="007847CB"/>
    <w:pPr>
      <w:spacing w:line="161" w:lineRule="atLeast"/>
    </w:pPr>
    <w:rPr>
      <w:rFonts w:ascii="Futura Std" w:hAnsi="Futura Std" w:cstheme="minorBidi"/>
      <w:color w:val="auto"/>
    </w:rPr>
  </w:style>
  <w:style w:type="paragraph" w:styleId="Revisie">
    <w:name w:val="Revision"/>
    <w:hidden/>
    <w:uiPriority w:val="99"/>
    <w:semiHidden/>
    <w:rsid w:val="002F03C6"/>
    <w:pPr>
      <w:spacing w:after="0" w:line="240" w:lineRule="auto"/>
    </w:pPr>
  </w:style>
  <w:style w:type="character" w:styleId="GevolgdeHyperlink">
    <w:name w:val="FollowedHyperlink"/>
    <w:basedOn w:val="Standaardalinea-lettertype"/>
    <w:uiPriority w:val="99"/>
    <w:semiHidden/>
    <w:unhideWhenUsed/>
    <w:rsid w:val="00C54752"/>
    <w:rPr>
      <w:color w:val="800080" w:themeColor="followedHyperlink"/>
      <w:u w:val="single"/>
    </w:rPr>
  </w:style>
  <w:style w:type="paragraph" w:customStyle="1" w:styleId="CM4">
    <w:name w:val="CM4"/>
    <w:basedOn w:val="Default"/>
    <w:next w:val="Default"/>
    <w:uiPriority w:val="99"/>
    <w:rsid w:val="000F7E7E"/>
    <w:rPr>
      <w:rFonts w:ascii="EUAlbertina" w:hAnsi="EUAlbertina" w:cstheme="minorBidi"/>
      <w:color w:val="auto"/>
    </w:rPr>
  </w:style>
  <w:style w:type="paragraph" w:customStyle="1" w:styleId="CM1">
    <w:name w:val="CM1"/>
    <w:basedOn w:val="Default"/>
    <w:next w:val="Default"/>
    <w:uiPriority w:val="99"/>
    <w:rsid w:val="000F7E7E"/>
    <w:rPr>
      <w:rFonts w:ascii="EUAlbertina" w:hAnsi="EUAlbertina" w:cstheme="minorBidi"/>
      <w:color w:val="auto"/>
    </w:rPr>
  </w:style>
  <w:style w:type="paragraph" w:customStyle="1" w:styleId="CM3">
    <w:name w:val="CM3"/>
    <w:basedOn w:val="Default"/>
    <w:next w:val="Default"/>
    <w:uiPriority w:val="99"/>
    <w:rsid w:val="000F7E7E"/>
    <w:rPr>
      <w:rFonts w:ascii="EUAlbertina" w:hAnsi="EUAlbertina" w:cstheme="minorBidi"/>
      <w:color w:val="auto"/>
    </w:rPr>
  </w:style>
  <w:style w:type="character" w:customStyle="1" w:styleId="summarytext">
    <w:name w:val="summarytext"/>
    <w:basedOn w:val="Standaardalinea-lettertype"/>
    <w:rsid w:val="00F23258"/>
  </w:style>
  <w:style w:type="character" w:customStyle="1" w:styleId="textcolumn">
    <w:name w:val="textcolumn"/>
    <w:basedOn w:val="Standaardalinea-lettertype"/>
    <w:rsid w:val="00F23258"/>
  </w:style>
  <w:style w:type="character" w:customStyle="1" w:styleId="fulltext">
    <w:name w:val="fulltext"/>
    <w:basedOn w:val="Standaardalinea-lettertype"/>
    <w:rsid w:val="00F23258"/>
  </w:style>
  <w:style w:type="numbering" w:customStyle="1" w:styleId="Opmaakprofiel1">
    <w:name w:val="Opmaakprofiel1"/>
    <w:uiPriority w:val="99"/>
    <w:rsid w:val="00C81AAD"/>
    <w:pPr>
      <w:numPr>
        <w:numId w:val="27"/>
      </w:numPr>
    </w:pPr>
  </w:style>
  <w:style w:type="paragraph" w:styleId="Normaalweb">
    <w:name w:val="Normal (Web)"/>
    <w:basedOn w:val="Standaard"/>
    <w:uiPriority w:val="99"/>
    <w:semiHidden/>
    <w:unhideWhenUsed/>
    <w:rsid w:val="00B55719"/>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653B37"/>
    <w:rPr>
      <w:b/>
      <w:bCs/>
    </w:rPr>
  </w:style>
  <w:style w:type="paragraph" w:customStyle="1" w:styleId="mtop">
    <w:name w:val="mtop"/>
    <w:basedOn w:val="Standaard"/>
    <w:rsid w:val="00CD2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none">
    <w:name w:val="mnone"/>
    <w:basedOn w:val="Standaard"/>
    <w:rsid w:val="00CD207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7913"/>
    <w:pPr>
      <w:ind w:left="720"/>
      <w:contextualSpacing/>
    </w:pPr>
  </w:style>
  <w:style w:type="paragraph" w:styleId="Voetnoottekst">
    <w:name w:val="footnote text"/>
    <w:basedOn w:val="Standaard"/>
    <w:link w:val="VoetnoottekstChar"/>
    <w:uiPriority w:val="99"/>
    <w:unhideWhenUsed/>
    <w:rsid w:val="006237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2374E"/>
    <w:rPr>
      <w:sz w:val="20"/>
      <w:szCs w:val="20"/>
    </w:rPr>
  </w:style>
  <w:style w:type="character" w:styleId="Voetnootmarkering">
    <w:name w:val="footnote reference"/>
    <w:basedOn w:val="Standaardalinea-lettertype"/>
    <w:uiPriority w:val="99"/>
    <w:unhideWhenUsed/>
    <w:rsid w:val="0062374E"/>
    <w:rPr>
      <w:vertAlign w:val="superscript"/>
    </w:rPr>
  </w:style>
  <w:style w:type="paragraph" w:styleId="Koptekst">
    <w:name w:val="header"/>
    <w:basedOn w:val="Standaard"/>
    <w:link w:val="KoptekstChar"/>
    <w:uiPriority w:val="99"/>
    <w:semiHidden/>
    <w:unhideWhenUsed/>
    <w:rsid w:val="00042C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42C8F"/>
  </w:style>
  <w:style w:type="paragraph" w:styleId="Voettekst">
    <w:name w:val="footer"/>
    <w:basedOn w:val="Standaard"/>
    <w:link w:val="VoettekstChar"/>
    <w:uiPriority w:val="99"/>
    <w:unhideWhenUsed/>
    <w:rsid w:val="00042C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2C8F"/>
  </w:style>
  <w:style w:type="character" w:styleId="Nadruk">
    <w:name w:val="Emphasis"/>
    <w:basedOn w:val="Standaardalinea-lettertype"/>
    <w:uiPriority w:val="20"/>
    <w:qFormat/>
    <w:rsid w:val="009D3D91"/>
    <w:rPr>
      <w:i/>
      <w:iCs/>
    </w:rPr>
  </w:style>
  <w:style w:type="paragraph" w:styleId="Geenafstand">
    <w:name w:val="No Spacing"/>
    <w:uiPriority w:val="1"/>
    <w:qFormat/>
    <w:rsid w:val="00D34E1B"/>
    <w:pPr>
      <w:spacing w:after="0" w:line="240" w:lineRule="auto"/>
    </w:pPr>
    <w:rPr>
      <w:rFonts w:ascii="Times New Roman" w:eastAsia="Times New Roman" w:hAnsi="Times New Roman" w:cs="Times New Roman"/>
      <w:sz w:val="24"/>
      <w:szCs w:val="24"/>
    </w:rPr>
  </w:style>
  <w:style w:type="paragraph" w:customStyle="1" w:styleId="Default">
    <w:name w:val="Default"/>
    <w:rsid w:val="007863A8"/>
    <w:pPr>
      <w:autoSpaceDE w:val="0"/>
      <w:autoSpaceDN w:val="0"/>
      <w:adjustRightInd w:val="0"/>
      <w:spacing w:after="0" w:line="240" w:lineRule="auto"/>
    </w:pPr>
    <w:rPr>
      <w:rFonts w:ascii="GJKIN D+ Univers" w:hAnsi="GJKIN D+ Univers" w:cs="GJKIN D+ Univers"/>
      <w:color w:val="000000"/>
      <w:sz w:val="24"/>
      <w:szCs w:val="24"/>
    </w:rPr>
  </w:style>
  <w:style w:type="character" w:styleId="Verwijzingopmerking">
    <w:name w:val="annotation reference"/>
    <w:basedOn w:val="Standaardalinea-lettertype"/>
    <w:uiPriority w:val="99"/>
    <w:semiHidden/>
    <w:unhideWhenUsed/>
    <w:rsid w:val="00464A5B"/>
    <w:rPr>
      <w:sz w:val="16"/>
      <w:szCs w:val="16"/>
    </w:rPr>
  </w:style>
  <w:style w:type="paragraph" w:styleId="Tekstopmerking">
    <w:name w:val="annotation text"/>
    <w:basedOn w:val="Standaard"/>
    <w:link w:val="TekstopmerkingChar"/>
    <w:uiPriority w:val="99"/>
    <w:unhideWhenUsed/>
    <w:rsid w:val="00464A5B"/>
    <w:pPr>
      <w:spacing w:line="240" w:lineRule="auto"/>
    </w:pPr>
    <w:rPr>
      <w:sz w:val="20"/>
      <w:szCs w:val="20"/>
    </w:rPr>
  </w:style>
  <w:style w:type="character" w:customStyle="1" w:styleId="TekstopmerkingChar">
    <w:name w:val="Tekst opmerking Char"/>
    <w:basedOn w:val="Standaardalinea-lettertype"/>
    <w:link w:val="Tekstopmerking"/>
    <w:uiPriority w:val="99"/>
    <w:rsid w:val="00464A5B"/>
    <w:rPr>
      <w:sz w:val="20"/>
      <w:szCs w:val="20"/>
    </w:rPr>
  </w:style>
  <w:style w:type="paragraph" w:styleId="Ballontekst">
    <w:name w:val="Balloon Text"/>
    <w:basedOn w:val="Standaard"/>
    <w:link w:val="BallontekstChar"/>
    <w:uiPriority w:val="99"/>
    <w:semiHidden/>
    <w:unhideWhenUsed/>
    <w:rsid w:val="00464A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4A5B"/>
    <w:rPr>
      <w:rFonts w:ascii="Tahoma" w:hAnsi="Tahoma" w:cs="Tahoma"/>
      <w:sz w:val="16"/>
      <w:szCs w:val="16"/>
    </w:rPr>
  </w:style>
  <w:style w:type="paragraph" w:customStyle="1" w:styleId="5Normal">
    <w:name w:val="5 Normal"/>
    <w:basedOn w:val="Standaard"/>
    <w:link w:val="5NormalChar"/>
    <w:rsid w:val="00ED369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bidi="nl-NL"/>
    </w:rPr>
  </w:style>
  <w:style w:type="character" w:customStyle="1" w:styleId="5NormalChar">
    <w:name w:val="5 Normal Char"/>
    <w:link w:val="5Normal"/>
    <w:locked/>
    <w:rsid w:val="00ED3692"/>
    <w:rPr>
      <w:rFonts w:ascii="Verdana" w:eastAsia="Times New Roman" w:hAnsi="Verdana" w:cs="Times New Roman"/>
      <w:spacing w:val="-2"/>
      <w:sz w:val="20"/>
      <w:szCs w:val="24"/>
      <w:lang w:eastAsia="nl-NL" w:bidi="nl-NL"/>
    </w:rPr>
  </w:style>
  <w:style w:type="character" w:styleId="Hyperlink">
    <w:name w:val="Hyperlink"/>
    <w:rsid w:val="00ED3692"/>
    <w:rPr>
      <w:rFonts w:cs="Times New Roman"/>
      <w:color w:val="0000FF"/>
      <w:u w:val="single"/>
    </w:rPr>
  </w:style>
  <w:style w:type="paragraph" w:customStyle="1" w:styleId="Tiret1">
    <w:name w:val="Tiret 1"/>
    <w:basedOn w:val="5Normal"/>
    <w:next w:val="5Normal"/>
    <w:rsid w:val="00ED3692"/>
    <w:pPr>
      <w:numPr>
        <w:numId w:val="6"/>
      </w:numPr>
      <w:tabs>
        <w:tab w:val="clear" w:pos="720"/>
        <w:tab w:val="num" w:pos="360"/>
      </w:tabs>
      <w:spacing w:after="40"/>
      <w:ind w:left="0" w:firstLine="0"/>
    </w:pPr>
  </w:style>
  <w:style w:type="paragraph" w:styleId="Onderwerpvanopmerking">
    <w:name w:val="annotation subject"/>
    <w:basedOn w:val="Tekstopmerking"/>
    <w:next w:val="Tekstopmerking"/>
    <w:link w:val="OnderwerpvanopmerkingChar"/>
    <w:uiPriority w:val="99"/>
    <w:semiHidden/>
    <w:unhideWhenUsed/>
    <w:rsid w:val="00E94871"/>
    <w:rPr>
      <w:b/>
      <w:bCs/>
    </w:rPr>
  </w:style>
  <w:style w:type="character" w:customStyle="1" w:styleId="OnderwerpvanopmerkingChar">
    <w:name w:val="Onderwerp van opmerking Char"/>
    <w:basedOn w:val="TekstopmerkingChar"/>
    <w:link w:val="Onderwerpvanopmerking"/>
    <w:uiPriority w:val="99"/>
    <w:semiHidden/>
    <w:rsid w:val="00E94871"/>
    <w:rPr>
      <w:b/>
      <w:bCs/>
      <w:sz w:val="20"/>
      <w:szCs w:val="20"/>
    </w:rPr>
  </w:style>
  <w:style w:type="paragraph" w:customStyle="1" w:styleId="Pa9">
    <w:name w:val="Pa9"/>
    <w:basedOn w:val="Default"/>
    <w:next w:val="Default"/>
    <w:uiPriority w:val="99"/>
    <w:rsid w:val="007847CB"/>
    <w:pPr>
      <w:spacing w:line="181" w:lineRule="atLeast"/>
    </w:pPr>
    <w:rPr>
      <w:rFonts w:ascii="Futura Std" w:hAnsi="Futura Std" w:cstheme="minorBidi"/>
      <w:color w:val="auto"/>
    </w:rPr>
  </w:style>
  <w:style w:type="paragraph" w:customStyle="1" w:styleId="Pa10">
    <w:name w:val="Pa10"/>
    <w:basedOn w:val="Default"/>
    <w:next w:val="Default"/>
    <w:uiPriority w:val="99"/>
    <w:rsid w:val="007847CB"/>
    <w:pPr>
      <w:spacing w:line="161" w:lineRule="atLeast"/>
    </w:pPr>
    <w:rPr>
      <w:rFonts w:ascii="Futura Std" w:hAnsi="Futura Std" w:cstheme="minorBidi"/>
      <w:color w:val="auto"/>
    </w:rPr>
  </w:style>
  <w:style w:type="paragraph" w:customStyle="1" w:styleId="Pa11">
    <w:name w:val="Pa11"/>
    <w:basedOn w:val="Default"/>
    <w:next w:val="Default"/>
    <w:uiPriority w:val="99"/>
    <w:rsid w:val="007847CB"/>
    <w:pPr>
      <w:spacing w:line="161" w:lineRule="atLeast"/>
    </w:pPr>
    <w:rPr>
      <w:rFonts w:ascii="Futura Std" w:hAnsi="Futura Std" w:cstheme="minorBidi"/>
      <w:color w:val="auto"/>
    </w:rPr>
  </w:style>
  <w:style w:type="paragraph" w:styleId="Revisie">
    <w:name w:val="Revision"/>
    <w:hidden/>
    <w:uiPriority w:val="99"/>
    <w:semiHidden/>
    <w:rsid w:val="002F03C6"/>
    <w:pPr>
      <w:spacing w:after="0" w:line="240" w:lineRule="auto"/>
    </w:pPr>
  </w:style>
  <w:style w:type="character" w:styleId="GevolgdeHyperlink">
    <w:name w:val="FollowedHyperlink"/>
    <w:basedOn w:val="Standaardalinea-lettertype"/>
    <w:uiPriority w:val="99"/>
    <w:semiHidden/>
    <w:unhideWhenUsed/>
    <w:rsid w:val="00C54752"/>
    <w:rPr>
      <w:color w:val="800080" w:themeColor="followedHyperlink"/>
      <w:u w:val="single"/>
    </w:rPr>
  </w:style>
  <w:style w:type="paragraph" w:customStyle="1" w:styleId="CM4">
    <w:name w:val="CM4"/>
    <w:basedOn w:val="Default"/>
    <w:next w:val="Default"/>
    <w:uiPriority w:val="99"/>
    <w:rsid w:val="000F7E7E"/>
    <w:rPr>
      <w:rFonts w:ascii="EUAlbertina" w:hAnsi="EUAlbertina" w:cstheme="minorBidi"/>
      <w:color w:val="auto"/>
    </w:rPr>
  </w:style>
  <w:style w:type="paragraph" w:customStyle="1" w:styleId="CM1">
    <w:name w:val="CM1"/>
    <w:basedOn w:val="Default"/>
    <w:next w:val="Default"/>
    <w:uiPriority w:val="99"/>
    <w:rsid w:val="000F7E7E"/>
    <w:rPr>
      <w:rFonts w:ascii="EUAlbertina" w:hAnsi="EUAlbertina" w:cstheme="minorBidi"/>
      <w:color w:val="auto"/>
    </w:rPr>
  </w:style>
  <w:style w:type="paragraph" w:customStyle="1" w:styleId="CM3">
    <w:name w:val="CM3"/>
    <w:basedOn w:val="Default"/>
    <w:next w:val="Default"/>
    <w:uiPriority w:val="99"/>
    <w:rsid w:val="000F7E7E"/>
    <w:rPr>
      <w:rFonts w:ascii="EUAlbertina" w:hAnsi="EUAlbertina" w:cstheme="minorBidi"/>
      <w:color w:val="auto"/>
    </w:rPr>
  </w:style>
  <w:style w:type="character" w:customStyle="1" w:styleId="summarytext">
    <w:name w:val="summarytext"/>
    <w:basedOn w:val="Standaardalinea-lettertype"/>
    <w:rsid w:val="00F23258"/>
  </w:style>
  <w:style w:type="character" w:customStyle="1" w:styleId="textcolumn">
    <w:name w:val="textcolumn"/>
    <w:basedOn w:val="Standaardalinea-lettertype"/>
    <w:rsid w:val="00F23258"/>
  </w:style>
  <w:style w:type="character" w:customStyle="1" w:styleId="fulltext">
    <w:name w:val="fulltext"/>
    <w:basedOn w:val="Standaardalinea-lettertype"/>
    <w:rsid w:val="00F23258"/>
  </w:style>
  <w:style w:type="numbering" w:customStyle="1" w:styleId="Opmaakprofiel1">
    <w:name w:val="Opmaakprofiel1"/>
    <w:uiPriority w:val="99"/>
    <w:rsid w:val="00C81AAD"/>
    <w:pPr>
      <w:numPr>
        <w:numId w:val="27"/>
      </w:numPr>
    </w:pPr>
  </w:style>
  <w:style w:type="paragraph" w:styleId="Normaalweb">
    <w:name w:val="Normal (Web)"/>
    <w:basedOn w:val="Standaard"/>
    <w:uiPriority w:val="99"/>
    <w:semiHidden/>
    <w:unhideWhenUsed/>
    <w:rsid w:val="00B55719"/>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653B37"/>
    <w:rPr>
      <w:b/>
      <w:bCs/>
    </w:rPr>
  </w:style>
  <w:style w:type="paragraph" w:customStyle="1" w:styleId="mtop">
    <w:name w:val="mtop"/>
    <w:basedOn w:val="Standaard"/>
    <w:rsid w:val="00CD2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none">
    <w:name w:val="mnone"/>
    <w:basedOn w:val="Standaard"/>
    <w:rsid w:val="00CD20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86376">
      <w:bodyDiv w:val="1"/>
      <w:marLeft w:val="0"/>
      <w:marRight w:val="0"/>
      <w:marTop w:val="0"/>
      <w:marBottom w:val="0"/>
      <w:divBdr>
        <w:top w:val="none" w:sz="0" w:space="0" w:color="auto"/>
        <w:left w:val="none" w:sz="0" w:space="0" w:color="auto"/>
        <w:bottom w:val="none" w:sz="0" w:space="0" w:color="auto"/>
        <w:right w:val="none" w:sz="0" w:space="0" w:color="auto"/>
      </w:divBdr>
    </w:div>
    <w:div w:id="622075805">
      <w:bodyDiv w:val="1"/>
      <w:marLeft w:val="0"/>
      <w:marRight w:val="0"/>
      <w:marTop w:val="0"/>
      <w:marBottom w:val="0"/>
      <w:divBdr>
        <w:top w:val="none" w:sz="0" w:space="0" w:color="auto"/>
        <w:left w:val="none" w:sz="0" w:space="0" w:color="auto"/>
        <w:bottom w:val="none" w:sz="0" w:space="0" w:color="auto"/>
        <w:right w:val="none" w:sz="0" w:space="0" w:color="auto"/>
      </w:divBdr>
      <w:divsChild>
        <w:div w:id="1423455343">
          <w:marLeft w:val="0"/>
          <w:marRight w:val="0"/>
          <w:marTop w:val="0"/>
          <w:marBottom w:val="0"/>
          <w:divBdr>
            <w:top w:val="none" w:sz="0" w:space="0" w:color="auto"/>
            <w:left w:val="none" w:sz="0" w:space="0" w:color="auto"/>
            <w:bottom w:val="none" w:sz="0" w:space="0" w:color="auto"/>
            <w:right w:val="none" w:sz="0" w:space="0" w:color="auto"/>
          </w:divBdr>
          <w:divsChild>
            <w:div w:id="662970552">
              <w:marLeft w:val="0"/>
              <w:marRight w:val="0"/>
              <w:marTop w:val="0"/>
              <w:marBottom w:val="240"/>
              <w:divBdr>
                <w:top w:val="none" w:sz="0" w:space="0" w:color="auto"/>
                <w:left w:val="none" w:sz="0" w:space="0" w:color="auto"/>
                <w:bottom w:val="none" w:sz="0" w:space="0" w:color="auto"/>
                <w:right w:val="none" w:sz="0" w:space="0" w:color="auto"/>
              </w:divBdr>
              <w:divsChild>
                <w:div w:id="3864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66323">
      <w:bodyDiv w:val="1"/>
      <w:marLeft w:val="0"/>
      <w:marRight w:val="0"/>
      <w:marTop w:val="0"/>
      <w:marBottom w:val="0"/>
      <w:divBdr>
        <w:top w:val="none" w:sz="0" w:space="0" w:color="auto"/>
        <w:left w:val="none" w:sz="0" w:space="0" w:color="auto"/>
        <w:bottom w:val="none" w:sz="0" w:space="0" w:color="auto"/>
        <w:right w:val="none" w:sz="0" w:space="0" w:color="auto"/>
      </w:divBdr>
      <w:divsChild>
        <w:div w:id="1416442388">
          <w:marLeft w:val="0"/>
          <w:marRight w:val="0"/>
          <w:marTop w:val="0"/>
          <w:marBottom w:val="0"/>
          <w:divBdr>
            <w:top w:val="none" w:sz="0" w:space="0" w:color="auto"/>
            <w:left w:val="none" w:sz="0" w:space="0" w:color="auto"/>
            <w:bottom w:val="none" w:sz="0" w:space="0" w:color="auto"/>
            <w:right w:val="none" w:sz="0" w:space="0" w:color="auto"/>
          </w:divBdr>
        </w:div>
      </w:divsChild>
    </w:div>
    <w:div w:id="925765335">
      <w:bodyDiv w:val="1"/>
      <w:marLeft w:val="0"/>
      <w:marRight w:val="0"/>
      <w:marTop w:val="0"/>
      <w:marBottom w:val="0"/>
      <w:divBdr>
        <w:top w:val="none" w:sz="0" w:space="0" w:color="auto"/>
        <w:left w:val="none" w:sz="0" w:space="0" w:color="auto"/>
        <w:bottom w:val="none" w:sz="0" w:space="0" w:color="auto"/>
        <w:right w:val="none" w:sz="0" w:space="0" w:color="auto"/>
      </w:divBdr>
      <w:divsChild>
        <w:div w:id="1649942655">
          <w:marLeft w:val="360"/>
          <w:marRight w:val="0"/>
          <w:marTop w:val="0"/>
          <w:marBottom w:val="0"/>
          <w:divBdr>
            <w:top w:val="none" w:sz="0" w:space="0" w:color="auto"/>
            <w:left w:val="none" w:sz="0" w:space="0" w:color="auto"/>
            <w:bottom w:val="none" w:sz="0" w:space="0" w:color="auto"/>
            <w:right w:val="none" w:sz="0" w:space="0" w:color="auto"/>
          </w:divBdr>
          <w:divsChild>
            <w:div w:id="1650791835">
              <w:marLeft w:val="0"/>
              <w:marRight w:val="0"/>
              <w:marTop w:val="0"/>
              <w:marBottom w:val="0"/>
              <w:divBdr>
                <w:top w:val="none" w:sz="0" w:space="0" w:color="auto"/>
                <w:left w:val="none" w:sz="0" w:space="0" w:color="auto"/>
                <w:bottom w:val="none" w:sz="0" w:space="0" w:color="auto"/>
                <w:right w:val="none" w:sz="0" w:space="0" w:color="auto"/>
              </w:divBdr>
              <w:divsChild>
                <w:div w:id="894707670">
                  <w:marLeft w:val="0"/>
                  <w:marRight w:val="0"/>
                  <w:marTop w:val="0"/>
                  <w:marBottom w:val="0"/>
                  <w:divBdr>
                    <w:top w:val="none" w:sz="0" w:space="0" w:color="auto"/>
                    <w:left w:val="none" w:sz="0" w:space="0" w:color="auto"/>
                    <w:bottom w:val="none" w:sz="0" w:space="0" w:color="auto"/>
                    <w:right w:val="none" w:sz="0" w:space="0" w:color="auto"/>
                  </w:divBdr>
                  <w:divsChild>
                    <w:div w:id="8803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80152">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719552504">
      <w:bodyDiv w:val="1"/>
      <w:marLeft w:val="0"/>
      <w:marRight w:val="0"/>
      <w:marTop w:val="0"/>
      <w:marBottom w:val="0"/>
      <w:divBdr>
        <w:top w:val="none" w:sz="0" w:space="0" w:color="auto"/>
        <w:left w:val="none" w:sz="0" w:space="0" w:color="auto"/>
        <w:bottom w:val="none" w:sz="0" w:space="0" w:color="auto"/>
        <w:right w:val="none" w:sz="0" w:space="0" w:color="auto"/>
      </w:divBdr>
      <w:divsChild>
        <w:div w:id="1934241321">
          <w:marLeft w:val="120"/>
          <w:marRight w:val="0"/>
          <w:marTop w:val="0"/>
          <w:marBottom w:val="0"/>
          <w:divBdr>
            <w:top w:val="none" w:sz="0" w:space="0" w:color="auto"/>
            <w:left w:val="none" w:sz="0" w:space="0" w:color="auto"/>
            <w:bottom w:val="none" w:sz="0" w:space="0" w:color="auto"/>
            <w:right w:val="none" w:sz="0" w:space="0" w:color="auto"/>
          </w:divBdr>
          <w:divsChild>
            <w:div w:id="1080056614">
              <w:marLeft w:val="0"/>
              <w:marRight w:val="0"/>
              <w:marTop w:val="0"/>
              <w:marBottom w:val="0"/>
              <w:divBdr>
                <w:top w:val="none" w:sz="0" w:space="0" w:color="auto"/>
                <w:left w:val="none" w:sz="0" w:space="0" w:color="auto"/>
                <w:bottom w:val="none" w:sz="0" w:space="0" w:color="auto"/>
                <w:right w:val="none" w:sz="0" w:space="0" w:color="auto"/>
              </w:divBdr>
              <w:divsChild>
                <w:div w:id="395013950">
                  <w:marLeft w:val="0"/>
                  <w:marRight w:val="0"/>
                  <w:marTop w:val="0"/>
                  <w:marBottom w:val="0"/>
                  <w:divBdr>
                    <w:top w:val="none" w:sz="0" w:space="0" w:color="auto"/>
                    <w:left w:val="none" w:sz="0" w:space="0" w:color="auto"/>
                    <w:bottom w:val="none" w:sz="0" w:space="0" w:color="auto"/>
                    <w:right w:val="none" w:sz="0" w:space="0" w:color="auto"/>
                  </w:divBdr>
                  <w:divsChild>
                    <w:div w:id="2020767793">
                      <w:marLeft w:val="0"/>
                      <w:marRight w:val="0"/>
                      <w:marTop w:val="0"/>
                      <w:marBottom w:val="0"/>
                      <w:divBdr>
                        <w:top w:val="none" w:sz="0" w:space="0" w:color="auto"/>
                        <w:left w:val="none" w:sz="0" w:space="0" w:color="auto"/>
                        <w:bottom w:val="none" w:sz="0" w:space="0" w:color="auto"/>
                        <w:right w:val="none" w:sz="0" w:space="0" w:color="auto"/>
                      </w:divBdr>
                      <w:divsChild>
                        <w:div w:id="1896964940">
                          <w:marLeft w:val="0"/>
                          <w:marRight w:val="0"/>
                          <w:marTop w:val="0"/>
                          <w:marBottom w:val="0"/>
                          <w:divBdr>
                            <w:top w:val="none" w:sz="0" w:space="0" w:color="auto"/>
                            <w:left w:val="none" w:sz="0" w:space="0" w:color="auto"/>
                            <w:bottom w:val="none" w:sz="0" w:space="0" w:color="auto"/>
                            <w:right w:val="none" w:sz="0" w:space="0" w:color="auto"/>
                          </w:divBdr>
                          <w:divsChild>
                            <w:div w:id="28991374">
                              <w:marLeft w:val="0"/>
                              <w:marRight w:val="0"/>
                              <w:marTop w:val="0"/>
                              <w:marBottom w:val="0"/>
                              <w:divBdr>
                                <w:top w:val="none" w:sz="0" w:space="0" w:color="auto"/>
                                <w:left w:val="none" w:sz="0" w:space="0" w:color="auto"/>
                                <w:bottom w:val="none" w:sz="0" w:space="0" w:color="auto"/>
                                <w:right w:val="none" w:sz="0" w:space="0" w:color="auto"/>
                              </w:divBdr>
                              <w:divsChild>
                                <w:div w:id="1918592040">
                                  <w:marLeft w:val="0"/>
                                  <w:marRight w:val="0"/>
                                  <w:marTop w:val="0"/>
                                  <w:marBottom w:val="0"/>
                                  <w:divBdr>
                                    <w:top w:val="none" w:sz="0" w:space="0" w:color="auto"/>
                                    <w:left w:val="none" w:sz="0" w:space="0" w:color="auto"/>
                                    <w:bottom w:val="none" w:sz="0" w:space="0" w:color="auto"/>
                                    <w:right w:val="none" w:sz="0" w:space="0" w:color="auto"/>
                                  </w:divBdr>
                                  <w:divsChild>
                                    <w:div w:id="1578856959">
                                      <w:marLeft w:val="0"/>
                                      <w:marRight w:val="0"/>
                                      <w:marTop w:val="0"/>
                                      <w:marBottom w:val="0"/>
                                      <w:divBdr>
                                        <w:top w:val="none" w:sz="0" w:space="0" w:color="auto"/>
                                        <w:left w:val="none" w:sz="0" w:space="0" w:color="auto"/>
                                        <w:bottom w:val="none" w:sz="0" w:space="0" w:color="auto"/>
                                        <w:right w:val="none" w:sz="0" w:space="0" w:color="auto"/>
                                      </w:divBdr>
                                      <w:divsChild>
                                        <w:div w:id="1014303534">
                                          <w:marLeft w:val="0"/>
                                          <w:marRight w:val="0"/>
                                          <w:marTop w:val="0"/>
                                          <w:marBottom w:val="0"/>
                                          <w:divBdr>
                                            <w:top w:val="none" w:sz="0" w:space="0" w:color="auto"/>
                                            <w:left w:val="none" w:sz="0" w:space="0" w:color="auto"/>
                                            <w:bottom w:val="none" w:sz="0" w:space="0" w:color="auto"/>
                                            <w:right w:val="none" w:sz="0" w:space="0" w:color="auto"/>
                                          </w:divBdr>
                                          <w:divsChild>
                                            <w:div w:id="1720862536">
                                              <w:marLeft w:val="0"/>
                                              <w:marRight w:val="0"/>
                                              <w:marTop w:val="0"/>
                                              <w:marBottom w:val="0"/>
                                              <w:divBdr>
                                                <w:top w:val="none" w:sz="0" w:space="0" w:color="auto"/>
                                                <w:left w:val="none" w:sz="0" w:space="0" w:color="auto"/>
                                                <w:bottom w:val="none" w:sz="0" w:space="0" w:color="auto"/>
                                                <w:right w:val="none" w:sz="0" w:space="0" w:color="auto"/>
                                              </w:divBdr>
                                              <w:divsChild>
                                                <w:div w:id="170530700">
                                                  <w:marLeft w:val="0"/>
                                                  <w:marRight w:val="0"/>
                                                  <w:marTop w:val="0"/>
                                                  <w:marBottom w:val="0"/>
                                                  <w:divBdr>
                                                    <w:top w:val="none" w:sz="0" w:space="0" w:color="auto"/>
                                                    <w:left w:val="none" w:sz="0" w:space="0" w:color="auto"/>
                                                    <w:bottom w:val="none" w:sz="0" w:space="0" w:color="auto"/>
                                                    <w:right w:val="none" w:sz="0" w:space="0" w:color="auto"/>
                                                  </w:divBdr>
                                                  <w:divsChild>
                                                    <w:div w:id="7068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064840">
      <w:bodyDiv w:val="1"/>
      <w:marLeft w:val="0"/>
      <w:marRight w:val="0"/>
      <w:marTop w:val="0"/>
      <w:marBottom w:val="0"/>
      <w:divBdr>
        <w:top w:val="none" w:sz="0" w:space="0" w:color="auto"/>
        <w:left w:val="none" w:sz="0" w:space="0" w:color="auto"/>
        <w:bottom w:val="none" w:sz="0" w:space="0" w:color="auto"/>
        <w:right w:val="none" w:sz="0" w:space="0" w:color="auto"/>
      </w:divBdr>
    </w:div>
    <w:div w:id="1925727511">
      <w:bodyDiv w:val="1"/>
      <w:marLeft w:val="0"/>
      <w:marRight w:val="0"/>
      <w:marTop w:val="0"/>
      <w:marBottom w:val="0"/>
      <w:divBdr>
        <w:top w:val="none" w:sz="0" w:space="0" w:color="auto"/>
        <w:left w:val="none" w:sz="0" w:space="0" w:color="auto"/>
        <w:bottom w:val="none" w:sz="0" w:space="0" w:color="auto"/>
        <w:right w:val="none" w:sz="0" w:space="0" w:color="auto"/>
      </w:divBdr>
      <w:divsChild>
        <w:div w:id="394939864">
          <w:marLeft w:val="0"/>
          <w:marRight w:val="0"/>
          <w:marTop w:val="0"/>
          <w:marBottom w:val="0"/>
          <w:divBdr>
            <w:top w:val="none" w:sz="0" w:space="0" w:color="auto"/>
            <w:left w:val="none" w:sz="0" w:space="0" w:color="auto"/>
            <w:bottom w:val="none" w:sz="0" w:space="0" w:color="auto"/>
            <w:right w:val="none" w:sz="0" w:space="0" w:color="auto"/>
          </w:divBdr>
          <w:divsChild>
            <w:div w:id="1090203235">
              <w:marLeft w:val="0"/>
              <w:marRight w:val="0"/>
              <w:marTop w:val="0"/>
              <w:marBottom w:val="0"/>
              <w:divBdr>
                <w:top w:val="none" w:sz="0" w:space="0" w:color="auto"/>
                <w:left w:val="none" w:sz="0" w:space="0" w:color="auto"/>
                <w:bottom w:val="none" w:sz="0" w:space="0" w:color="auto"/>
                <w:right w:val="none" w:sz="0" w:space="0" w:color="auto"/>
              </w:divBdr>
              <w:divsChild>
                <w:div w:id="191578892">
                  <w:marLeft w:val="0"/>
                  <w:marRight w:val="0"/>
                  <w:marTop w:val="0"/>
                  <w:marBottom w:val="0"/>
                  <w:divBdr>
                    <w:top w:val="none" w:sz="0" w:space="0" w:color="auto"/>
                    <w:left w:val="none" w:sz="0" w:space="0" w:color="auto"/>
                    <w:bottom w:val="none" w:sz="0" w:space="0" w:color="auto"/>
                    <w:right w:val="none" w:sz="0" w:space="0" w:color="auto"/>
                  </w:divBdr>
                  <w:divsChild>
                    <w:div w:id="473110613">
                      <w:marLeft w:val="0"/>
                      <w:marRight w:val="0"/>
                      <w:marTop w:val="0"/>
                      <w:marBottom w:val="0"/>
                      <w:divBdr>
                        <w:top w:val="none" w:sz="0" w:space="0" w:color="auto"/>
                        <w:left w:val="none" w:sz="0" w:space="0" w:color="auto"/>
                        <w:bottom w:val="none" w:sz="0" w:space="0" w:color="auto"/>
                        <w:right w:val="none" w:sz="0" w:space="0" w:color="auto"/>
                      </w:divBdr>
                      <w:divsChild>
                        <w:div w:id="1156191191">
                          <w:marLeft w:val="0"/>
                          <w:marRight w:val="0"/>
                          <w:marTop w:val="0"/>
                          <w:marBottom w:val="0"/>
                          <w:divBdr>
                            <w:top w:val="none" w:sz="0" w:space="0" w:color="auto"/>
                            <w:left w:val="none" w:sz="0" w:space="0" w:color="auto"/>
                            <w:bottom w:val="none" w:sz="0" w:space="0" w:color="auto"/>
                            <w:right w:val="none" w:sz="0" w:space="0" w:color="auto"/>
                          </w:divBdr>
                          <w:divsChild>
                            <w:div w:id="578171886">
                              <w:marLeft w:val="0"/>
                              <w:marRight w:val="0"/>
                              <w:marTop w:val="0"/>
                              <w:marBottom w:val="0"/>
                              <w:divBdr>
                                <w:top w:val="none" w:sz="0" w:space="0" w:color="auto"/>
                                <w:left w:val="none" w:sz="0" w:space="0" w:color="auto"/>
                                <w:bottom w:val="none" w:sz="0" w:space="0" w:color="auto"/>
                                <w:right w:val="none" w:sz="0" w:space="0" w:color="auto"/>
                              </w:divBdr>
                              <w:divsChild>
                                <w:div w:id="9961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943163">
      <w:bodyDiv w:val="1"/>
      <w:marLeft w:val="0"/>
      <w:marRight w:val="0"/>
      <w:marTop w:val="0"/>
      <w:marBottom w:val="0"/>
      <w:divBdr>
        <w:top w:val="none" w:sz="0" w:space="0" w:color="auto"/>
        <w:left w:val="none" w:sz="0" w:space="0" w:color="auto"/>
        <w:bottom w:val="none" w:sz="0" w:space="0" w:color="auto"/>
        <w:right w:val="none" w:sz="0" w:space="0" w:color="auto"/>
      </w:divBdr>
      <w:divsChild>
        <w:div w:id="703948430">
          <w:marLeft w:val="0"/>
          <w:marRight w:val="0"/>
          <w:marTop w:val="0"/>
          <w:marBottom w:val="0"/>
          <w:divBdr>
            <w:top w:val="none" w:sz="0" w:space="0" w:color="auto"/>
            <w:left w:val="none" w:sz="0" w:space="0" w:color="auto"/>
            <w:bottom w:val="none" w:sz="0" w:space="0" w:color="auto"/>
            <w:right w:val="none" w:sz="0" w:space="0" w:color="auto"/>
          </w:divBdr>
          <w:divsChild>
            <w:div w:id="1259366905">
              <w:marLeft w:val="0"/>
              <w:marRight w:val="0"/>
              <w:marTop w:val="0"/>
              <w:marBottom w:val="0"/>
              <w:divBdr>
                <w:top w:val="none" w:sz="0" w:space="0" w:color="auto"/>
                <w:left w:val="none" w:sz="0" w:space="0" w:color="auto"/>
                <w:bottom w:val="none" w:sz="0" w:space="0" w:color="auto"/>
                <w:right w:val="none" w:sz="0" w:space="0" w:color="auto"/>
              </w:divBdr>
              <w:divsChild>
                <w:div w:id="875460628">
                  <w:marLeft w:val="0"/>
                  <w:marRight w:val="0"/>
                  <w:marTop w:val="0"/>
                  <w:marBottom w:val="0"/>
                  <w:divBdr>
                    <w:top w:val="none" w:sz="0" w:space="0" w:color="auto"/>
                    <w:left w:val="none" w:sz="0" w:space="0" w:color="auto"/>
                    <w:bottom w:val="none" w:sz="0" w:space="0" w:color="auto"/>
                    <w:right w:val="none" w:sz="0" w:space="0" w:color="auto"/>
                  </w:divBdr>
                  <w:divsChild>
                    <w:div w:id="181944229">
                      <w:marLeft w:val="0"/>
                      <w:marRight w:val="0"/>
                      <w:marTop w:val="0"/>
                      <w:marBottom w:val="0"/>
                      <w:divBdr>
                        <w:top w:val="none" w:sz="0" w:space="0" w:color="auto"/>
                        <w:left w:val="none" w:sz="0" w:space="0" w:color="auto"/>
                        <w:bottom w:val="none" w:sz="0" w:space="0" w:color="auto"/>
                        <w:right w:val="none" w:sz="0" w:space="0" w:color="auto"/>
                      </w:divBdr>
                      <w:divsChild>
                        <w:div w:id="985624280">
                          <w:marLeft w:val="0"/>
                          <w:marRight w:val="-5880"/>
                          <w:marTop w:val="0"/>
                          <w:marBottom w:val="0"/>
                          <w:divBdr>
                            <w:top w:val="none" w:sz="0" w:space="0" w:color="auto"/>
                            <w:left w:val="none" w:sz="0" w:space="0" w:color="auto"/>
                            <w:bottom w:val="none" w:sz="0" w:space="0" w:color="auto"/>
                            <w:right w:val="none" w:sz="0" w:space="0" w:color="auto"/>
                          </w:divBdr>
                          <w:divsChild>
                            <w:div w:id="1088770095">
                              <w:marLeft w:val="0"/>
                              <w:marRight w:val="0"/>
                              <w:marTop w:val="360"/>
                              <w:marBottom w:val="360"/>
                              <w:divBdr>
                                <w:top w:val="none" w:sz="0" w:space="0" w:color="auto"/>
                                <w:left w:val="none" w:sz="0" w:space="0" w:color="auto"/>
                                <w:bottom w:val="none" w:sz="0" w:space="0" w:color="auto"/>
                                <w:right w:val="none" w:sz="0" w:space="0" w:color="auto"/>
                              </w:divBdr>
                              <w:divsChild>
                                <w:div w:id="426384704">
                                  <w:marLeft w:val="0"/>
                                  <w:marRight w:val="0"/>
                                  <w:marTop w:val="0"/>
                                  <w:marBottom w:val="0"/>
                                  <w:divBdr>
                                    <w:top w:val="none" w:sz="0" w:space="0" w:color="auto"/>
                                    <w:left w:val="none" w:sz="0" w:space="0" w:color="auto"/>
                                    <w:bottom w:val="none" w:sz="0" w:space="0" w:color="auto"/>
                                    <w:right w:val="none" w:sz="0" w:space="0" w:color="auto"/>
                                  </w:divBdr>
                                  <w:divsChild>
                                    <w:div w:id="1613515341">
                                      <w:marLeft w:val="0"/>
                                      <w:marRight w:val="0"/>
                                      <w:marTop w:val="0"/>
                                      <w:marBottom w:val="240"/>
                                      <w:divBdr>
                                        <w:top w:val="none" w:sz="0" w:space="0" w:color="auto"/>
                                        <w:left w:val="none" w:sz="0" w:space="0" w:color="auto"/>
                                        <w:bottom w:val="none" w:sz="0" w:space="0" w:color="auto"/>
                                        <w:right w:val="none" w:sz="0" w:space="0" w:color="auto"/>
                                      </w:divBdr>
                                      <w:divsChild>
                                        <w:div w:id="944579058">
                                          <w:marLeft w:val="0"/>
                                          <w:marRight w:val="0"/>
                                          <w:marTop w:val="0"/>
                                          <w:marBottom w:val="0"/>
                                          <w:divBdr>
                                            <w:top w:val="none" w:sz="0" w:space="0" w:color="auto"/>
                                            <w:left w:val="none" w:sz="0" w:space="0" w:color="auto"/>
                                            <w:bottom w:val="none" w:sz="0" w:space="0" w:color="auto"/>
                                            <w:right w:val="none" w:sz="0" w:space="0" w:color="auto"/>
                                          </w:divBdr>
                                          <w:divsChild>
                                            <w:div w:id="2072077607">
                                              <w:marLeft w:val="0"/>
                                              <w:marRight w:val="0"/>
                                              <w:marTop w:val="0"/>
                                              <w:marBottom w:val="0"/>
                                              <w:divBdr>
                                                <w:top w:val="none" w:sz="0" w:space="0" w:color="auto"/>
                                                <w:left w:val="none" w:sz="0" w:space="0" w:color="auto"/>
                                                <w:bottom w:val="none" w:sz="0" w:space="0" w:color="auto"/>
                                                <w:right w:val="none" w:sz="0" w:space="0" w:color="auto"/>
                                              </w:divBdr>
                                              <w:divsChild>
                                                <w:div w:id="413547467">
                                                  <w:marLeft w:val="0"/>
                                                  <w:marRight w:val="0"/>
                                                  <w:marTop w:val="0"/>
                                                  <w:marBottom w:val="0"/>
                                                  <w:divBdr>
                                                    <w:top w:val="none" w:sz="0" w:space="0" w:color="auto"/>
                                                    <w:left w:val="none" w:sz="0" w:space="0" w:color="auto"/>
                                                    <w:bottom w:val="none" w:sz="0" w:space="0" w:color="auto"/>
                                                    <w:right w:val="none" w:sz="0" w:space="0" w:color="auto"/>
                                                  </w:divBdr>
                                                  <w:divsChild>
                                                    <w:div w:id="2001421407">
                                                      <w:marLeft w:val="0"/>
                                                      <w:marRight w:val="0"/>
                                                      <w:marTop w:val="0"/>
                                                      <w:marBottom w:val="240"/>
                                                      <w:divBdr>
                                                        <w:top w:val="none" w:sz="0" w:space="0" w:color="auto"/>
                                                        <w:left w:val="none" w:sz="0" w:space="0" w:color="auto"/>
                                                        <w:bottom w:val="none" w:sz="0" w:space="0" w:color="auto"/>
                                                        <w:right w:val="none" w:sz="0" w:space="0" w:color="auto"/>
                                                      </w:divBdr>
                                                      <w:divsChild>
                                                        <w:div w:id="2070305695">
                                                          <w:marLeft w:val="0"/>
                                                          <w:marRight w:val="0"/>
                                                          <w:marTop w:val="0"/>
                                                          <w:marBottom w:val="0"/>
                                                          <w:divBdr>
                                                            <w:top w:val="none" w:sz="0" w:space="0" w:color="auto"/>
                                                            <w:left w:val="none" w:sz="0" w:space="0" w:color="auto"/>
                                                            <w:bottom w:val="none" w:sz="0" w:space="0" w:color="auto"/>
                                                            <w:right w:val="none" w:sz="0" w:space="0" w:color="auto"/>
                                                          </w:divBdr>
                                                          <w:divsChild>
                                                            <w:div w:id="12540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27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B1C4C4841B422CB9A8ED2CE14521D3"/>
        <w:category>
          <w:name w:val="Algemeen"/>
          <w:gallery w:val="placeholder"/>
        </w:category>
        <w:types>
          <w:type w:val="bbPlcHdr"/>
        </w:types>
        <w:behaviors>
          <w:behavior w:val="content"/>
        </w:behaviors>
        <w:guid w:val="{2291E9AF-5181-439D-9653-2542CC5868D2}"/>
      </w:docPartPr>
      <w:docPartBody>
        <w:p w:rsidR="001E3CF3" w:rsidRDefault="00875E75" w:rsidP="00875E75">
          <w:pPr>
            <w:pStyle w:val="95B1C4C4841B422CB9A8ED2CE14521D3"/>
          </w:pPr>
          <w:r>
            <w:rPr>
              <w:rFonts w:asciiTheme="majorHAnsi" w:eastAsiaTheme="majorEastAsia" w:hAnsiTheme="majorHAnsi" w:cstheme="majorBidi"/>
              <w:color w:val="4F81BD" w:themeColor="accent1"/>
              <w:sz w:val="24"/>
              <w:szCs w:val="24"/>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JKIN D+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Std">
    <w:altName w:val="Futura Std"/>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20">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Univers">
    <w:altName w:val="Arial"/>
    <w:panose1 w:val="00000000000000000000"/>
    <w:charset w:val="00"/>
    <w:family w:val="auto"/>
    <w:notTrueType/>
    <w:pitch w:val="default"/>
    <w:sig w:usb0="00000003" w:usb1="00000000" w:usb2="00000000" w:usb3="00000000" w:csb0="00000001" w:csb1="00000000"/>
  </w:font>
  <w:font w:name="KJJFG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875E75"/>
    <w:rsid w:val="00006EC7"/>
    <w:rsid w:val="000914FB"/>
    <w:rsid w:val="000964F8"/>
    <w:rsid w:val="000B26CA"/>
    <w:rsid w:val="00101A34"/>
    <w:rsid w:val="0011185C"/>
    <w:rsid w:val="001E1C9E"/>
    <w:rsid w:val="001E3CF3"/>
    <w:rsid w:val="001E727A"/>
    <w:rsid w:val="00233B54"/>
    <w:rsid w:val="0024720B"/>
    <w:rsid w:val="00281CA4"/>
    <w:rsid w:val="002F189F"/>
    <w:rsid w:val="00307AA6"/>
    <w:rsid w:val="00312A0F"/>
    <w:rsid w:val="00316AE0"/>
    <w:rsid w:val="00316C7B"/>
    <w:rsid w:val="00355FB7"/>
    <w:rsid w:val="003717C3"/>
    <w:rsid w:val="003955B8"/>
    <w:rsid w:val="003A183D"/>
    <w:rsid w:val="00421281"/>
    <w:rsid w:val="004343DB"/>
    <w:rsid w:val="004739EE"/>
    <w:rsid w:val="004765F9"/>
    <w:rsid w:val="00491217"/>
    <w:rsid w:val="0049390A"/>
    <w:rsid w:val="004B2A81"/>
    <w:rsid w:val="004E1477"/>
    <w:rsid w:val="004F09F9"/>
    <w:rsid w:val="004F4521"/>
    <w:rsid w:val="005002C8"/>
    <w:rsid w:val="00507673"/>
    <w:rsid w:val="00522A36"/>
    <w:rsid w:val="00552C6C"/>
    <w:rsid w:val="00574905"/>
    <w:rsid w:val="005C6284"/>
    <w:rsid w:val="005E3EFE"/>
    <w:rsid w:val="005E6431"/>
    <w:rsid w:val="0064036A"/>
    <w:rsid w:val="00643F79"/>
    <w:rsid w:val="00665DF3"/>
    <w:rsid w:val="006840DB"/>
    <w:rsid w:val="006B129A"/>
    <w:rsid w:val="006B31D5"/>
    <w:rsid w:val="006D1CC6"/>
    <w:rsid w:val="006E183D"/>
    <w:rsid w:val="00701B56"/>
    <w:rsid w:val="00706617"/>
    <w:rsid w:val="007214D2"/>
    <w:rsid w:val="00721649"/>
    <w:rsid w:val="00730C35"/>
    <w:rsid w:val="00774385"/>
    <w:rsid w:val="007A193B"/>
    <w:rsid w:val="007B38B9"/>
    <w:rsid w:val="007E545D"/>
    <w:rsid w:val="008331FD"/>
    <w:rsid w:val="008513A1"/>
    <w:rsid w:val="00855D7C"/>
    <w:rsid w:val="0087307E"/>
    <w:rsid w:val="00875E75"/>
    <w:rsid w:val="0091677D"/>
    <w:rsid w:val="0093273F"/>
    <w:rsid w:val="00973F3F"/>
    <w:rsid w:val="009836B6"/>
    <w:rsid w:val="009E050B"/>
    <w:rsid w:val="00A04086"/>
    <w:rsid w:val="00A67153"/>
    <w:rsid w:val="00A700DF"/>
    <w:rsid w:val="00A87C0C"/>
    <w:rsid w:val="00AF2A37"/>
    <w:rsid w:val="00AF4D01"/>
    <w:rsid w:val="00B2705D"/>
    <w:rsid w:val="00B9604A"/>
    <w:rsid w:val="00BB72E3"/>
    <w:rsid w:val="00BB79A3"/>
    <w:rsid w:val="00C40281"/>
    <w:rsid w:val="00C51620"/>
    <w:rsid w:val="00C600C0"/>
    <w:rsid w:val="00C62ED2"/>
    <w:rsid w:val="00C81611"/>
    <w:rsid w:val="00C91B33"/>
    <w:rsid w:val="00C976D3"/>
    <w:rsid w:val="00D9514B"/>
    <w:rsid w:val="00DB3DFE"/>
    <w:rsid w:val="00DC46E7"/>
    <w:rsid w:val="00E04B5A"/>
    <w:rsid w:val="00E04F31"/>
    <w:rsid w:val="00E33A6B"/>
    <w:rsid w:val="00E35B64"/>
    <w:rsid w:val="00E36EE5"/>
    <w:rsid w:val="00E76BAD"/>
    <w:rsid w:val="00EA08B7"/>
    <w:rsid w:val="00EB755D"/>
    <w:rsid w:val="00ED6C49"/>
    <w:rsid w:val="00F31EEE"/>
    <w:rsid w:val="00F42A77"/>
    <w:rsid w:val="00F86736"/>
    <w:rsid w:val="00FA3762"/>
    <w:rsid w:val="00FB19FF"/>
    <w:rsid w:val="00FB3D1B"/>
    <w:rsid w:val="00FF0454"/>
    <w:rsid w:val="00FF5A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3C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5B1C4C4841B422CB9A8ED2CE14521D3">
    <w:name w:val="95B1C4C4841B422CB9A8ED2CE14521D3"/>
    <w:rsid w:val="00875E75"/>
  </w:style>
  <w:style w:type="paragraph" w:customStyle="1" w:styleId="AD4C0D9EE23C4308ADF3815A74D97389">
    <w:name w:val="AD4C0D9EE23C4308ADF3815A74D97389"/>
    <w:rsid w:val="00875E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overPageProperties xmlns="http://schemas.microsoft.com/office/2006/coverPageProps">
  <PublishDate>2015-03-10T00:00:00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DA3D1BA175066541BCA74AD4BBD6DCB2" ma:contentTypeVersion="0" ma:contentTypeDescription="Een nieuw document maken." ma:contentTypeScope="" ma:versionID="a4bbe4adf9fe7402966ab46790b21c58">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EE18E-1665-4EDE-9420-43933D375461}"/>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101DEC44-0F29-4E89-B2F6-93CBDFD5B446}"/>
</file>

<file path=customXml/itemProps4.xml><?xml version="1.0" encoding="utf-8"?>
<ds:datastoreItem xmlns:ds="http://schemas.openxmlformats.org/officeDocument/2006/customXml" ds:itemID="{607CFDBA-27F6-4F5D-8C8E-EFFD8F307338}"/>
</file>

<file path=customXml/itemProps5.xml><?xml version="1.0" encoding="utf-8"?>
<ds:datastoreItem xmlns:ds="http://schemas.openxmlformats.org/officeDocument/2006/customXml" ds:itemID="{0D6FA6D0-2522-4A13-A78B-EBD2182028A9}"/>
</file>

<file path=docProps/app.xml><?xml version="1.0" encoding="utf-8"?>
<Properties xmlns="http://schemas.openxmlformats.org/officeDocument/2006/extended-properties" xmlns:vt="http://schemas.openxmlformats.org/officeDocument/2006/docPropsVTypes">
  <Template>AC3C1F6E.dotm</Template>
  <TotalTime>1</TotalTime>
  <Pages>31</Pages>
  <Words>16024</Words>
  <Characters>88132</Characters>
  <Application>Microsoft Office Word</Application>
  <DocSecurity>4</DocSecurity>
  <Lines>734</Lines>
  <Paragraphs>207</Paragraphs>
  <ScaleCrop>false</ScaleCrop>
  <HeadingPairs>
    <vt:vector size="2" baseType="variant">
      <vt:variant>
        <vt:lpstr>Titel</vt:lpstr>
      </vt:variant>
      <vt:variant>
        <vt:i4>1</vt:i4>
      </vt:variant>
    </vt:vector>
  </HeadingPairs>
  <TitlesOfParts>
    <vt:vector size="1" baseType="lpstr">
      <vt:lpstr>Memorie van Toelichting – versie Nader rapport</vt:lpstr>
    </vt:vector>
  </TitlesOfParts>
  <Company>Rijksoverheid</Company>
  <LinksUpToDate>false</LinksUpToDate>
  <CharactersWithSpaces>103949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Memorie van Toelichting – versie Nader rapport</dc:title>
  <dc:creator>Sasse</dc:creator>
  <cp:lastModifiedBy>Hans Bouwmeester</cp:lastModifiedBy>
  <cp:revision>2</cp:revision>
  <cp:lastPrinted>2016-06-07T17:27:00Z</cp:lastPrinted>
  <dcterms:created xsi:type="dcterms:W3CDTF">2016-07-06T13:45:00Z</dcterms:created>
  <dcterms:modified xsi:type="dcterms:W3CDTF">2016-07-06T13:45:00Z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Concept Memorie van Toelichting</vt:lpwstr>
  </property>
  <property fmtid="{D5CDD505-2E9C-101B-9397-08002B2CF9AE}" pid="3" name="Docgensjabloon">
    <vt:lpwstr>DocGen_Blanco document_nl_NL</vt:lpwstr>
  </property>
  <property fmtid="{D5CDD505-2E9C-101B-9397-08002B2CF9AE}" pid="4" name="ContentTypeId">
    <vt:lpwstr>0x010100DA3D1BA175066541BCA74AD4BBD6DCB2</vt:lpwstr>
  </property>
</Properties>
</file>