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DE" w:rsidRDefault="006E65DE" w:rsidP="006E65DE">
      <w:pPr>
        <w:pStyle w:val="Artikel"/>
      </w:pPr>
      <w:r w:rsidRPr="0096451D">
        <w:rPr>
          <w:noProof/>
        </w:rPr>
        <w:drawing>
          <wp:inline distT="0" distB="0" distL="0" distR="0">
            <wp:extent cx="5760085" cy="1928028"/>
            <wp:effectExtent l="1905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6E65DE" w:rsidRPr="00A90E9B" w:rsidRDefault="006E65DE" w:rsidP="006E65DE">
      <w:pPr>
        <w:pStyle w:val="Artikel"/>
        <w:rPr>
          <w:szCs w:val="18"/>
        </w:rPr>
      </w:pPr>
      <w:r w:rsidRPr="00F628CD">
        <w:rPr>
          <w:bCs/>
          <w:szCs w:val="18"/>
        </w:rPr>
        <w:t>Wijziging van enkele belastingwetten en enige andere wetten (</w:t>
      </w:r>
      <w:r>
        <w:rPr>
          <w:bCs/>
          <w:szCs w:val="18"/>
        </w:rPr>
        <w:t>Belastingplan 2017</w:t>
      </w:r>
      <w:r w:rsidRPr="00F628CD">
        <w:rPr>
          <w:bCs/>
          <w:szCs w:val="18"/>
        </w:rPr>
        <w:t>)</w:t>
      </w:r>
    </w:p>
    <w:p w:rsidR="006E65DE" w:rsidRDefault="006E65DE" w:rsidP="006E65DE"/>
    <w:p w:rsidR="00307A8E" w:rsidRPr="00DB548A" w:rsidRDefault="00307A8E" w:rsidP="006E65DE"/>
    <w:p w:rsidR="006E65DE" w:rsidRPr="00A90E9B" w:rsidRDefault="006E65DE" w:rsidP="006E65DE">
      <w:pPr>
        <w:pStyle w:val="Artikel"/>
        <w:rPr>
          <w:szCs w:val="18"/>
        </w:rPr>
      </w:pPr>
      <w:r w:rsidRPr="00A90E9B">
        <w:rPr>
          <w:szCs w:val="18"/>
        </w:rPr>
        <w:t>VOORSTEL VAN WET</w:t>
      </w:r>
    </w:p>
    <w:p w:rsidR="006E65DE" w:rsidRDefault="006E65DE" w:rsidP="006E65DE"/>
    <w:p w:rsidR="00307A8E" w:rsidRPr="00DB548A" w:rsidRDefault="00307A8E" w:rsidP="006E65DE"/>
    <w:p w:rsidR="006E65DE" w:rsidRPr="001D16C8" w:rsidRDefault="006E65DE" w:rsidP="006E65DE">
      <w:pPr>
        <w:pStyle w:val="Artikel"/>
        <w:rPr>
          <w:b w:val="0"/>
          <w:szCs w:val="18"/>
          <w:lang w:val="nl"/>
        </w:rPr>
      </w:pPr>
      <w:r w:rsidRPr="001D16C8">
        <w:rPr>
          <w:b w:val="0"/>
          <w:szCs w:val="18"/>
          <w:lang w:val="nl"/>
        </w:rPr>
        <w:t>Allen, die deze zullen zien of horen lezen, saluut! doen te weten:</w:t>
      </w:r>
    </w:p>
    <w:p w:rsidR="006E65DE" w:rsidRPr="001D16C8" w:rsidRDefault="006E65DE" w:rsidP="006E65DE">
      <w:pPr>
        <w:pStyle w:val="Artikel"/>
        <w:rPr>
          <w:b w:val="0"/>
          <w:szCs w:val="18"/>
        </w:rPr>
      </w:pPr>
      <w:r w:rsidRPr="001D16C8">
        <w:rPr>
          <w:b w:val="0"/>
          <w:szCs w:val="18"/>
        </w:rPr>
        <w:t>Alzo Wij in overweging genomen hebben, dat het voor het jaar 201</w:t>
      </w:r>
      <w:r>
        <w:rPr>
          <w:b w:val="0"/>
          <w:szCs w:val="18"/>
        </w:rPr>
        <w:t>7</w:t>
      </w:r>
      <w:r w:rsidRPr="001D16C8">
        <w:rPr>
          <w:b w:val="0"/>
          <w:szCs w:val="18"/>
        </w:rPr>
        <w:t xml:space="preserve"> wenselijk is een aantal fiscale maatregelen te treffen die voortvloeien uit de koopkrachtbesluitvorming en dat het in het kader van het fiscale beleid voor het jaar 201</w:t>
      </w:r>
      <w:r>
        <w:rPr>
          <w:b w:val="0"/>
          <w:szCs w:val="18"/>
        </w:rPr>
        <w:t>7</w:t>
      </w:r>
      <w:r w:rsidRPr="001D16C8">
        <w:rPr>
          <w:b w:val="0"/>
          <w:szCs w:val="18"/>
        </w:rPr>
        <w:t xml:space="preserve"> wenselijk is in een aantal belastingwetten en enige andere wetten wijzigingen, bijstellingen of technische reparaties aan te brengen die uiterlijk 1 januari 201</w:t>
      </w:r>
      <w:r>
        <w:rPr>
          <w:b w:val="0"/>
          <w:szCs w:val="18"/>
        </w:rPr>
        <w:t>7</w:t>
      </w:r>
      <w:r w:rsidRPr="001D16C8">
        <w:rPr>
          <w:b w:val="0"/>
          <w:szCs w:val="18"/>
        </w:rPr>
        <w:t xml:space="preserve"> in werking moeten treden; </w:t>
      </w:r>
    </w:p>
    <w:p w:rsidR="006E65DE" w:rsidRDefault="006E65DE" w:rsidP="006E65DE">
      <w:pPr>
        <w:pStyle w:val="Artikel"/>
      </w:pPr>
      <w:r w:rsidRPr="001D16C8">
        <w:rPr>
          <w:b w:val="0"/>
          <w:szCs w:val="18"/>
          <w:lang w:val="nl"/>
        </w:rPr>
        <w:t xml:space="preserve">Zo is het, dat Wij, de </w:t>
      </w:r>
      <w:r w:rsidRPr="001D16C8">
        <w:rPr>
          <w:b w:val="0"/>
          <w:szCs w:val="18"/>
        </w:rPr>
        <w:t xml:space="preserve">Afdeling advisering van de </w:t>
      </w:r>
      <w:r w:rsidRPr="001D16C8">
        <w:rPr>
          <w:b w:val="0"/>
          <w:szCs w:val="18"/>
          <w:lang w:val="nl"/>
        </w:rPr>
        <w:t>Raad van State gehoord, en met gemeen overleg der Staten-Generaal, hebben goedgevonden en verstaan, gelijk Wij goedvinden en verstaan bij deze:</w:t>
      </w:r>
    </w:p>
    <w:p w:rsidR="006E65DE" w:rsidRDefault="006E65DE" w:rsidP="00795396">
      <w:pPr>
        <w:pStyle w:val="Artikel"/>
      </w:pPr>
    </w:p>
    <w:p w:rsidR="00795396" w:rsidRDefault="00795396" w:rsidP="00795396">
      <w:pPr>
        <w:pStyle w:val="Artikel"/>
      </w:pPr>
      <w:r>
        <w:t xml:space="preserve">Artikel </w:t>
      </w:r>
      <w:r w:rsidR="00792062">
        <w:t>I</w:t>
      </w:r>
    </w:p>
    <w:p w:rsidR="00795396" w:rsidRDefault="00795396" w:rsidP="00795396"/>
    <w:p w:rsidR="00BE14C4" w:rsidRDefault="00795396" w:rsidP="00795396">
      <w:r w:rsidRPr="00795396">
        <w:t>De Wet inkomstenbelasting 2001 wordt als volgt gewijzigd:</w:t>
      </w:r>
    </w:p>
    <w:p w:rsidR="00830D73" w:rsidRDefault="00830D73" w:rsidP="00795396"/>
    <w:p w:rsidR="006F67DB" w:rsidRDefault="00792062" w:rsidP="00795396">
      <w:r>
        <w:t>A.</w:t>
      </w:r>
      <w:r w:rsidR="006F67DB">
        <w:t xml:space="preserve"> In </w:t>
      </w:r>
      <w:r w:rsidR="006F67DB" w:rsidRPr="000E201D">
        <w:rPr>
          <w:b/>
        </w:rPr>
        <w:t>artikel 2.10</w:t>
      </w:r>
      <w:r w:rsidR="006F67DB">
        <w:t>, eerste lid, wordt de tarieftabel vervangen door:</w:t>
      </w:r>
    </w:p>
    <w:tbl>
      <w:tblPr>
        <w:tblW w:w="7523" w:type="dxa"/>
        <w:tblInd w:w="708" w:type="dxa"/>
        <w:tblCellMar>
          <w:left w:w="70" w:type="dxa"/>
          <w:right w:w="70" w:type="dxa"/>
        </w:tblCellMar>
        <w:tblLook w:val="0000"/>
      </w:tblPr>
      <w:tblGrid>
        <w:gridCol w:w="1923"/>
        <w:gridCol w:w="2112"/>
        <w:gridCol w:w="1772"/>
        <w:gridCol w:w="1716"/>
      </w:tblGrid>
      <w:tr w:rsidR="006F67DB" w:rsidRPr="008058AC" w:rsidTr="006F67DB">
        <w:trPr>
          <w:trHeight w:val="2115"/>
        </w:trPr>
        <w:tc>
          <w:tcPr>
            <w:tcW w:w="1923" w:type="dxa"/>
            <w:tcBorders>
              <w:top w:val="single" w:sz="4" w:space="0" w:color="auto"/>
              <w:left w:val="nil"/>
              <w:right w:val="nil"/>
            </w:tcBorders>
            <w:shd w:val="clear" w:color="auto" w:fill="auto"/>
          </w:tcPr>
          <w:p w:rsidR="006F67DB" w:rsidRPr="00C167E6" w:rsidRDefault="006F67DB" w:rsidP="006F67DB">
            <w:pPr>
              <w:ind w:firstLine="0"/>
              <w:rPr>
                <w:sz w:val="16"/>
                <w:szCs w:val="16"/>
              </w:rPr>
            </w:pPr>
            <w:r w:rsidRPr="00C167E6">
              <w:rPr>
                <w:sz w:val="16"/>
                <w:szCs w:val="16"/>
              </w:rPr>
              <w:t>Bij een belastbaar inkomen uit werk en woning van meer dan</w:t>
            </w:r>
          </w:p>
        </w:tc>
        <w:tc>
          <w:tcPr>
            <w:tcW w:w="2112" w:type="dxa"/>
            <w:tcBorders>
              <w:top w:val="single" w:sz="4" w:space="0" w:color="auto"/>
              <w:left w:val="nil"/>
              <w:right w:val="nil"/>
            </w:tcBorders>
            <w:shd w:val="clear" w:color="auto" w:fill="auto"/>
          </w:tcPr>
          <w:p w:rsidR="006F67DB" w:rsidRPr="00C167E6" w:rsidRDefault="006F67DB" w:rsidP="006F67DB">
            <w:pPr>
              <w:ind w:firstLine="0"/>
              <w:rPr>
                <w:sz w:val="16"/>
                <w:szCs w:val="16"/>
              </w:rPr>
            </w:pPr>
            <w:r w:rsidRPr="00C167E6">
              <w:rPr>
                <w:sz w:val="16"/>
                <w:szCs w:val="16"/>
              </w:rPr>
              <w:t>maar niet meer dan</w:t>
            </w:r>
          </w:p>
        </w:tc>
        <w:tc>
          <w:tcPr>
            <w:tcW w:w="3488" w:type="dxa"/>
            <w:gridSpan w:val="2"/>
            <w:tcBorders>
              <w:top w:val="single" w:sz="4" w:space="0" w:color="auto"/>
              <w:left w:val="nil"/>
              <w:right w:val="nil"/>
            </w:tcBorders>
            <w:shd w:val="clear" w:color="auto" w:fill="auto"/>
          </w:tcPr>
          <w:p w:rsidR="006F67DB" w:rsidRPr="00C167E6" w:rsidRDefault="006F67DB" w:rsidP="006F67DB">
            <w:pPr>
              <w:ind w:firstLine="0"/>
              <w:rPr>
                <w:sz w:val="16"/>
                <w:szCs w:val="16"/>
              </w:rPr>
            </w:pPr>
            <w:r w:rsidRPr="00C167E6">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6F67DB" w:rsidRPr="00C167E6" w:rsidTr="006F67DB">
        <w:trPr>
          <w:trHeight w:val="255"/>
        </w:trPr>
        <w:tc>
          <w:tcPr>
            <w:tcW w:w="1923" w:type="dxa"/>
            <w:tcBorders>
              <w:bottom w:val="single" w:sz="4" w:space="0" w:color="auto"/>
            </w:tcBorders>
            <w:shd w:val="clear" w:color="auto" w:fill="auto"/>
            <w:noWrap/>
            <w:vAlign w:val="center"/>
          </w:tcPr>
          <w:p w:rsidR="006F67DB" w:rsidRPr="00C167E6" w:rsidRDefault="006F67DB" w:rsidP="006F67DB">
            <w:pPr>
              <w:ind w:firstLine="0"/>
              <w:rPr>
                <w:rFonts w:asciiTheme="minorHAnsi" w:hAnsiTheme="minorHAnsi"/>
                <w:b/>
                <w:sz w:val="16"/>
                <w:szCs w:val="16"/>
              </w:rPr>
            </w:pPr>
            <w:r w:rsidRPr="00C167E6">
              <w:rPr>
                <w:rFonts w:asciiTheme="minorHAnsi" w:hAnsiTheme="minorHAnsi"/>
                <w:b/>
                <w:sz w:val="16"/>
                <w:szCs w:val="16"/>
              </w:rPr>
              <w:t>I</w:t>
            </w:r>
          </w:p>
        </w:tc>
        <w:tc>
          <w:tcPr>
            <w:tcW w:w="2112" w:type="dxa"/>
            <w:tcBorders>
              <w:bottom w:val="single" w:sz="4" w:space="0" w:color="auto"/>
            </w:tcBorders>
            <w:shd w:val="clear" w:color="auto" w:fill="auto"/>
            <w:noWrap/>
            <w:vAlign w:val="center"/>
          </w:tcPr>
          <w:p w:rsidR="006F67DB" w:rsidRPr="00C167E6" w:rsidRDefault="006F67DB" w:rsidP="006F67DB">
            <w:pPr>
              <w:jc w:val="right"/>
              <w:rPr>
                <w:rFonts w:asciiTheme="minorHAnsi" w:hAnsiTheme="minorHAnsi"/>
                <w:b/>
                <w:sz w:val="16"/>
                <w:szCs w:val="16"/>
              </w:rPr>
            </w:pPr>
            <w:r w:rsidRPr="00C167E6">
              <w:rPr>
                <w:rFonts w:asciiTheme="minorHAnsi" w:hAnsiTheme="minorHAnsi"/>
                <w:b/>
                <w:sz w:val="16"/>
                <w:szCs w:val="16"/>
              </w:rPr>
              <w:t>II</w:t>
            </w:r>
          </w:p>
        </w:tc>
        <w:tc>
          <w:tcPr>
            <w:tcW w:w="1772" w:type="dxa"/>
            <w:tcBorders>
              <w:bottom w:val="single" w:sz="4" w:space="0" w:color="auto"/>
            </w:tcBorders>
            <w:shd w:val="clear" w:color="auto" w:fill="auto"/>
            <w:noWrap/>
            <w:vAlign w:val="center"/>
          </w:tcPr>
          <w:p w:rsidR="006F67DB" w:rsidRPr="00C167E6" w:rsidRDefault="006F67DB" w:rsidP="006F67DB">
            <w:pPr>
              <w:jc w:val="right"/>
              <w:rPr>
                <w:rFonts w:asciiTheme="minorHAnsi" w:hAnsiTheme="minorHAnsi"/>
                <w:b/>
                <w:sz w:val="16"/>
                <w:szCs w:val="16"/>
              </w:rPr>
            </w:pPr>
            <w:r w:rsidRPr="00C167E6">
              <w:rPr>
                <w:rFonts w:asciiTheme="minorHAnsi" w:hAnsiTheme="minorHAnsi"/>
                <w:b/>
                <w:sz w:val="16"/>
                <w:szCs w:val="16"/>
              </w:rPr>
              <w:t>III</w:t>
            </w:r>
          </w:p>
        </w:tc>
        <w:tc>
          <w:tcPr>
            <w:tcW w:w="1716" w:type="dxa"/>
            <w:tcBorders>
              <w:bottom w:val="single" w:sz="4" w:space="0" w:color="auto"/>
            </w:tcBorders>
            <w:shd w:val="clear" w:color="auto" w:fill="auto"/>
            <w:noWrap/>
            <w:vAlign w:val="center"/>
          </w:tcPr>
          <w:p w:rsidR="006F67DB" w:rsidRPr="00C167E6" w:rsidRDefault="006F67DB" w:rsidP="006F67DB">
            <w:pPr>
              <w:jc w:val="right"/>
              <w:rPr>
                <w:rFonts w:asciiTheme="minorHAnsi" w:hAnsiTheme="minorHAnsi"/>
                <w:b/>
                <w:sz w:val="16"/>
                <w:szCs w:val="16"/>
              </w:rPr>
            </w:pPr>
            <w:r w:rsidRPr="00C167E6">
              <w:rPr>
                <w:rFonts w:asciiTheme="minorHAnsi" w:hAnsiTheme="minorHAnsi"/>
                <w:b/>
                <w:sz w:val="16"/>
                <w:szCs w:val="16"/>
              </w:rPr>
              <w:t>IV</w:t>
            </w:r>
          </w:p>
        </w:tc>
      </w:tr>
      <w:tr w:rsidR="006F67DB" w:rsidRPr="008058AC" w:rsidTr="006F67DB">
        <w:trPr>
          <w:trHeight w:val="255"/>
        </w:trPr>
        <w:tc>
          <w:tcPr>
            <w:tcW w:w="1923" w:type="dxa"/>
            <w:tcBorders>
              <w:top w:val="single" w:sz="4" w:space="0" w:color="auto"/>
              <w:bottom w:val="nil"/>
            </w:tcBorders>
            <w:shd w:val="clear" w:color="auto" w:fill="auto"/>
            <w:noWrap/>
            <w:vAlign w:val="center"/>
          </w:tcPr>
          <w:p w:rsidR="006F67DB" w:rsidRPr="009A5626" w:rsidRDefault="006F67DB" w:rsidP="006F67DB">
            <w:pPr>
              <w:ind w:firstLine="0"/>
              <w:rPr>
                <w:rFonts w:asciiTheme="minorHAnsi" w:hAnsiTheme="minorHAnsi" w:cs="Arial"/>
                <w:bCs/>
                <w:sz w:val="16"/>
                <w:szCs w:val="16"/>
              </w:rPr>
            </w:pPr>
            <w:r w:rsidRPr="009A5626">
              <w:rPr>
                <w:rFonts w:asciiTheme="minorHAnsi" w:hAnsiTheme="minorHAnsi" w:cs="Arial"/>
                <w:bCs/>
                <w:sz w:val="16"/>
                <w:szCs w:val="16"/>
              </w:rPr>
              <w:t xml:space="preserve">- </w:t>
            </w:r>
          </w:p>
        </w:tc>
        <w:tc>
          <w:tcPr>
            <w:tcW w:w="2112" w:type="dxa"/>
            <w:tcBorders>
              <w:top w:val="single" w:sz="4" w:space="0" w:color="auto"/>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19.982</w:t>
            </w:r>
          </w:p>
        </w:tc>
        <w:tc>
          <w:tcPr>
            <w:tcW w:w="1772" w:type="dxa"/>
            <w:tcBorders>
              <w:top w:val="single" w:sz="4" w:space="0" w:color="auto"/>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sidRPr="009A5626">
              <w:rPr>
                <w:rFonts w:asciiTheme="minorHAnsi" w:hAnsiTheme="minorHAnsi" w:cs="Arial"/>
                <w:bCs/>
                <w:sz w:val="16"/>
                <w:szCs w:val="16"/>
              </w:rPr>
              <w:t>-</w:t>
            </w:r>
          </w:p>
        </w:tc>
        <w:tc>
          <w:tcPr>
            <w:tcW w:w="1716" w:type="dxa"/>
            <w:tcBorders>
              <w:top w:val="single" w:sz="4" w:space="0" w:color="auto"/>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sidRPr="009A5626">
              <w:rPr>
                <w:rFonts w:asciiTheme="minorHAnsi" w:hAnsiTheme="minorHAnsi" w:cs="Arial"/>
                <w:bCs/>
                <w:sz w:val="16"/>
                <w:szCs w:val="16"/>
              </w:rPr>
              <w:t>8,90%</w:t>
            </w:r>
          </w:p>
        </w:tc>
      </w:tr>
      <w:tr w:rsidR="006F67DB" w:rsidRPr="008058AC" w:rsidTr="006F67DB">
        <w:trPr>
          <w:trHeight w:val="255"/>
        </w:trPr>
        <w:tc>
          <w:tcPr>
            <w:tcW w:w="1923" w:type="dxa"/>
            <w:tcBorders>
              <w:top w:val="nil"/>
              <w:bottom w:val="nil"/>
            </w:tcBorders>
            <w:shd w:val="clear" w:color="auto" w:fill="auto"/>
            <w:noWrap/>
            <w:vAlign w:val="center"/>
          </w:tcPr>
          <w:p w:rsidR="006F67DB" w:rsidRPr="009A5626" w:rsidRDefault="006F67DB" w:rsidP="006F67DB">
            <w:pPr>
              <w:ind w:firstLine="0"/>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19.982</w:t>
            </w:r>
          </w:p>
        </w:tc>
        <w:tc>
          <w:tcPr>
            <w:tcW w:w="2112"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33.791</w:t>
            </w:r>
          </w:p>
        </w:tc>
        <w:tc>
          <w:tcPr>
            <w:tcW w:w="1772"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1.778</w:t>
            </w:r>
          </w:p>
        </w:tc>
        <w:tc>
          <w:tcPr>
            <w:tcW w:w="1716"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sidRPr="009A5626">
              <w:rPr>
                <w:rFonts w:asciiTheme="minorHAnsi" w:hAnsiTheme="minorHAnsi" w:cs="Arial"/>
                <w:bCs/>
                <w:sz w:val="16"/>
                <w:szCs w:val="16"/>
              </w:rPr>
              <w:t>13,15%</w:t>
            </w:r>
          </w:p>
        </w:tc>
      </w:tr>
      <w:tr w:rsidR="006F67DB" w:rsidRPr="008058AC" w:rsidTr="006F67DB">
        <w:trPr>
          <w:trHeight w:val="255"/>
        </w:trPr>
        <w:tc>
          <w:tcPr>
            <w:tcW w:w="1923" w:type="dxa"/>
            <w:tcBorders>
              <w:top w:val="nil"/>
              <w:bottom w:val="nil"/>
            </w:tcBorders>
            <w:shd w:val="clear" w:color="auto" w:fill="auto"/>
            <w:noWrap/>
            <w:vAlign w:val="center"/>
          </w:tcPr>
          <w:p w:rsidR="006F67DB" w:rsidRPr="009A5626" w:rsidRDefault="006F67DB" w:rsidP="006F67DB">
            <w:pPr>
              <w:ind w:firstLine="0"/>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33.791</w:t>
            </w:r>
          </w:p>
        </w:tc>
        <w:tc>
          <w:tcPr>
            <w:tcW w:w="2112"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67.072</w:t>
            </w:r>
          </w:p>
        </w:tc>
        <w:tc>
          <w:tcPr>
            <w:tcW w:w="1772"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3.593</w:t>
            </w:r>
          </w:p>
        </w:tc>
        <w:tc>
          <w:tcPr>
            <w:tcW w:w="1716" w:type="dxa"/>
            <w:tcBorders>
              <w:top w:val="nil"/>
              <w:bottom w:val="nil"/>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sidRPr="009A5626">
              <w:rPr>
                <w:rFonts w:asciiTheme="minorHAnsi" w:hAnsiTheme="minorHAnsi" w:cs="Arial"/>
                <w:bCs/>
                <w:sz w:val="16"/>
                <w:szCs w:val="16"/>
              </w:rPr>
              <w:t>40,80%</w:t>
            </w:r>
          </w:p>
        </w:tc>
      </w:tr>
      <w:tr w:rsidR="006F67DB" w:rsidRPr="008058AC" w:rsidTr="006F67DB">
        <w:trPr>
          <w:trHeight w:val="255"/>
        </w:trPr>
        <w:tc>
          <w:tcPr>
            <w:tcW w:w="1923" w:type="dxa"/>
            <w:tcBorders>
              <w:top w:val="nil"/>
              <w:bottom w:val="single" w:sz="4" w:space="0" w:color="auto"/>
            </w:tcBorders>
            <w:shd w:val="clear" w:color="auto" w:fill="auto"/>
            <w:noWrap/>
            <w:vAlign w:val="center"/>
          </w:tcPr>
          <w:p w:rsidR="006F67DB" w:rsidRPr="009A5626" w:rsidRDefault="006F67DB" w:rsidP="006F67DB">
            <w:pPr>
              <w:ind w:firstLine="0"/>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67.072</w:t>
            </w:r>
          </w:p>
        </w:tc>
        <w:tc>
          <w:tcPr>
            <w:tcW w:w="2112" w:type="dxa"/>
            <w:tcBorders>
              <w:top w:val="nil"/>
              <w:bottom w:val="single" w:sz="4" w:space="0" w:color="auto"/>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w:t>
            </w:r>
          </w:p>
        </w:tc>
        <w:tc>
          <w:tcPr>
            <w:tcW w:w="1772" w:type="dxa"/>
            <w:tcBorders>
              <w:top w:val="nil"/>
              <w:bottom w:val="single" w:sz="4" w:space="0" w:color="auto"/>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Pr>
                <w:rFonts w:asciiTheme="minorHAnsi" w:hAnsiTheme="minorHAnsi" w:cs="Arial"/>
                <w:bCs/>
                <w:sz w:val="16"/>
                <w:szCs w:val="16"/>
              </w:rPr>
              <w:t xml:space="preserve">€ </w:t>
            </w:r>
            <w:r w:rsidRPr="009A5626">
              <w:rPr>
                <w:rFonts w:asciiTheme="minorHAnsi" w:hAnsiTheme="minorHAnsi" w:cs="Arial"/>
                <w:bCs/>
                <w:sz w:val="16"/>
                <w:szCs w:val="16"/>
              </w:rPr>
              <w:t>17.171</w:t>
            </w:r>
          </w:p>
        </w:tc>
        <w:tc>
          <w:tcPr>
            <w:tcW w:w="1716" w:type="dxa"/>
            <w:tcBorders>
              <w:top w:val="nil"/>
              <w:bottom w:val="single" w:sz="4" w:space="0" w:color="auto"/>
            </w:tcBorders>
            <w:shd w:val="clear" w:color="auto" w:fill="auto"/>
            <w:noWrap/>
            <w:vAlign w:val="center"/>
          </w:tcPr>
          <w:p w:rsidR="006F67DB" w:rsidRPr="009A5626" w:rsidRDefault="006F67DB" w:rsidP="006F67DB">
            <w:pPr>
              <w:jc w:val="right"/>
              <w:rPr>
                <w:rFonts w:asciiTheme="minorHAnsi" w:hAnsiTheme="minorHAnsi" w:cs="Arial"/>
                <w:bCs/>
                <w:sz w:val="16"/>
                <w:szCs w:val="16"/>
              </w:rPr>
            </w:pPr>
            <w:r w:rsidRPr="009A5626">
              <w:rPr>
                <w:rFonts w:asciiTheme="minorHAnsi" w:hAnsiTheme="minorHAnsi" w:cs="Arial"/>
                <w:bCs/>
                <w:sz w:val="16"/>
                <w:szCs w:val="16"/>
              </w:rPr>
              <w:t>52,00%</w:t>
            </w:r>
          </w:p>
        </w:tc>
      </w:tr>
    </w:tbl>
    <w:p w:rsidR="006F67DB" w:rsidRDefault="006F67DB" w:rsidP="00795396"/>
    <w:p w:rsidR="000E201D" w:rsidRDefault="00792062" w:rsidP="00795396">
      <w:r>
        <w:t>B.</w:t>
      </w:r>
      <w:r w:rsidR="000E201D">
        <w:t xml:space="preserve"> In </w:t>
      </w:r>
      <w:r w:rsidR="000E201D" w:rsidRPr="000E201D">
        <w:rPr>
          <w:b/>
        </w:rPr>
        <w:t>artikel 2.10a</w:t>
      </w:r>
      <w:r w:rsidR="000E201D">
        <w:t>, eerste lid, wordt de tarieftabel vervangen door:</w:t>
      </w:r>
    </w:p>
    <w:tbl>
      <w:tblPr>
        <w:tblW w:w="7523" w:type="dxa"/>
        <w:tblInd w:w="708" w:type="dxa"/>
        <w:tblCellMar>
          <w:left w:w="70" w:type="dxa"/>
          <w:right w:w="70" w:type="dxa"/>
        </w:tblCellMar>
        <w:tblLook w:val="0000"/>
      </w:tblPr>
      <w:tblGrid>
        <w:gridCol w:w="1923"/>
        <w:gridCol w:w="2112"/>
        <w:gridCol w:w="1772"/>
        <w:gridCol w:w="1716"/>
      </w:tblGrid>
      <w:tr w:rsidR="000E201D" w:rsidRPr="008058AC" w:rsidTr="00FC361B">
        <w:trPr>
          <w:trHeight w:val="2115"/>
        </w:trPr>
        <w:tc>
          <w:tcPr>
            <w:tcW w:w="1923" w:type="dxa"/>
            <w:tcBorders>
              <w:top w:val="single" w:sz="4" w:space="0" w:color="auto"/>
              <w:left w:val="nil"/>
              <w:right w:val="nil"/>
            </w:tcBorders>
            <w:shd w:val="clear" w:color="auto" w:fill="auto"/>
          </w:tcPr>
          <w:p w:rsidR="000E201D" w:rsidRPr="008058AC" w:rsidRDefault="000E201D" w:rsidP="00FC361B">
            <w:pPr>
              <w:ind w:firstLine="0"/>
              <w:rPr>
                <w:sz w:val="16"/>
                <w:szCs w:val="16"/>
              </w:rPr>
            </w:pPr>
            <w:r w:rsidRPr="008058AC">
              <w:rPr>
                <w:sz w:val="16"/>
                <w:szCs w:val="16"/>
              </w:rPr>
              <w:t>Bij een belastbaar inkomen uit werk en woning van meer dan</w:t>
            </w:r>
          </w:p>
        </w:tc>
        <w:tc>
          <w:tcPr>
            <w:tcW w:w="2112" w:type="dxa"/>
            <w:tcBorders>
              <w:top w:val="single" w:sz="4" w:space="0" w:color="auto"/>
              <w:left w:val="nil"/>
              <w:right w:val="nil"/>
            </w:tcBorders>
            <w:shd w:val="clear" w:color="auto" w:fill="auto"/>
          </w:tcPr>
          <w:p w:rsidR="000E201D" w:rsidRPr="008058AC" w:rsidRDefault="000E201D" w:rsidP="00FC361B">
            <w:pPr>
              <w:ind w:firstLine="0"/>
              <w:rPr>
                <w:sz w:val="16"/>
                <w:szCs w:val="16"/>
              </w:rPr>
            </w:pPr>
            <w:r w:rsidRPr="008058AC">
              <w:rPr>
                <w:sz w:val="16"/>
                <w:szCs w:val="16"/>
              </w:rPr>
              <w:t>maar niet meer dan</w:t>
            </w:r>
          </w:p>
        </w:tc>
        <w:tc>
          <w:tcPr>
            <w:tcW w:w="3488" w:type="dxa"/>
            <w:gridSpan w:val="2"/>
            <w:tcBorders>
              <w:top w:val="single" w:sz="4" w:space="0" w:color="auto"/>
              <w:left w:val="nil"/>
              <w:right w:val="nil"/>
            </w:tcBorders>
            <w:shd w:val="clear" w:color="auto" w:fill="auto"/>
          </w:tcPr>
          <w:p w:rsidR="000E201D" w:rsidRPr="008058AC" w:rsidRDefault="000E201D" w:rsidP="00FC361B">
            <w:pPr>
              <w:ind w:firstLine="0"/>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0E201D" w:rsidRPr="00C167E6" w:rsidTr="00FC361B">
        <w:trPr>
          <w:trHeight w:val="198"/>
        </w:trPr>
        <w:tc>
          <w:tcPr>
            <w:tcW w:w="1923" w:type="dxa"/>
            <w:tcBorders>
              <w:bottom w:val="single" w:sz="4" w:space="0" w:color="auto"/>
            </w:tcBorders>
            <w:shd w:val="clear" w:color="auto" w:fill="auto"/>
            <w:noWrap/>
            <w:vAlign w:val="bottom"/>
          </w:tcPr>
          <w:p w:rsidR="000E201D" w:rsidRPr="00C167E6" w:rsidRDefault="000E201D" w:rsidP="00FC361B">
            <w:pPr>
              <w:ind w:firstLine="0"/>
              <w:rPr>
                <w:b/>
                <w:sz w:val="16"/>
                <w:szCs w:val="16"/>
              </w:rPr>
            </w:pPr>
            <w:r w:rsidRPr="00C167E6">
              <w:rPr>
                <w:b/>
                <w:sz w:val="16"/>
                <w:szCs w:val="16"/>
              </w:rPr>
              <w:t>I</w:t>
            </w:r>
          </w:p>
        </w:tc>
        <w:tc>
          <w:tcPr>
            <w:tcW w:w="2112" w:type="dxa"/>
            <w:tcBorders>
              <w:bottom w:val="single" w:sz="4" w:space="0" w:color="auto"/>
            </w:tcBorders>
            <w:shd w:val="clear" w:color="auto" w:fill="auto"/>
            <w:noWrap/>
            <w:vAlign w:val="center"/>
          </w:tcPr>
          <w:p w:rsidR="000E201D" w:rsidRPr="00C167E6" w:rsidRDefault="000E201D" w:rsidP="00FC361B">
            <w:pPr>
              <w:jc w:val="right"/>
              <w:rPr>
                <w:b/>
                <w:sz w:val="16"/>
                <w:szCs w:val="16"/>
              </w:rPr>
            </w:pPr>
            <w:r w:rsidRPr="00C167E6">
              <w:rPr>
                <w:b/>
                <w:sz w:val="16"/>
                <w:szCs w:val="16"/>
              </w:rPr>
              <w:t>II</w:t>
            </w:r>
          </w:p>
        </w:tc>
        <w:tc>
          <w:tcPr>
            <w:tcW w:w="1772" w:type="dxa"/>
            <w:tcBorders>
              <w:bottom w:val="single" w:sz="4" w:space="0" w:color="auto"/>
            </w:tcBorders>
            <w:shd w:val="clear" w:color="auto" w:fill="auto"/>
            <w:noWrap/>
            <w:vAlign w:val="center"/>
          </w:tcPr>
          <w:p w:rsidR="000E201D" w:rsidRPr="00C167E6" w:rsidRDefault="000E201D" w:rsidP="00FC361B">
            <w:pPr>
              <w:jc w:val="right"/>
              <w:rPr>
                <w:b/>
                <w:sz w:val="16"/>
                <w:szCs w:val="16"/>
              </w:rPr>
            </w:pPr>
            <w:r w:rsidRPr="00C167E6">
              <w:rPr>
                <w:b/>
                <w:sz w:val="16"/>
                <w:szCs w:val="16"/>
              </w:rPr>
              <w:t>III</w:t>
            </w:r>
          </w:p>
        </w:tc>
        <w:tc>
          <w:tcPr>
            <w:tcW w:w="1716" w:type="dxa"/>
            <w:tcBorders>
              <w:bottom w:val="single" w:sz="4" w:space="0" w:color="auto"/>
            </w:tcBorders>
            <w:shd w:val="clear" w:color="auto" w:fill="auto"/>
            <w:noWrap/>
            <w:vAlign w:val="center"/>
          </w:tcPr>
          <w:p w:rsidR="000E201D" w:rsidRPr="00C167E6" w:rsidRDefault="000E201D" w:rsidP="00FC361B">
            <w:pPr>
              <w:jc w:val="right"/>
              <w:rPr>
                <w:b/>
                <w:sz w:val="16"/>
                <w:szCs w:val="16"/>
              </w:rPr>
            </w:pPr>
            <w:r w:rsidRPr="00C167E6">
              <w:rPr>
                <w:b/>
                <w:sz w:val="16"/>
                <w:szCs w:val="16"/>
              </w:rPr>
              <w:t>IV</w:t>
            </w:r>
          </w:p>
        </w:tc>
      </w:tr>
      <w:tr w:rsidR="000E201D" w:rsidRPr="008058AC" w:rsidTr="00FC361B">
        <w:trPr>
          <w:trHeight w:val="255"/>
        </w:trPr>
        <w:tc>
          <w:tcPr>
            <w:tcW w:w="1923" w:type="dxa"/>
            <w:tcBorders>
              <w:top w:val="single" w:sz="4" w:space="0" w:color="auto"/>
              <w:bottom w:val="nil"/>
            </w:tcBorders>
            <w:shd w:val="clear" w:color="auto" w:fill="auto"/>
            <w:noWrap/>
            <w:vAlign w:val="center"/>
          </w:tcPr>
          <w:p w:rsidR="000E201D" w:rsidRPr="00FC48E9" w:rsidRDefault="000E201D" w:rsidP="00FC361B">
            <w:pPr>
              <w:ind w:firstLine="0"/>
              <w:rPr>
                <w:rFonts w:asciiTheme="minorHAnsi" w:hAnsiTheme="minorHAnsi" w:cs="Arial"/>
                <w:bCs/>
                <w:sz w:val="16"/>
                <w:szCs w:val="16"/>
              </w:rPr>
            </w:pPr>
            <w:r w:rsidRPr="00FC48E9">
              <w:rPr>
                <w:rFonts w:asciiTheme="minorHAnsi" w:hAnsiTheme="minorHAnsi" w:cs="Arial"/>
                <w:bCs/>
                <w:sz w:val="16"/>
                <w:szCs w:val="16"/>
              </w:rPr>
              <w:t xml:space="preserve">- </w:t>
            </w:r>
          </w:p>
        </w:tc>
        <w:tc>
          <w:tcPr>
            <w:tcW w:w="2112" w:type="dxa"/>
            <w:tcBorders>
              <w:top w:val="single" w:sz="4" w:space="0" w:color="auto"/>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19.982</w:t>
            </w:r>
          </w:p>
        </w:tc>
        <w:tc>
          <w:tcPr>
            <w:tcW w:w="1772" w:type="dxa"/>
            <w:tcBorders>
              <w:top w:val="single" w:sz="4" w:space="0" w:color="auto"/>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sidRPr="00FC48E9">
              <w:rPr>
                <w:rFonts w:asciiTheme="minorHAnsi" w:hAnsiTheme="minorHAnsi" w:cs="Arial"/>
                <w:bCs/>
                <w:sz w:val="16"/>
                <w:szCs w:val="16"/>
              </w:rPr>
              <w:t>-</w:t>
            </w:r>
          </w:p>
        </w:tc>
        <w:tc>
          <w:tcPr>
            <w:tcW w:w="1716" w:type="dxa"/>
            <w:tcBorders>
              <w:top w:val="single" w:sz="4" w:space="0" w:color="auto"/>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sidRPr="00FC48E9">
              <w:rPr>
                <w:rFonts w:asciiTheme="minorHAnsi" w:hAnsiTheme="minorHAnsi" w:cs="Arial"/>
                <w:bCs/>
                <w:sz w:val="16"/>
                <w:szCs w:val="16"/>
              </w:rPr>
              <w:t>8,90%</w:t>
            </w:r>
          </w:p>
        </w:tc>
      </w:tr>
      <w:tr w:rsidR="000E201D" w:rsidRPr="008058AC" w:rsidTr="00FC361B">
        <w:trPr>
          <w:trHeight w:val="255"/>
        </w:trPr>
        <w:tc>
          <w:tcPr>
            <w:tcW w:w="1923" w:type="dxa"/>
            <w:tcBorders>
              <w:top w:val="nil"/>
              <w:bottom w:val="nil"/>
            </w:tcBorders>
            <w:shd w:val="clear" w:color="auto" w:fill="auto"/>
            <w:noWrap/>
            <w:vAlign w:val="center"/>
          </w:tcPr>
          <w:p w:rsidR="000E201D" w:rsidRPr="00FC48E9" w:rsidRDefault="000E201D"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19.982</w:t>
            </w:r>
          </w:p>
        </w:tc>
        <w:tc>
          <w:tcPr>
            <w:tcW w:w="2112"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34.130</w:t>
            </w:r>
          </w:p>
        </w:tc>
        <w:tc>
          <w:tcPr>
            <w:tcW w:w="1772"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1.778</w:t>
            </w:r>
          </w:p>
        </w:tc>
        <w:tc>
          <w:tcPr>
            <w:tcW w:w="1716"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sidRPr="00FC48E9">
              <w:rPr>
                <w:rFonts w:asciiTheme="minorHAnsi" w:hAnsiTheme="minorHAnsi" w:cs="Arial"/>
                <w:bCs/>
                <w:sz w:val="16"/>
                <w:szCs w:val="16"/>
              </w:rPr>
              <w:t>13,15%</w:t>
            </w:r>
          </w:p>
        </w:tc>
      </w:tr>
      <w:tr w:rsidR="000E201D" w:rsidRPr="008058AC" w:rsidTr="00FC361B">
        <w:trPr>
          <w:trHeight w:val="255"/>
        </w:trPr>
        <w:tc>
          <w:tcPr>
            <w:tcW w:w="1923" w:type="dxa"/>
            <w:tcBorders>
              <w:top w:val="nil"/>
              <w:bottom w:val="nil"/>
            </w:tcBorders>
            <w:shd w:val="clear" w:color="auto" w:fill="auto"/>
            <w:noWrap/>
            <w:vAlign w:val="center"/>
          </w:tcPr>
          <w:p w:rsidR="000E201D" w:rsidRPr="00FC48E9" w:rsidRDefault="000E201D"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34.130</w:t>
            </w:r>
          </w:p>
        </w:tc>
        <w:tc>
          <w:tcPr>
            <w:tcW w:w="2112"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67.072</w:t>
            </w:r>
          </w:p>
        </w:tc>
        <w:tc>
          <w:tcPr>
            <w:tcW w:w="1772"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3.638</w:t>
            </w:r>
          </w:p>
        </w:tc>
        <w:tc>
          <w:tcPr>
            <w:tcW w:w="1716" w:type="dxa"/>
            <w:tcBorders>
              <w:top w:val="nil"/>
              <w:bottom w:val="nil"/>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sidRPr="00FC48E9">
              <w:rPr>
                <w:rFonts w:asciiTheme="minorHAnsi" w:hAnsiTheme="minorHAnsi" w:cs="Arial"/>
                <w:bCs/>
                <w:sz w:val="16"/>
                <w:szCs w:val="16"/>
              </w:rPr>
              <w:t>40,80%</w:t>
            </w:r>
          </w:p>
        </w:tc>
      </w:tr>
      <w:tr w:rsidR="000E201D" w:rsidRPr="008058AC" w:rsidTr="00FC361B">
        <w:trPr>
          <w:trHeight w:val="255"/>
        </w:trPr>
        <w:tc>
          <w:tcPr>
            <w:tcW w:w="1923" w:type="dxa"/>
            <w:tcBorders>
              <w:top w:val="nil"/>
              <w:bottom w:val="single" w:sz="4" w:space="0" w:color="auto"/>
            </w:tcBorders>
            <w:shd w:val="clear" w:color="auto" w:fill="auto"/>
            <w:noWrap/>
            <w:vAlign w:val="center"/>
          </w:tcPr>
          <w:p w:rsidR="000E201D" w:rsidRPr="00FC48E9" w:rsidRDefault="000E201D"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67.072</w:t>
            </w:r>
          </w:p>
        </w:tc>
        <w:tc>
          <w:tcPr>
            <w:tcW w:w="2112" w:type="dxa"/>
            <w:tcBorders>
              <w:top w:val="nil"/>
              <w:bottom w:val="single" w:sz="4" w:space="0" w:color="auto"/>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w:t>
            </w:r>
          </w:p>
        </w:tc>
        <w:tc>
          <w:tcPr>
            <w:tcW w:w="1772" w:type="dxa"/>
            <w:tcBorders>
              <w:top w:val="nil"/>
              <w:bottom w:val="single" w:sz="4" w:space="0" w:color="auto"/>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FC48E9">
              <w:rPr>
                <w:rFonts w:asciiTheme="minorHAnsi" w:hAnsiTheme="minorHAnsi" w:cs="Arial"/>
                <w:bCs/>
                <w:sz w:val="16"/>
                <w:szCs w:val="16"/>
              </w:rPr>
              <w:t>17.078</w:t>
            </w:r>
          </w:p>
        </w:tc>
        <w:tc>
          <w:tcPr>
            <w:tcW w:w="1716" w:type="dxa"/>
            <w:tcBorders>
              <w:top w:val="nil"/>
              <w:bottom w:val="single" w:sz="4" w:space="0" w:color="auto"/>
            </w:tcBorders>
            <w:shd w:val="clear" w:color="auto" w:fill="auto"/>
            <w:noWrap/>
            <w:vAlign w:val="center"/>
          </w:tcPr>
          <w:p w:rsidR="000E201D" w:rsidRPr="00FC48E9" w:rsidRDefault="000E201D" w:rsidP="00FC361B">
            <w:pPr>
              <w:jc w:val="right"/>
              <w:rPr>
                <w:rFonts w:asciiTheme="minorHAnsi" w:hAnsiTheme="minorHAnsi" w:cs="Arial"/>
                <w:bCs/>
                <w:sz w:val="16"/>
                <w:szCs w:val="16"/>
              </w:rPr>
            </w:pPr>
            <w:r w:rsidRPr="00FC48E9">
              <w:rPr>
                <w:rFonts w:asciiTheme="minorHAnsi" w:hAnsiTheme="minorHAnsi" w:cs="Arial"/>
                <w:bCs/>
                <w:sz w:val="16"/>
                <w:szCs w:val="16"/>
              </w:rPr>
              <w:t>52,00%</w:t>
            </w:r>
          </w:p>
        </w:tc>
      </w:tr>
    </w:tbl>
    <w:p w:rsidR="000E201D" w:rsidRDefault="000E201D" w:rsidP="00795396"/>
    <w:p w:rsidR="007237D3" w:rsidRDefault="00792062" w:rsidP="00795396">
      <w:r>
        <w:t>C.</w:t>
      </w:r>
      <w:r w:rsidR="00830D73">
        <w:t xml:space="preserve"> </w:t>
      </w:r>
      <w:r w:rsidR="007237D3" w:rsidRPr="007237D3">
        <w:rPr>
          <w:b/>
        </w:rPr>
        <w:t>A</w:t>
      </w:r>
      <w:r w:rsidR="00830D73" w:rsidRPr="00830D73">
        <w:rPr>
          <w:b/>
        </w:rPr>
        <w:t>rtikel 2.14</w:t>
      </w:r>
      <w:r w:rsidR="007237D3">
        <w:t xml:space="preserve"> wordt als volgt gewijzigd: </w:t>
      </w:r>
    </w:p>
    <w:p w:rsidR="00830D73" w:rsidRDefault="007237D3" w:rsidP="00795396">
      <w:r>
        <w:t xml:space="preserve">1. In het </w:t>
      </w:r>
      <w:r w:rsidR="00830D73" w:rsidRPr="00830D73">
        <w:t>derde lid wordt</w:t>
      </w:r>
      <w:r w:rsidR="00E37816">
        <w:t>,</w:t>
      </w:r>
      <w:r w:rsidR="00830D73" w:rsidRPr="00830D73">
        <w:t xml:space="preserve"> onder verlettering van onderdeel d tot onderdeel e, </w:t>
      </w:r>
      <w:r w:rsidR="00E37816">
        <w:t xml:space="preserve">na onderdeel c </w:t>
      </w:r>
      <w:r w:rsidR="00830D73" w:rsidRPr="00830D73">
        <w:t>een onderdeel ingevoegd, luidende</w:t>
      </w:r>
      <w:r w:rsidR="00830D73">
        <w:t>:</w:t>
      </w:r>
    </w:p>
    <w:p w:rsidR="00830D73" w:rsidRDefault="00830D73" w:rsidP="00795396">
      <w:r>
        <w:t xml:space="preserve">d. </w:t>
      </w:r>
      <w:r w:rsidRPr="00830D73">
        <w:t xml:space="preserve">vermogensbestanddelen, of delen daarvan, die gedurende een periode van meer dan zes achtereenvolgende maanden, maar niet meer dan achttien achtereenvolgende maanden inkomen uit werk en woning of uit aanmerkelijk belang genereren en die in ten minste een deel van die periode behoren tot de bezittingen van een lichaam waarbij </w:t>
      </w:r>
      <w:r w:rsidR="007237D3">
        <w:t>een forfaitair voordeel als</w:t>
      </w:r>
      <w:r w:rsidRPr="00830D73">
        <w:t xml:space="preserve"> bedoeld in artikel 4.13, eerste lid, onderdeel a, </w:t>
      </w:r>
      <w:r w:rsidR="007237D3">
        <w:t xml:space="preserve">uit de aandelen in of winstbewijzen van dat lichaam tot de reguliere voordelen, bedoeld in artikel 4.12, onderdeel a, behoort, </w:t>
      </w:r>
      <w:r w:rsidRPr="00830D73">
        <w:t>en daaraan voorafgaand en daaropvolgend inkomen uit sparen en beleggen genereren, tevens in aanmerking genomen bij de bepaling van het belastbare inkomen uit sparen en beleggen indien in deze periode een peildatum is gelegen als bedoeld in artikel 5.2, tenzij de belastingplichtige aannemelijk maakt dat aan zijn handelingen zakelijke overwegingen ten grondslag liggen;</w:t>
      </w:r>
      <w:r>
        <w:t>.</w:t>
      </w:r>
    </w:p>
    <w:p w:rsidR="007237D3" w:rsidRDefault="007237D3" w:rsidP="00795396">
      <w:r>
        <w:t xml:space="preserve">2. In het vierde lid wordt “het derde lid, onderdeel d” vervangen door: het derde lid, onderdeel e. </w:t>
      </w:r>
    </w:p>
    <w:p w:rsidR="00830D73" w:rsidRDefault="00830D73" w:rsidP="00795396"/>
    <w:p w:rsidR="003205F8" w:rsidRPr="00724996" w:rsidRDefault="00792062" w:rsidP="00795396">
      <w:r>
        <w:t>D.</w:t>
      </w:r>
      <w:r w:rsidR="003205F8">
        <w:t xml:space="preserve"> </w:t>
      </w:r>
      <w:r w:rsidR="003205F8" w:rsidRPr="00724996">
        <w:rPr>
          <w:b/>
        </w:rPr>
        <w:t>Artikel 2.14a</w:t>
      </w:r>
      <w:r w:rsidR="003205F8" w:rsidRPr="00724996">
        <w:t>, zevende lid, komt te luiden:</w:t>
      </w:r>
    </w:p>
    <w:p w:rsidR="003205F8" w:rsidRPr="00724996" w:rsidRDefault="003205F8" w:rsidP="00795396">
      <w:r w:rsidRPr="00724996">
        <w:t xml:space="preserve">7. Onder de bezittingen en schulden alsmede de opbrengsten en uitgaven, bedoeld in het eerste lid, worden niet begrepen de bezittingen en schulden alsmede de opbrengsten en uitgaven </w:t>
      </w:r>
      <w:r w:rsidR="00724996">
        <w:t xml:space="preserve">ter zake waarvan </w:t>
      </w:r>
      <w:r w:rsidRPr="00724996">
        <w:t>blijkt dat die tot het vermogen</w:t>
      </w:r>
      <w:r w:rsidR="00724996">
        <w:t>, onderscheidenlijk de winst,</w:t>
      </w:r>
      <w:r w:rsidRPr="00724996">
        <w:t xml:space="preserve"> van een onderneming van het afgezonderd particulier vermogen behoren</w:t>
      </w:r>
      <w:r w:rsidR="00724996">
        <w:t>, voor zover blijkt dat de winst uit deze onderneming in de staat of in de staten waarin deze wordt gedreven is onderworpen aan een belasting naar de winst. Onder een onderneming als bedoeld in de eerste volzin wordt mede begrepen een werkzaamheid als bedoeld in artikel 4, onderdeel b, van de Wet op de vennootschapsbelasting 1969</w:t>
      </w:r>
      <w:r w:rsidRPr="00724996">
        <w:t>.</w:t>
      </w:r>
    </w:p>
    <w:p w:rsidR="003205F8" w:rsidRPr="00724996" w:rsidRDefault="003205F8" w:rsidP="00795396"/>
    <w:p w:rsidR="00830D73" w:rsidRDefault="00792062" w:rsidP="00795396">
      <w:r>
        <w:t>E.</w:t>
      </w:r>
      <w:r w:rsidR="00830D73">
        <w:t xml:space="preserve"> </w:t>
      </w:r>
      <w:r w:rsidR="00830D73" w:rsidRPr="00830D73">
        <w:t xml:space="preserve">In </w:t>
      </w:r>
      <w:r w:rsidR="00830D73" w:rsidRPr="00830D73">
        <w:rPr>
          <w:b/>
        </w:rPr>
        <w:t>artikel 3.95a</w:t>
      </w:r>
      <w:r w:rsidR="00830D73" w:rsidRPr="00830D73">
        <w:t xml:space="preserve"> wordt “artikel 2.14, derde lid, onderdeel d” telkens vervangen door: artikel 2.14, derde lid, onderdeel e</w:t>
      </w:r>
      <w:r w:rsidR="00830D73">
        <w:t>.</w:t>
      </w:r>
    </w:p>
    <w:p w:rsidR="00E17D96" w:rsidRDefault="00E17D96" w:rsidP="00795396"/>
    <w:p w:rsidR="007237D3" w:rsidRDefault="00792062" w:rsidP="00795396">
      <w:r>
        <w:lastRenderedPageBreak/>
        <w:t>F.</w:t>
      </w:r>
      <w:r w:rsidR="00830D73">
        <w:t xml:space="preserve"> </w:t>
      </w:r>
      <w:r w:rsidR="007237D3" w:rsidRPr="007237D3">
        <w:rPr>
          <w:b/>
        </w:rPr>
        <w:t>A</w:t>
      </w:r>
      <w:r w:rsidR="00830D73" w:rsidRPr="00830D73">
        <w:rPr>
          <w:b/>
        </w:rPr>
        <w:t>rtikel 4.16</w:t>
      </w:r>
      <w:r w:rsidR="007237D3">
        <w:t xml:space="preserve"> wordt als volgt gewijzigd:</w:t>
      </w:r>
      <w:r w:rsidR="00830D73" w:rsidRPr="00830D73">
        <w:t xml:space="preserve"> </w:t>
      </w:r>
    </w:p>
    <w:p w:rsidR="00830D73" w:rsidRDefault="007237D3" w:rsidP="00795396">
      <w:r>
        <w:t xml:space="preserve">1. Aan het </w:t>
      </w:r>
      <w:r w:rsidR="00830D73" w:rsidRPr="00830D73">
        <w:t>eerste lid wordt, onder vervanging van de punt aan het slot van onderdeel j door</w:t>
      </w:r>
      <w:r w:rsidR="00E37816">
        <w:t xml:space="preserve"> een puntkomma, een onderdeel toe</w:t>
      </w:r>
      <w:r w:rsidR="00830D73" w:rsidRPr="00830D73">
        <w:t>gevoegd, luidende</w:t>
      </w:r>
      <w:r w:rsidR="00830D73">
        <w:t>:</w:t>
      </w:r>
    </w:p>
    <w:p w:rsidR="00830D73" w:rsidRDefault="00830D73" w:rsidP="00795396">
      <w:r>
        <w:t xml:space="preserve">k. </w:t>
      </w:r>
      <w:r w:rsidRPr="00830D73">
        <w:t xml:space="preserve">het </w:t>
      </w:r>
      <w:r w:rsidR="007237D3">
        <w:t>tot de reguliere voordelen, bedoeld in artikel 4.12, onderdeel a, uit de aandelen of winstbewijzen gaan behoren van een forfaitair voordeel als bedoeld</w:t>
      </w:r>
      <w:r w:rsidRPr="00830D73">
        <w:t xml:space="preserve"> in artikel 4.13, eerste lid, onde</w:t>
      </w:r>
      <w:r w:rsidR="007237D3">
        <w:t>rdeel a.</w:t>
      </w:r>
    </w:p>
    <w:p w:rsidR="007237D3" w:rsidRDefault="007237D3" w:rsidP="00795396">
      <w:r>
        <w:t>2. Er worden twee leden toegevoegd, luidende:</w:t>
      </w:r>
    </w:p>
    <w:p w:rsidR="007237D3" w:rsidRDefault="007237D3" w:rsidP="00795396">
      <w:r>
        <w:t>6. De vervreemding, bedoeld in het eerste lid, aanhef en onderdeel k, wordt geacht plaats te vinden op de eerste dag van de periode waarover het reguliere voordeel, bedoeld in het eerste lid,onderdeel k, wordt berekend.</w:t>
      </w:r>
    </w:p>
    <w:p w:rsidR="008C67D2" w:rsidRDefault="008C67D2" w:rsidP="00795396">
      <w:r>
        <w:t>7. Het eerste lid, aanhef en onderdeel k, is niet van toepassing als toepassing ervan zou leiden tot een ingevolge artikel 4.12, onderdeel b, in aanmerking te nemen negatief vervreemdingsvoordeel.</w:t>
      </w:r>
    </w:p>
    <w:p w:rsidR="00E17D96" w:rsidRDefault="00E17D96" w:rsidP="00795396"/>
    <w:p w:rsidR="00830D73" w:rsidRDefault="00792062" w:rsidP="00795396">
      <w:r>
        <w:t>G.</w:t>
      </w:r>
      <w:r w:rsidR="00830D73">
        <w:t xml:space="preserve"> </w:t>
      </w:r>
      <w:r w:rsidR="00830D73" w:rsidRPr="00830D73">
        <w:rPr>
          <w:b/>
        </w:rPr>
        <w:t>Artikel 4.27</w:t>
      </w:r>
      <w:r w:rsidR="00830D73" w:rsidRPr="00830D73">
        <w:t xml:space="preserve"> wordt als volgt gewijzigd</w:t>
      </w:r>
      <w:r w:rsidR="00830D73">
        <w:t>:</w:t>
      </w:r>
    </w:p>
    <w:p w:rsidR="00830D73" w:rsidRDefault="00830D73" w:rsidP="00795396">
      <w:r>
        <w:t xml:space="preserve">1. </w:t>
      </w:r>
      <w:r w:rsidRPr="00830D73">
        <w:t>In het opschrift wordt “Reguliere voordelen” vervangen door: Voordelen</w:t>
      </w:r>
      <w:r>
        <w:t>.</w:t>
      </w:r>
    </w:p>
    <w:p w:rsidR="00830D73" w:rsidRDefault="00830D73" w:rsidP="00795396">
      <w:r>
        <w:t xml:space="preserve">2. </w:t>
      </w:r>
      <w:r w:rsidRPr="00830D73">
        <w:t>Er wordt een lid toegevoegd, luidende</w:t>
      </w:r>
      <w:r>
        <w:t>:</w:t>
      </w:r>
    </w:p>
    <w:p w:rsidR="00830D73" w:rsidRDefault="00830D73" w:rsidP="00830D73">
      <w:r>
        <w:t xml:space="preserve">3. </w:t>
      </w:r>
      <w:r w:rsidR="008C67D2">
        <w:t>Indien ter zake</w:t>
      </w:r>
      <w:r w:rsidRPr="00830D73">
        <w:t xml:space="preserve"> van </w:t>
      </w:r>
      <w:r w:rsidR="008C67D2">
        <w:t xml:space="preserve">een vervreemding als bedoeld in </w:t>
      </w:r>
      <w:r w:rsidRPr="00830D73">
        <w:t xml:space="preserve">artikel 4.16, eerste lid, </w:t>
      </w:r>
      <w:r w:rsidR="008C67D2">
        <w:t xml:space="preserve">aanhef en </w:t>
      </w:r>
      <w:r w:rsidRPr="00830D73">
        <w:t>onderdeel k, een vervreemdingsvoordeel</w:t>
      </w:r>
      <w:r w:rsidR="008C67D2">
        <w:t xml:space="preserve"> als bedoeld in artikel 4.12, onderdeel b,</w:t>
      </w:r>
      <w:r w:rsidRPr="00830D73">
        <w:t xml:space="preserve"> in aanmerking is genomen, wordt de verkrijgingsprijs van het desbetreffende aandeel of winstbewijs daarmee verhoogd</w:t>
      </w:r>
      <w:r>
        <w:t>.</w:t>
      </w:r>
    </w:p>
    <w:p w:rsidR="00E17D96" w:rsidRDefault="00E17D96" w:rsidP="00830D73"/>
    <w:p w:rsidR="003276A7" w:rsidRDefault="00792062" w:rsidP="00795396">
      <w:r>
        <w:t>H.</w:t>
      </w:r>
      <w:r w:rsidR="003276A7">
        <w:t xml:space="preserve"> </w:t>
      </w:r>
      <w:r w:rsidR="003276A7" w:rsidRPr="003276A7">
        <w:rPr>
          <w:b/>
        </w:rPr>
        <w:t>Artikel 7.7</w:t>
      </w:r>
      <w:r w:rsidR="003276A7" w:rsidRPr="003276A7">
        <w:t>, eerste lid, wordt als volgt gewijzigd:</w:t>
      </w:r>
    </w:p>
    <w:p w:rsidR="003276A7" w:rsidRDefault="003276A7" w:rsidP="00795396">
      <w:r w:rsidRPr="003276A7">
        <w:t>1. De tweede en derde volzin worden vervangen door: Het voordeel uit sparen en beleggen in Nederland wordt gesteld op het met overeenkomstige toepassing van de regels van hoofdstuk 5 bepaalde rendement van de rendementsgrondslag in Nederland.</w:t>
      </w:r>
    </w:p>
    <w:p w:rsidR="003276A7" w:rsidRDefault="003276A7" w:rsidP="00795396">
      <w:r w:rsidRPr="003276A7">
        <w:t>2. De tabel vervalt.</w:t>
      </w:r>
    </w:p>
    <w:p w:rsidR="00795396" w:rsidRDefault="00795396" w:rsidP="003276A7">
      <w:pPr>
        <w:ind w:firstLine="0"/>
      </w:pPr>
    </w:p>
    <w:p w:rsidR="003276A7" w:rsidRDefault="00792062" w:rsidP="003276A7">
      <w:r>
        <w:t>I.</w:t>
      </w:r>
      <w:r w:rsidR="003276A7">
        <w:t xml:space="preserve"> </w:t>
      </w:r>
      <w:r w:rsidR="003276A7" w:rsidRPr="003276A7">
        <w:rPr>
          <w:b/>
        </w:rPr>
        <w:t>Artikel 7.8</w:t>
      </w:r>
      <w:r w:rsidR="003276A7" w:rsidRPr="003276A7">
        <w:t xml:space="preserve"> wordt als volgt gewijzigd:</w:t>
      </w:r>
    </w:p>
    <w:p w:rsidR="003276A7" w:rsidRDefault="003276A7" w:rsidP="003276A7">
      <w:r w:rsidRPr="003276A7">
        <w:t>1. In het derde lid, onderdeel a, wordt “genomen;” vervangen door: genomen, en.</w:t>
      </w:r>
    </w:p>
    <w:p w:rsidR="003276A7" w:rsidRDefault="003276A7" w:rsidP="003276A7">
      <w:r w:rsidRPr="003276A7">
        <w:t>2. In het derde lid vervallen de onderdelen b en c.</w:t>
      </w:r>
    </w:p>
    <w:p w:rsidR="003276A7" w:rsidRDefault="003276A7" w:rsidP="003276A7">
      <w:r w:rsidRPr="003276A7">
        <w:t>3. In het derde lid wordt onderdeel d verletterd tot onderdeel b.</w:t>
      </w:r>
    </w:p>
    <w:p w:rsidR="003276A7" w:rsidRDefault="003276A7" w:rsidP="003276A7">
      <w:r w:rsidRPr="003276A7">
        <w:t>4. In het zevende lid vervalt: , waarbij voor het bepalen van het voordeel uit sparen en beleggen wordt uitgegaan van de grondslag sparen en beleggen vermeerderd met het heffingvrije vermogen en waarbij de omvang van het gedeelte van die grondslag dat behoort tot rendementsklasse I en de omvang van het gedeelte van die grondslag dat behoort tot rendementsklasse II worden bepaald aan de hand van de tabel in artikel 7.7, eerste lid.</w:t>
      </w:r>
    </w:p>
    <w:p w:rsidR="003276A7" w:rsidRDefault="003276A7" w:rsidP="003276A7"/>
    <w:p w:rsidR="000E201D" w:rsidRDefault="00792062" w:rsidP="003276A7">
      <w:r>
        <w:t>J.</w:t>
      </w:r>
      <w:r w:rsidR="000E201D">
        <w:t xml:space="preserve"> Het in </w:t>
      </w:r>
      <w:r w:rsidR="000E201D" w:rsidRPr="000E201D">
        <w:rPr>
          <w:b/>
        </w:rPr>
        <w:t>artikel 8.10</w:t>
      </w:r>
      <w:r w:rsidR="000E201D">
        <w:t>, tweede lid, genoemde bedrag wordt vervangen door: € 2.254.</w:t>
      </w:r>
    </w:p>
    <w:p w:rsidR="000E201D" w:rsidRDefault="000E201D" w:rsidP="003276A7"/>
    <w:p w:rsidR="000E201D" w:rsidRDefault="00792062" w:rsidP="003276A7">
      <w:r>
        <w:t>K.</w:t>
      </w:r>
      <w:r w:rsidR="000E201D">
        <w:t xml:space="preserve"> Het in </w:t>
      </w:r>
      <w:r w:rsidR="000E201D" w:rsidRPr="000E201D">
        <w:rPr>
          <w:b/>
        </w:rPr>
        <w:t>artikel 8.11</w:t>
      </w:r>
      <w:r w:rsidR="000E201D">
        <w:t>, tweede lid, eerste volzin, onderdeel b, als tweede genoemde bedrag wordt vervangen door: € 3.223.</w:t>
      </w:r>
    </w:p>
    <w:p w:rsidR="000E201D" w:rsidRDefault="000E201D" w:rsidP="003276A7"/>
    <w:p w:rsidR="000E201D" w:rsidRDefault="00792062" w:rsidP="003276A7">
      <w:r>
        <w:t>L.</w:t>
      </w:r>
      <w:r w:rsidR="000E201D">
        <w:t xml:space="preserve"> Het in </w:t>
      </w:r>
      <w:r w:rsidR="000E201D" w:rsidRPr="000E201D">
        <w:rPr>
          <w:b/>
        </w:rPr>
        <w:t>artikel 8.17</w:t>
      </w:r>
      <w:r w:rsidR="000E201D">
        <w:t>, tweede lid, als eerste genoemde bedrag wordt vervangen door: € 1.292.</w:t>
      </w:r>
    </w:p>
    <w:p w:rsidR="003276A7" w:rsidRDefault="003276A7" w:rsidP="003276A7"/>
    <w:p w:rsidR="003276A7" w:rsidRDefault="00792062" w:rsidP="003276A7">
      <w:r>
        <w:t>M.</w:t>
      </w:r>
      <w:r w:rsidR="003276A7">
        <w:t xml:space="preserve"> </w:t>
      </w:r>
      <w:r w:rsidR="008C67D2" w:rsidRPr="008C67D2">
        <w:rPr>
          <w:b/>
        </w:rPr>
        <w:t>A</w:t>
      </w:r>
      <w:r w:rsidR="003276A7" w:rsidRPr="003276A7">
        <w:rPr>
          <w:b/>
        </w:rPr>
        <w:t>rtikel 10.6bis</w:t>
      </w:r>
      <w:r w:rsidR="008C67D2">
        <w:t xml:space="preserve"> wordt als volgt gewijzigd:</w:t>
      </w:r>
    </w:p>
    <w:p w:rsidR="008C67D2" w:rsidRDefault="008C67D2" w:rsidP="003276A7">
      <w:r>
        <w:t>1. In het opschrift wordt “percentage rendementsklasse I en rendementsklasse II” vervangen door: percentages forfaitair voordeel uit vermogen.</w:t>
      </w:r>
    </w:p>
    <w:p w:rsidR="008C67D2" w:rsidRDefault="008C67D2" w:rsidP="003276A7">
      <w:r>
        <w:t>2. Onder vernummering van het eerste tot en met zesde lid tot tweede tot en met zevende lid wordt vóór het tweede lid (nieuw) een lid ingevoegd, luidende:</w:t>
      </w:r>
    </w:p>
    <w:p w:rsidR="008C67D2" w:rsidRDefault="008C67D2" w:rsidP="003276A7">
      <w:r>
        <w:t>1. Bij het begin van het kalenderjaar wordt het in artikel 4.14, eerste lid, vermelde percentage na toepassing van het tweede tot en met zevende lid bij ministeriële regeling vervangen door een ander percentage. Dit percentage wordt gesteld op de som van:</w:t>
      </w:r>
    </w:p>
    <w:p w:rsidR="008C67D2" w:rsidRDefault="008C67D2" w:rsidP="003276A7">
      <w:r>
        <w:t>a. het product van het als eerste vermelde percentage in artikel 5.2, eerste lid, en het als eerste vermelde percentage in de laatste rij van de tabel in artikel 5.2, eerste lid, en</w:t>
      </w:r>
    </w:p>
    <w:p w:rsidR="008C67D2" w:rsidRDefault="008C67D2" w:rsidP="003276A7">
      <w:r>
        <w:t>b. het product van het als tweede vermelde percentage in artikel 5.2, eerste lid, en het als tweede vermelde percentage in de laatste rij van de tabel in artikel 5.2, eerste lid.</w:t>
      </w:r>
    </w:p>
    <w:p w:rsidR="008C67D2" w:rsidRDefault="008C67D2" w:rsidP="003276A7">
      <w:r>
        <w:t>3. In het tweede lid (nieuw) en het derde lid (nieuw) wordt “artikel 5.2, eerste lid, en artikel 7.7, eerste lid” vervangen door: artikel 5.2, eerste lid.</w:t>
      </w:r>
    </w:p>
    <w:p w:rsidR="008C67D2" w:rsidRDefault="008C67D2" w:rsidP="003276A7">
      <w:r>
        <w:t>4. In het vierde lid (nieuw), vijfde lid (nieuw) en zesde lid (nieuw) wordt “bedoeld in het tweede lid” vervangen door: bedoeld in het derde lid.</w:t>
      </w:r>
    </w:p>
    <w:p w:rsidR="000F0F0C" w:rsidRDefault="000F0F0C" w:rsidP="003276A7">
      <w:r>
        <w:t>5. Het zevende lid (nieuw) komt te luiden:</w:t>
      </w:r>
    </w:p>
    <w:p w:rsidR="000F0F0C" w:rsidRDefault="000F0F0C" w:rsidP="003276A7">
      <w:r>
        <w:t>7. Het percentage, bedoeld in het eerste lid, aanhef, de percentages, bedoeld in het tweede en derde lid, en de langetermijnrendementen, bedoeld in het vierde, vijfde en zesde lid, worden rekenkundig afgerond op twee decimalen.</w:t>
      </w:r>
    </w:p>
    <w:p w:rsidR="006B2EBC" w:rsidRDefault="006B2EBC" w:rsidP="003276A7"/>
    <w:p w:rsidR="00016F92" w:rsidRDefault="00792062" w:rsidP="00016F92">
      <w:r>
        <w:t>N.</w:t>
      </w:r>
      <w:r w:rsidR="00016F92">
        <w:t xml:space="preserve"> Het in </w:t>
      </w:r>
      <w:r w:rsidR="00016F92" w:rsidRPr="006B2EBC">
        <w:rPr>
          <w:b/>
        </w:rPr>
        <w:t>artikel 10.7</w:t>
      </w:r>
      <w:r w:rsidR="00016F92">
        <w:t>, vijfde lid, genoemde bedrag wordt vervangen door: € 12.801.</w:t>
      </w:r>
    </w:p>
    <w:p w:rsidR="00016F92" w:rsidRDefault="00016F92" w:rsidP="00016F92"/>
    <w:p w:rsidR="00424F76" w:rsidRDefault="00792062" w:rsidP="003276A7">
      <w:r>
        <w:t>O.</w:t>
      </w:r>
      <w:r w:rsidR="0029601F" w:rsidRPr="00424F76">
        <w:t xml:space="preserve"> </w:t>
      </w:r>
      <w:r w:rsidR="00424F76" w:rsidRPr="00424F76">
        <w:rPr>
          <w:b/>
        </w:rPr>
        <w:t>A</w:t>
      </w:r>
      <w:r w:rsidR="0029601F" w:rsidRPr="00424F76">
        <w:rPr>
          <w:b/>
        </w:rPr>
        <w:t>rtikel 10a.7</w:t>
      </w:r>
      <w:r w:rsidR="00424F76">
        <w:t xml:space="preserve"> wordt als volgt gewijzigd:</w:t>
      </w:r>
    </w:p>
    <w:p w:rsidR="00424F76" w:rsidRDefault="00424F76" w:rsidP="003276A7">
      <w:r>
        <w:t>1. In het opschrift wordt “Bestaand afgezonderd particulier vermogen per 1 januari 2010” vervangen door: Overgangsbepaling toerekening afgezonderd particulier vermogen.</w:t>
      </w:r>
    </w:p>
    <w:p w:rsidR="00424F76" w:rsidRDefault="00424F76" w:rsidP="003276A7">
      <w:r>
        <w:t>2. Na het</w:t>
      </w:r>
      <w:r w:rsidR="0029601F" w:rsidRPr="00424F76">
        <w:t xml:space="preserve"> vijfde lid wordt</w:t>
      </w:r>
      <w:r>
        <w:t>, onder vernummering van het zesde lid tot zevende lid, een lid ingevoegd,</w:t>
      </w:r>
      <w:r w:rsidR="0029601F" w:rsidRPr="00424F76">
        <w:t xml:space="preserve"> luidende:</w:t>
      </w:r>
    </w:p>
    <w:p w:rsidR="0029601F" w:rsidRPr="00424F76" w:rsidRDefault="00424F76" w:rsidP="003276A7">
      <w:r>
        <w:t>6. Voor de berekening van het inkomen uit aanmerkelijk belang in de zin van deze wet wordt de verkrijgingsprijs van de tot een aanmerkelijk belang behorende</w:t>
      </w:r>
      <w:r w:rsidR="0029601F" w:rsidRPr="00424F76">
        <w:t xml:space="preserve"> aandelen en winstbewijzen</w:t>
      </w:r>
      <w:r>
        <w:t xml:space="preserve"> die tot de bezittingen van een bestaand afgezonderd particulier vermogen behoren</w:t>
      </w:r>
      <w:r w:rsidR="0029601F" w:rsidRPr="00424F76">
        <w:t xml:space="preserve"> waarop direct voorafgaand aan 20 september 2016, 15.15 uur, artikel 2.14a, zevende lid, zoals dat </w:t>
      </w:r>
      <w:r>
        <w:t>tot</w:t>
      </w:r>
      <w:r w:rsidR="0029601F" w:rsidRPr="00424F76">
        <w:t xml:space="preserve"> dat tijdstip luidde, van toepassing was, en die met terugwerkende kracht tot en met 20 september 2016, 15.15 uur, ingevolge artikel 2.14a worden toegerekend aan degene die dit vermogen heeft afgezonderd of aan zijn erfgenamen, per 20 september 2016, 15.15 uur, gesteld op de verkrijgingsprijs zoals die gold voor degene die deze aandelen en winstbewijzen rechtens dan wel in feite, direct of indirect, heeft afgezonderd:</w:t>
      </w:r>
    </w:p>
    <w:p w:rsidR="0029601F" w:rsidRPr="00424F76" w:rsidRDefault="0029601F" w:rsidP="003276A7">
      <w:r w:rsidRPr="00424F76">
        <w:t>a.</w:t>
      </w:r>
      <w:r w:rsidR="00424F76">
        <w:t xml:space="preserve"> vermeerderd met</w:t>
      </w:r>
      <w:r w:rsidRPr="00424F76">
        <w:t xml:space="preserve"> de vervreemdingsvoordelen </w:t>
      </w:r>
      <w:r w:rsidR="00424F76">
        <w:t xml:space="preserve">ter zake van die aandelen of winstbewijzen </w:t>
      </w:r>
      <w:r w:rsidRPr="00424F76">
        <w:t xml:space="preserve">die ingevolge artikel 4.16, eerste lid, onderdeel j, tot het inkomen uit aanmerkelijk belang zijn gerekend; </w:t>
      </w:r>
    </w:p>
    <w:p w:rsidR="0029601F" w:rsidRDefault="0029601F" w:rsidP="003276A7">
      <w:r w:rsidRPr="00424F76">
        <w:t xml:space="preserve">b. </w:t>
      </w:r>
      <w:r w:rsidR="00424F76">
        <w:t xml:space="preserve">vermeerderd met de waardestijging van die </w:t>
      </w:r>
      <w:r w:rsidRPr="00424F76">
        <w:t>aandelen en winstbewijzen waarover ten laste van het afgezonderde particuliere vermogen, over de periode van 1 januari 2010 tot 20 september 2016, 15.15 uur, een belasting is betaald van ten minste 10</w:t>
      </w:r>
      <w:r w:rsidR="00424F76">
        <w:t>%; en</w:t>
      </w:r>
    </w:p>
    <w:p w:rsidR="0029601F" w:rsidRPr="00424F76" w:rsidRDefault="00424F76" w:rsidP="003276A7">
      <w:r>
        <w:t xml:space="preserve">c. </w:t>
      </w:r>
      <w:r w:rsidR="0029601F" w:rsidRPr="00424F76">
        <w:t xml:space="preserve">verminderd met </w:t>
      </w:r>
      <w:r>
        <w:t xml:space="preserve">de </w:t>
      </w:r>
      <w:r w:rsidR="0029601F" w:rsidRPr="00424F76">
        <w:t xml:space="preserve">voordelen </w:t>
      </w:r>
      <w:r>
        <w:t xml:space="preserve">ter zake van </w:t>
      </w:r>
      <w:r w:rsidR="0029601F" w:rsidRPr="00424F76">
        <w:t xml:space="preserve">die </w:t>
      </w:r>
      <w:r>
        <w:t xml:space="preserve">aandelen en winstbewijzen die op basis van </w:t>
      </w:r>
      <w:r w:rsidR="0029601F" w:rsidRPr="00424F76">
        <w:t xml:space="preserve">artikel 2.14a, zevende lid, zoals dat luidde tot 20 september 2016, 15.15 uur, in de periode van 1 januari 2010 tot 20 september 2016, 15.15 uur, niet tot het inkomen uit aanmerkelijk belang zijn gerekend </w:t>
      </w:r>
      <w:r>
        <w:t>en waarvoor geen belasting is betaald van ten minste 10%</w:t>
      </w:r>
      <w:r w:rsidR="0029601F" w:rsidRPr="00424F76">
        <w:t>.</w:t>
      </w:r>
    </w:p>
    <w:p w:rsidR="003447AD" w:rsidRPr="00424F76" w:rsidRDefault="003447AD" w:rsidP="003276A7"/>
    <w:p w:rsidR="001263C5" w:rsidRDefault="001263C5" w:rsidP="001263C5">
      <w:pPr>
        <w:pStyle w:val="Artikel"/>
      </w:pPr>
      <w:r>
        <w:t xml:space="preserve">Artikel </w:t>
      </w:r>
      <w:r w:rsidR="00792062">
        <w:t>II</w:t>
      </w:r>
    </w:p>
    <w:p w:rsidR="001263C5" w:rsidRDefault="001263C5" w:rsidP="001263C5"/>
    <w:p w:rsidR="001263C5" w:rsidRDefault="001263C5" w:rsidP="001263C5">
      <w:r w:rsidRPr="001263C5">
        <w:t>De Wet op de loonbelasting 1964 wordt als volgt gewijzigd:</w:t>
      </w:r>
    </w:p>
    <w:p w:rsidR="001263C5" w:rsidRDefault="001263C5" w:rsidP="001263C5"/>
    <w:p w:rsidR="001263C5" w:rsidRDefault="00792062" w:rsidP="001263C5">
      <w:r>
        <w:t>A.</w:t>
      </w:r>
      <w:r w:rsidR="001263C5">
        <w:t xml:space="preserve"> </w:t>
      </w:r>
      <w:r w:rsidR="001263C5" w:rsidRPr="001263C5">
        <w:t xml:space="preserve">In </w:t>
      </w:r>
      <w:r w:rsidR="001263C5" w:rsidRPr="001263C5">
        <w:rPr>
          <w:b/>
          <w:bCs/>
        </w:rPr>
        <w:t>artikel 4</w:t>
      </w:r>
      <w:r w:rsidR="001263C5" w:rsidRPr="001263C5">
        <w:t xml:space="preserve">, onderdeel d, wordt “artikel 12a, vijfde lid, onderdeel a” vervangen door: artikel 12a, </w:t>
      </w:r>
      <w:r w:rsidR="007702A8">
        <w:t>zevende</w:t>
      </w:r>
      <w:r w:rsidR="001263C5" w:rsidRPr="001263C5">
        <w:t xml:space="preserve"> lid, onderdeel a.</w:t>
      </w:r>
    </w:p>
    <w:p w:rsidR="001263C5" w:rsidRDefault="001263C5" w:rsidP="001263C5"/>
    <w:p w:rsidR="001263C5" w:rsidRDefault="00792062" w:rsidP="001263C5">
      <w:r>
        <w:t>B.</w:t>
      </w:r>
      <w:r w:rsidR="001263C5">
        <w:t xml:space="preserve"> </w:t>
      </w:r>
      <w:r w:rsidR="001263C5" w:rsidRPr="001263C5">
        <w:rPr>
          <w:b/>
        </w:rPr>
        <w:t xml:space="preserve">Artikel 12a </w:t>
      </w:r>
      <w:r w:rsidR="001263C5" w:rsidRPr="001263C5">
        <w:t>wordt als volgt gewijzigd:</w:t>
      </w:r>
    </w:p>
    <w:p w:rsidR="001263C5" w:rsidRDefault="007702A8" w:rsidP="001263C5">
      <w:r>
        <w:t>1. Na het tweede lid worden</w:t>
      </w:r>
      <w:r w:rsidR="001263C5" w:rsidRPr="001263C5">
        <w:t xml:space="preserve">, onder vernummering van het derde tot en met zevende lid tot </w:t>
      </w:r>
      <w:r>
        <w:t>vijfde</w:t>
      </w:r>
      <w:r w:rsidR="001263C5" w:rsidRPr="001263C5">
        <w:t xml:space="preserve"> tot en met </w:t>
      </w:r>
      <w:r>
        <w:t>negende</w:t>
      </w:r>
      <w:r w:rsidR="001263C5" w:rsidRPr="001263C5">
        <w:t xml:space="preserve"> lid, </w:t>
      </w:r>
      <w:r>
        <w:t>twee</w:t>
      </w:r>
      <w:r w:rsidR="001263C5" w:rsidRPr="001263C5">
        <w:t xml:space="preserve"> l</w:t>
      </w:r>
      <w:r>
        <w:t>e</w:t>
      </w:r>
      <w:r w:rsidR="001263C5" w:rsidRPr="001263C5">
        <w:t>d</w:t>
      </w:r>
      <w:r>
        <w:t>en</w:t>
      </w:r>
      <w:r w:rsidR="001263C5" w:rsidRPr="001263C5">
        <w:t xml:space="preserve"> ingevoegd, luidende:</w:t>
      </w:r>
    </w:p>
    <w:p w:rsidR="001263C5" w:rsidRDefault="001263C5" w:rsidP="001263C5">
      <w:r w:rsidRPr="001263C5">
        <w:t>3. Indien aan het lichaam, bedoeld in het eerste lid, een S&amp;O-verklaring als bedoeld in artikel 1, eerste lid, onderdeel s, van de Wet vermindering afdracht loonbelasting en premie voor de volksverzekeringen is afgegeven voor in het kalenderjaar verricht speur- en ontwikkelingswerk waarop het percentage, bedoeld in artikel 23, zevende lid, eerste volzin, van die wet, van toepassing is, wordt, in afwijking van het eerste lid, het in het kalenderjaar van dat lichaam genoten loon ten minste gesteld op 108% van het twaalfvoud van het bedrag, bedoeld in artikel 8, eerste lid, onderdeel a, van de Wet minimumloon en minimumvakantiebijslag, zoals dat gold op 1 januari van het kalenderjaar. Indien de inhoudingsplichtige aannemelijk maakt dat het bedrag waarop het loon ingevolge de eerste volzin ten minste wordt gesteld hoger is dan het loon uit de meest vergelijkbare dienstbetrekking, wordt het loon in afwijking van de eerste volzin gesteld op het loon uit de meest vergelijkbare dienstbetrekking.</w:t>
      </w:r>
    </w:p>
    <w:p w:rsidR="007702A8" w:rsidRDefault="007702A8" w:rsidP="001263C5">
      <w:r>
        <w:t>4. Het derde lid is slechts van toepassing indien de in het derde lid opgenomen afwijking van het eerste lid voor de onderneming, bedoeld in Verordening (EU) nr. 1407/2013 van de Commissie van 18 december 2013 betreffende de toepassing van de artikelen 107 en 108 van het Verdrag betreffende de werking van de Europese Unie op de-minimissteun (PbEU 2013, L 352), waar de inhoudingsplichtige toe behoort, niet tot gevolg heeft dat het de-minimisplafond, bedoeld in die verordening, wordt overschreden. Het bedrag</w:t>
      </w:r>
      <w:r w:rsidR="00631E4F">
        <w:t xml:space="preserve"> aan steun</w:t>
      </w:r>
      <w:r>
        <w:t xml:space="preserve"> dat het gevolg is van de in het derde lid opgenomen afwijking van het eerste lid wordt voor de toepassing van de eerste volzin per bij de onderneming, bedoeld in de eerste volzin, werkzame werknemer in de zin van de Werkloosheidswet, de Ziektewet, de Wet werk en inkomen naar arbeidsvermogen of de Wet op de arbeidsongeschiktheidsverzekering per kalenderjaar vastgesteld volgens de formule (a – b) * c, waarbij wordt verstaan onder:</w:t>
      </w:r>
    </w:p>
    <w:p w:rsidR="007702A8" w:rsidRDefault="007702A8" w:rsidP="001263C5">
      <w:r>
        <w:t>a: het bedrag, bedoeld in artikel 17, eerste lid, eerste volzin, van de Wet financiering sociale verzekeringen;</w:t>
      </w:r>
    </w:p>
    <w:p w:rsidR="007702A8" w:rsidRDefault="007702A8" w:rsidP="001263C5">
      <w:r>
        <w:t>b: het bedrag waarop het loon op basis van het derde lid, eerste volzin, ten minste wordt gesteld;</w:t>
      </w:r>
    </w:p>
    <w:p w:rsidR="007702A8" w:rsidRDefault="007702A8" w:rsidP="001263C5">
      <w:r>
        <w:t>c: het totaal van de percentages, bedoeld in de artikelen 27, 28, tweede lid, 36 en 38, tweede lid, onderdeel b, van de Wet financiering sociale verzekeringen, artikel 1.10, derde lid, van de Wet kinderopvang en kwaliteitseisen peuterspeelzalen en artikel 45, eerste lid, van de Zorgverzekeringswet.</w:t>
      </w:r>
    </w:p>
    <w:p w:rsidR="001263C5" w:rsidRDefault="001263C5" w:rsidP="001263C5">
      <w:r w:rsidRPr="001263C5">
        <w:t xml:space="preserve">2. In het </w:t>
      </w:r>
      <w:r w:rsidR="00FE5BE1">
        <w:t>vijfde</w:t>
      </w:r>
      <w:r w:rsidRPr="001263C5">
        <w:t xml:space="preserve"> lid (nieuw) wordt “het eerste en het tweede lid” vervangen door: het eerste tot en met </w:t>
      </w:r>
      <w:r w:rsidR="00FE5BE1">
        <w:t>vierde</w:t>
      </w:r>
      <w:r w:rsidRPr="001263C5">
        <w:t xml:space="preserve"> lid.</w:t>
      </w:r>
    </w:p>
    <w:p w:rsidR="001263C5" w:rsidRDefault="001263C5" w:rsidP="001263C5">
      <w:r w:rsidRPr="001263C5">
        <w:t xml:space="preserve">3. In het </w:t>
      </w:r>
      <w:r w:rsidR="00FE5BE1">
        <w:t>zesde</w:t>
      </w:r>
      <w:r w:rsidRPr="001263C5">
        <w:t xml:space="preserve"> lid (nieuw) wordt ”Het eerste en tweede lid” vervangen door “Het eerste tot en met </w:t>
      </w:r>
      <w:r w:rsidR="00FE5BE1">
        <w:t>vierde</w:t>
      </w:r>
      <w:r w:rsidRPr="001263C5">
        <w:t xml:space="preserve"> lid” en wordt “het eerste tot en met derde lid” vervangen door: het eerste tot en met </w:t>
      </w:r>
      <w:r w:rsidR="00FE5BE1">
        <w:t>vijfde</w:t>
      </w:r>
      <w:r w:rsidRPr="001263C5">
        <w:t xml:space="preserve"> lid.</w:t>
      </w:r>
    </w:p>
    <w:p w:rsidR="00FE5BE1" w:rsidRDefault="00FE5BE1" w:rsidP="001263C5">
      <w:r>
        <w:t>4. Er wordt een lid toegevoegd, luidende:</w:t>
      </w:r>
    </w:p>
    <w:p w:rsidR="00FE5BE1" w:rsidRDefault="00FE5BE1" w:rsidP="001263C5">
      <w:r>
        <w:t>10. Bij ministeriële regeling kunnen regels worden gesteld met betrekking tot de wijze waarop voor de toepassing van het derde en vierde lid wordt vastgesteld of de in het derde lid opgenomen afwijking van het eerste lid tot gevolg heeft dat het de-minimisplafond, bedoeld in het vierde lid, wordt overschreden</w:t>
      </w:r>
      <w:r w:rsidR="00106B48" w:rsidRPr="00106B48">
        <w:t xml:space="preserve"> </w:t>
      </w:r>
      <w:r w:rsidR="00106B48">
        <w:t>en met betrekking tot de toepassing van het derde en vierde lid voor sectoren waarop de verordening, bedoeld in het vierde lid, niet van toepassing is</w:t>
      </w:r>
      <w:r>
        <w:t>.</w:t>
      </w:r>
    </w:p>
    <w:p w:rsidR="001263C5" w:rsidRDefault="001263C5" w:rsidP="001263C5"/>
    <w:p w:rsidR="006B2EBC" w:rsidRDefault="00792062" w:rsidP="001263C5">
      <w:r>
        <w:t>C.</w:t>
      </w:r>
      <w:r w:rsidR="006B2EBC">
        <w:t xml:space="preserve"> In </w:t>
      </w:r>
      <w:r w:rsidR="006B2EBC" w:rsidRPr="006B2EBC">
        <w:rPr>
          <w:b/>
        </w:rPr>
        <w:t>artikel 20a</w:t>
      </w:r>
      <w:r w:rsidR="006B2EBC">
        <w:t>, eerste lid, wordt de tarieftabel vervangen door:</w:t>
      </w:r>
    </w:p>
    <w:tbl>
      <w:tblPr>
        <w:tblW w:w="7523" w:type="dxa"/>
        <w:tblInd w:w="708" w:type="dxa"/>
        <w:tblCellMar>
          <w:left w:w="70" w:type="dxa"/>
          <w:right w:w="70" w:type="dxa"/>
        </w:tblCellMar>
        <w:tblLook w:val="0000"/>
      </w:tblPr>
      <w:tblGrid>
        <w:gridCol w:w="1923"/>
        <w:gridCol w:w="2112"/>
        <w:gridCol w:w="1772"/>
        <w:gridCol w:w="1716"/>
      </w:tblGrid>
      <w:tr w:rsidR="00FC361B" w:rsidRPr="008058AC" w:rsidTr="00FC361B">
        <w:trPr>
          <w:trHeight w:val="2115"/>
        </w:trPr>
        <w:tc>
          <w:tcPr>
            <w:tcW w:w="1923" w:type="dxa"/>
            <w:tcBorders>
              <w:top w:val="single" w:sz="4" w:space="0" w:color="auto"/>
              <w:left w:val="nil"/>
              <w:right w:val="nil"/>
            </w:tcBorders>
            <w:shd w:val="clear" w:color="auto" w:fill="auto"/>
          </w:tcPr>
          <w:p w:rsidR="00FC361B" w:rsidRPr="008058AC" w:rsidRDefault="00FC361B" w:rsidP="00FC361B">
            <w:pPr>
              <w:ind w:firstLine="0"/>
              <w:rPr>
                <w:sz w:val="16"/>
                <w:szCs w:val="16"/>
              </w:rPr>
            </w:pPr>
            <w:r w:rsidRPr="008058AC">
              <w:rPr>
                <w:sz w:val="16"/>
                <w:szCs w:val="16"/>
              </w:rPr>
              <w:t xml:space="preserve">Bij een belastbaar </w:t>
            </w:r>
            <w:r>
              <w:rPr>
                <w:sz w:val="16"/>
                <w:szCs w:val="16"/>
              </w:rPr>
              <w:t>loon</w:t>
            </w:r>
            <w:r w:rsidRPr="008058AC">
              <w:rPr>
                <w:sz w:val="16"/>
                <w:szCs w:val="16"/>
              </w:rPr>
              <w:t xml:space="preserve"> van meer dan</w:t>
            </w:r>
          </w:p>
        </w:tc>
        <w:tc>
          <w:tcPr>
            <w:tcW w:w="2112" w:type="dxa"/>
            <w:tcBorders>
              <w:top w:val="single" w:sz="4" w:space="0" w:color="auto"/>
              <w:left w:val="nil"/>
              <w:right w:val="nil"/>
            </w:tcBorders>
            <w:shd w:val="clear" w:color="auto" w:fill="auto"/>
          </w:tcPr>
          <w:p w:rsidR="00FC361B" w:rsidRPr="008058AC" w:rsidRDefault="00FC361B" w:rsidP="00FC361B">
            <w:pPr>
              <w:ind w:firstLine="0"/>
              <w:rPr>
                <w:sz w:val="16"/>
                <w:szCs w:val="16"/>
              </w:rPr>
            </w:pPr>
            <w:r w:rsidRPr="008058AC">
              <w:rPr>
                <w:sz w:val="16"/>
                <w:szCs w:val="16"/>
              </w:rPr>
              <w:t>maar niet meer dan</w:t>
            </w:r>
          </w:p>
        </w:tc>
        <w:tc>
          <w:tcPr>
            <w:tcW w:w="3488" w:type="dxa"/>
            <w:gridSpan w:val="2"/>
            <w:tcBorders>
              <w:top w:val="single" w:sz="4" w:space="0" w:color="auto"/>
              <w:left w:val="nil"/>
              <w:right w:val="nil"/>
            </w:tcBorders>
            <w:shd w:val="clear" w:color="auto" w:fill="auto"/>
          </w:tcPr>
          <w:p w:rsidR="00FC361B" w:rsidRPr="008058AC" w:rsidRDefault="00FC361B" w:rsidP="00FC361B">
            <w:pPr>
              <w:ind w:firstLine="0"/>
              <w:rPr>
                <w:sz w:val="16"/>
                <w:szCs w:val="16"/>
              </w:rPr>
            </w:pPr>
            <w:r w:rsidRPr="008058AC">
              <w:rPr>
                <w:sz w:val="16"/>
                <w:szCs w:val="16"/>
              </w:rPr>
              <w:t xml:space="preserve">bedraagt de belasting het in kolom III vermelde bedrag, vermeerderd met het bedrag dat wordt berekend door het in kolom IV vermelde percentage te nemen van het gedeelte van het belastbare </w:t>
            </w:r>
            <w:r>
              <w:rPr>
                <w:sz w:val="16"/>
                <w:szCs w:val="16"/>
              </w:rPr>
              <w:t>loon</w:t>
            </w:r>
            <w:r w:rsidRPr="008058AC">
              <w:rPr>
                <w:sz w:val="16"/>
                <w:szCs w:val="16"/>
              </w:rPr>
              <w:t xml:space="preserve"> dat het in kolom I vermelde bedrag te boven gaat</w:t>
            </w:r>
          </w:p>
        </w:tc>
      </w:tr>
      <w:tr w:rsidR="00FC361B" w:rsidRPr="00061A58" w:rsidTr="00FC361B">
        <w:trPr>
          <w:trHeight w:val="255"/>
        </w:trPr>
        <w:tc>
          <w:tcPr>
            <w:tcW w:w="1923" w:type="dxa"/>
            <w:tcBorders>
              <w:bottom w:val="single" w:sz="4" w:space="0" w:color="auto"/>
            </w:tcBorders>
            <w:shd w:val="clear" w:color="auto" w:fill="auto"/>
            <w:noWrap/>
            <w:vAlign w:val="center"/>
          </w:tcPr>
          <w:p w:rsidR="00FC361B" w:rsidRPr="00061A58" w:rsidRDefault="00FC361B" w:rsidP="00FC361B">
            <w:pPr>
              <w:ind w:firstLine="0"/>
              <w:rPr>
                <w:rFonts w:asciiTheme="minorHAnsi" w:hAnsiTheme="minorHAnsi"/>
                <w:b/>
                <w:sz w:val="16"/>
                <w:szCs w:val="16"/>
              </w:rPr>
            </w:pPr>
            <w:r w:rsidRPr="00061A58">
              <w:rPr>
                <w:rFonts w:asciiTheme="minorHAnsi" w:hAnsiTheme="minorHAnsi"/>
                <w:b/>
                <w:sz w:val="16"/>
                <w:szCs w:val="16"/>
              </w:rPr>
              <w:t>I</w:t>
            </w:r>
          </w:p>
        </w:tc>
        <w:tc>
          <w:tcPr>
            <w:tcW w:w="2112" w:type="dxa"/>
            <w:tcBorders>
              <w:bottom w:val="single" w:sz="4" w:space="0" w:color="auto"/>
            </w:tcBorders>
            <w:shd w:val="clear" w:color="auto" w:fill="auto"/>
            <w:noWrap/>
            <w:vAlign w:val="center"/>
          </w:tcPr>
          <w:p w:rsidR="00FC361B" w:rsidRPr="00061A58" w:rsidRDefault="00FC361B" w:rsidP="00FC361B">
            <w:pPr>
              <w:ind w:firstLine="0"/>
              <w:jc w:val="right"/>
              <w:rPr>
                <w:rFonts w:asciiTheme="minorHAnsi" w:hAnsiTheme="minorHAnsi"/>
                <w:b/>
                <w:sz w:val="16"/>
                <w:szCs w:val="16"/>
              </w:rPr>
            </w:pPr>
            <w:r w:rsidRPr="00061A58">
              <w:rPr>
                <w:rFonts w:asciiTheme="minorHAnsi" w:hAnsiTheme="minorHAnsi"/>
                <w:b/>
                <w:sz w:val="16"/>
                <w:szCs w:val="16"/>
              </w:rPr>
              <w:t>II</w:t>
            </w:r>
          </w:p>
        </w:tc>
        <w:tc>
          <w:tcPr>
            <w:tcW w:w="1772" w:type="dxa"/>
            <w:tcBorders>
              <w:bottom w:val="single" w:sz="4" w:space="0" w:color="auto"/>
            </w:tcBorders>
            <w:shd w:val="clear" w:color="auto" w:fill="auto"/>
            <w:noWrap/>
            <w:vAlign w:val="center"/>
          </w:tcPr>
          <w:p w:rsidR="00FC361B" w:rsidRPr="00061A58" w:rsidRDefault="00FC361B" w:rsidP="00FC361B">
            <w:pPr>
              <w:jc w:val="right"/>
              <w:rPr>
                <w:rFonts w:asciiTheme="minorHAnsi" w:hAnsiTheme="minorHAnsi"/>
                <w:b/>
                <w:sz w:val="16"/>
                <w:szCs w:val="16"/>
              </w:rPr>
            </w:pPr>
            <w:r w:rsidRPr="00061A58">
              <w:rPr>
                <w:rFonts w:asciiTheme="minorHAnsi" w:hAnsiTheme="minorHAnsi"/>
                <w:b/>
                <w:sz w:val="16"/>
                <w:szCs w:val="16"/>
              </w:rPr>
              <w:t>III</w:t>
            </w:r>
          </w:p>
        </w:tc>
        <w:tc>
          <w:tcPr>
            <w:tcW w:w="1716" w:type="dxa"/>
            <w:tcBorders>
              <w:bottom w:val="single" w:sz="4" w:space="0" w:color="auto"/>
            </w:tcBorders>
            <w:shd w:val="clear" w:color="auto" w:fill="auto"/>
            <w:noWrap/>
            <w:vAlign w:val="center"/>
          </w:tcPr>
          <w:p w:rsidR="00FC361B" w:rsidRPr="00061A58" w:rsidRDefault="00FC361B" w:rsidP="00FC361B">
            <w:pPr>
              <w:jc w:val="right"/>
              <w:rPr>
                <w:rFonts w:asciiTheme="minorHAnsi" w:hAnsiTheme="minorHAnsi"/>
                <w:b/>
                <w:sz w:val="16"/>
                <w:szCs w:val="16"/>
              </w:rPr>
            </w:pPr>
            <w:r w:rsidRPr="00061A58">
              <w:rPr>
                <w:rFonts w:asciiTheme="minorHAnsi" w:hAnsiTheme="minorHAnsi"/>
                <w:b/>
                <w:sz w:val="16"/>
                <w:szCs w:val="16"/>
              </w:rPr>
              <w:t>IV</w:t>
            </w:r>
          </w:p>
        </w:tc>
      </w:tr>
      <w:tr w:rsidR="00FC361B" w:rsidRPr="008058AC" w:rsidTr="00FC361B">
        <w:trPr>
          <w:trHeight w:val="255"/>
        </w:trPr>
        <w:tc>
          <w:tcPr>
            <w:tcW w:w="1923" w:type="dxa"/>
            <w:tcBorders>
              <w:top w:val="single" w:sz="4" w:space="0" w:color="auto"/>
              <w:bottom w:val="nil"/>
            </w:tcBorders>
            <w:shd w:val="clear" w:color="auto" w:fill="auto"/>
            <w:noWrap/>
            <w:vAlign w:val="center"/>
          </w:tcPr>
          <w:p w:rsidR="00FC361B" w:rsidRPr="001343EC" w:rsidRDefault="00FC361B" w:rsidP="00FC361B">
            <w:pPr>
              <w:ind w:firstLine="0"/>
              <w:rPr>
                <w:rFonts w:asciiTheme="minorHAnsi" w:hAnsiTheme="minorHAnsi" w:cs="Arial"/>
                <w:bCs/>
                <w:sz w:val="16"/>
                <w:szCs w:val="16"/>
              </w:rPr>
            </w:pPr>
            <w:r w:rsidRPr="001343EC">
              <w:rPr>
                <w:rFonts w:asciiTheme="minorHAnsi" w:hAnsiTheme="minorHAnsi" w:cs="Arial"/>
                <w:bCs/>
                <w:sz w:val="16"/>
                <w:szCs w:val="16"/>
              </w:rPr>
              <w:t xml:space="preserve">- </w:t>
            </w:r>
          </w:p>
        </w:tc>
        <w:tc>
          <w:tcPr>
            <w:tcW w:w="2112" w:type="dxa"/>
            <w:tcBorders>
              <w:top w:val="single" w:sz="4" w:space="0" w:color="auto"/>
              <w:bottom w:val="nil"/>
            </w:tcBorders>
            <w:shd w:val="clear" w:color="auto" w:fill="auto"/>
            <w:noWrap/>
            <w:vAlign w:val="center"/>
          </w:tcPr>
          <w:p w:rsidR="00FC361B" w:rsidRPr="001343EC" w:rsidRDefault="00FC361B" w:rsidP="00627BEC">
            <w:pPr>
              <w:ind w:firstLine="0"/>
              <w:jc w:val="right"/>
              <w:rPr>
                <w:rFonts w:asciiTheme="minorHAnsi" w:hAnsiTheme="minorHAnsi" w:cs="Arial"/>
                <w:bCs/>
                <w:sz w:val="16"/>
                <w:szCs w:val="16"/>
              </w:rPr>
            </w:pPr>
            <w:r>
              <w:rPr>
                <w:rFonts w:asciiTheme="minorHAnsi" w:hAnsiTheme="minorHAnsi" w:cs="Arial"/>
                <w:bCs/>
                <w:sz w:val="16"/>
                <w:szCs w:val="16"/>
              </w:rPr>
              <w:t>€</w:t>
            </w:r>
            <w:r w:rsidRPr="001343EC">
              <w:rPr>
                <w:rFonts w:asciiTheme="minorHAnsi" w:hAnsiTheme="minorHAnsi" w:cs="Arial"/>
                <w:bCs/>
                <w:sz w:val="16"/>
                <w:szCs w:val="16"/>
              </w:rPr>
              <w:t>19.982</w:t>
            </w:r>
          </w:p>
        </w:tc>
        <w:tc>
          <w:tcPr>
            <w:tcW w:w="1772" w:type="dxa"/>
            <w:tcBorders>
              <w:top w:val="single" w:sz="4" w:space="0" w:color="auto"/>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sidRPr="001343EC">
              <w:rPr>
                <w:rFonts w:asciiTheme="minorHAnsi" w:hAnsiTheme="minorHAnsi" w:cs="Arial"/>
                <w:bCs/>
                <w:sz w:val="16"/>
                <w:szCs w:val="16"/>
              </w:rPr>
              <w:t>-</w:t>
            </w:r>
          </w:p>
        </w:tc>
        <w:tc>
          <w:tcPr>
            <w:tcW w:w="1716" w:type="dxa"/>
            <w:tcBorders>
              <w:top w:val="single" w:sz="4" w:space="0" w:color="auto"/>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sidRPr="001343EC">
              <w:rPr>
                <w:rFonts w:asciiTheme="minorHAnsi" w:hAnsiTheme="minorHAnsi" w:cs="Arial"/>
                <w:bCs/>
                <w:sz w:val="16"/>
                <w:szCs w:val="16"/>
              </w:rPr>
              <w:t>8,90%</w:t>
            </w:r>
          </w:p>
        </w:tc>
      </w:tr>
      <w:tr w:rsidR="00FC361B" w:rsidRPr="008058AC" w:rsidTr="00FC361B">
        <w:trPr>
          <w:trHeight w:val="255"/>
        </w:trPr>
        <w:tc>
          <w:tcPr>
            <w:tcW w:w="1923" w:type="dxa"/>
            <w:tcBorders>
              <w:top w:val="nil"/>
              <w:bottom w:val="nil"/>
            </w:tcBorders>
            <w:shd w:val="clear" w:color="auto" w:fill="auto"/>
            <w:noWrap/>
            <w:vAlign w:val="center"/>
          </w:tcPr>
          <w:p w:rsidR="00FC361B" w:rsidRPr="001343EC" w:rsidRDefault="00FC361B"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19.982</w:t>
            </w:r>
          </w:p>
        </w:tc>
        <w:tc>
          <w:tcPr>
            <w:tcW w:w="2112" w:type="dxa"/>
            <w:tcBorders>
              <w:top w:val="nil"/>
              <w:bottom w:val="nil"/>
            </w:tcBorders>
            <w:shd w:val="clear" w:color="auto" w:fill="auto"/>
            <w:noWrap/>
            <w:vAlign w:val="center"/>
          </w:tcPr>
          <w:p w:rsidR="00FC361B" w:rsidRPr="001343EC" w:rsidRDefault="00FC361B" w:rsidP="00627BEC">
            <w:pPr>
              <w:ind w:firstLine="0"/>
              <w:jc w:val="right"/>
              <w:rPr>
                <w:rFonts w:asciiTheme="minorHAnsi" w:hAnsiTheme="minorHAnsi" w:cs="Arial"/>
                <w:bCs/>
                <w:sz w:val="16"/>
                <w:szCs w:val="16"/>
              </w:rPr>
            </w:pPr>
            <w:r>
              <w:rPr>
                <w:rFonts w:asciiTheme="minorHAnsi" w:hAnsiTheme="minorHAnsi" w:cs="Arial"/>
                <w:bCs/>
                <w:sz w:val="16"/>
                <w:szCs w:val="16"/>
              </w:rPr>
              <w:t>€</w:t>
            </w:r>
            <w:r w:rsidRPr="001343EC">
              <w:rPr>
                <w:rFonts w:asciiTheme="minorHAnsi" w:hAnsiTheme="minorHAnsi" w:cs="Arial"/>
                <w:bCs/>
                <w:sz w:val="16"/>
                <w:szCs w:val="16"/>
              </w:rPr>
              <w:t>33.791</w:t>
            </w:r>
          </w:p>
        </w:tc>
        <w:tc>
          <w:tcPr>
            <w:tcW w:w="1772" w:type="dxa"/>
            <w:tcBorders>
              <w:top w:val="nil"/>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1.778</w:t>
            </w:r>
          </w:p>
        </w:tc>
        <w:tc>
          <w:tcPr>
            <w:tcW w:w="1716" w:type="dxa"/>
            <w:tcBorders>
              <w:top w:val="nil"/>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sidRPr="001343EC">
              <w:rPr>
                <w:rFonts w:asciiTheme="minorHAnsi" w:hAnsiTheme="minorHAnsi" w:cs="Arial"/>
                <w:bCs/>
                <w:sz w:val="16"/>
                <w:szCs w:val="16"/>
              </w:rPr>
              <w:t>13,15%</w:t>
            </w:r>
          </w:p>
        </w:tc>
      </w:tr>
      <w:tr w:rsidR="00FC361B" w:rsidRPr="008058AC" w:rsidTr="00FC361B">
        <w:trPr>
          <w:trHeight w:val="255"/>
        </w:trPr>
        <w:tc>
          <w:tcPr>
            <w:tcW w:w="1923" w:type="dxa"/>
            <w:tcBorders>
              <w:top w:val="nil"/>
              <w:bottom w:val="nil"/>
            </w:tcBorders>
            <w:shd w:val="clear" w:color="auto" w:fill="auto"/>
            <w:noWrap/>
            <w:vAlign w:val="center"/>
          </w:tcPr>
          <w:p w:rsidR="00FC361B" w:rsidRPr="001343EC" w:rsidRDefault="00FC361B"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33.791</w:t>
            </w:r>
          </w:p>
        </w:tc>
        <w:tc>
          <w:tcPr>
            <w:tcW w:w="2112" w:type="dxa"/>
            <w:tcBorders>
              <w:top w:val="nil"/>
              <w:bottom w:val="nil"/>
            </w:tcBorders>
            <w:shd w:val="clear" w:color="auto" w:fill="auto"/>
            <w:noWrap/>
            <w:vAlign w:val="center"/>
          </w:tcPr>
          <w:p w:rsidR="00FC361B" w:rsidRPr="001343EC" w:rsidRDefault="00FC361B" w:rsidP="00627BEC">
            <w:pPr>
              <w:ind w:firstLine="0"/>
              <w:jc w:val="right"/>
              <w:rPr>
                <w:rFonts w:asciiTheme="minorHAnsi" w:hAnsiTheme="minorHAnsi" w:cs="Arial"/>
                <w:bCs/>
                <w:sz w:val="16"/>
                <w:szCs w:val="16"/>
              </w:rPr>
            </w:pPr>
            <w:r>
              <w:rPr>
                <w:rFonts w:asciiTheme="minorHAnsi" w:hAnsiTheme="minorHAnsi" w:cs="Arial"/>
                <w:bCs/>
                <w:sz w:val="16"/>
                <w:szCs w:val="16"/>
              </w:rPr>
              <w:t>€</w:t>
            </w:r>
            <w:r w:rsidRPr="001343EC">
              <w:rPr>
                <w:rFonts w:asciiTheme="minorHAnsi" w:hAnsiTheme="minorHAnsi" w:cs="Arial"/>
                <w:bCs/>
                <w:sz w:val="16"/>
                <w:szCs w:val="16"/>
              </w:rPr>
              <w:t>67.072</w:t>
            </w:r>
          </w:p>
        </w:tc>
        <w:tc>
          <w:tcPr>
            <w:tcW w:w="1772" w:type="dxa"/>
            <w:tcBorders>
              <w:top w:val="nil"/>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3.593</w:t>
            </w:r>
          </w:p>
        </w:tc>
        <w:tc>
          <w:tcPr>
            <w:tcW w:w="1716" w:type="dxa"/>
            <w:tcBorders>
              <w:top w:val="nil"/>
              <w:bottom w:val="nil"/>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sidRPr="001343EC">
              <w:rPr>
                <w:rFonts w:asciiTheme="minorHAnsi" w:hAnsiTheme="minorHAnsi" w:cs="Arial"/>
                <w:bCs/>
                <w:sz w:val="16"/>
                <w:szCs w:val="16"/>
              </w:rPr>
              <w:t>40,80%</w:t>
            </w:r>
          </w:p>
        </w:tc>
      </w:tr>
      <w:tr w:rsidR="00FC361B" w:rsidRPr="008058AC" w:rsidTr="00FC361B">
        <w:trPr>
          <w:trHeight w:val="255"/>
        </w:trPr>
        <w:tc>
          <w:tcPr>
            <w:tcW w:w="1923" w:type="dxa"/>
            <w:tcBorders>
              <w:top w:val="nil"/>
              <w:bottom w:val="single" w:sz="4" w:space="0" w:color="auto"/>
            </w:tcBorders>
            <w:shd w:val="clear" w:color="auto" w:fill="auto"/>
            <w:noWrap/>
            <w:vAlign w:val="center"/>
          </w:tcPr>
          <w:p w:rsidR="00FC361B" w:rsidRPr="001343EC" w:rsidRDefault="00FC361B" w:rsidP="00FC361B">
            <w:pPr>
              <w:ind w:firstLine="0"/>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67.072</w:t>
            </w:r>
          </w:p>
        </w:tc>
        <w:tc>
          <w:tcPr>
            <w:tcW w:w="2112" w:type="dxa"/>
            <w:tcBorders>
              <w:top w:val="nil"/>
              <w:bottom w:val="single" w:sz="4" w:space="0" w:color="auto"/>
            </w:tcBorders>
            <w:shd w:val="clear" w:color="auto" w:fill="auto"/>
            <w:noWrap/>
            <w:vAlign w:val="center"/>
          </w:tcPr>
          <w:p w:rsidR="00FC361B" w:rsidRPr="001343EC" w:rsidRDefault="00FC361B" w:rsidP="00FC361B">
            <w:pPr>
              <w:ind w:firstLine="0"/>
              <w:jc w:val="right"/>
              <w:rPr>
                <w:rFonts w:asciiTheme="minorHAnsi" w:hAnsiTheme="minorHAnsi" w:cs="Arial"/>
                <w:bCs/>
                <w:sz w:val="16"/>
                <w:szCs w:val="16"/>
              </w:rPr>
            </w:pPr>
            <w:r>
              <w:rPr>
                <w:rFonts w:asciiTheme="minorHAnsi" w:hAnsiTheme="minorHAnsi" w:cs="Arial"/>
                <w:bCs/>
                <w:sz w:val="16"/>
                <w:szCs w:val="16"/>
              </w:rPr>
              <w:t>-</w:t>
            </w:r>
          </w:p>
        </w:tc>
        <w:tc>
          <w:tcPr>
            <w:tcW w:w="1772" w:type="dxa"/>
            <w:tcBorders>
              <w:top w:val="nil"/>
              <w:bottom w:val="single" w:sz="4" w:space="0" w:color="auto"/>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Pr>
                <w:rFonts w:asciiTheme="minorHAnsi" w:hAnsiTheme="minorHAnsi" w:cs="Arial"/>
                <w:bCs/>
                <w:sz w:val="16"/>
                <w:szCs w:val="16"/>
              </w:rPr>
              <w:t xml:space="preserve">€ </w:t>
            </w:r>
            <w:r w:rsidRPr="001343EC">
              <w:rPr>
                <w:rFonts w:asciiTheme="minorHAnsi" w:hAnsiTheme="minorHAnsi" w:cs="Arial"/>
                <w:bCs/>
                <w:sz w:val="16"/>
                <w:szCs w:val="16"/>
              </w:rPr>
              <w:t>17.171</w:t>
            </w:r>
          </w:p>
        </w:tc>
        <w:tc>
          <w:tcPr>
            <w:tcW w:w="1716" w:type="dxa"/>
            <w:tcBorders>
              <w:top w:val="nil"/>
              <w:bottom w:val="single" w:sz="4" w:space="0" w:color="auto"/>
            </w:tcBorders>
            <w:shd w:val="clear" w:color="auto" w:fill="auto"/>
            <w:noWrap/>
            <w:vAlign w:val="center"/>
          </w:tcPr>
          <w:p w:rsidR="00FC361B" w:rsidRPr="001343EC" w:rsidRDefault="00FC361B" w:rsidP="00FC361B">
            <w:pPr>
              <w:jc w:val="right"/>
              <w:rPr>
                <w:rFonts w:asciiTheme="minorHAnsi" w:hAnsiTheme="minorHAnsi" w:cs="Arial"/>
                <w:bCs/>
                <w:sz w:val="16"/>
                <w:szCs w:val="16"/>
              </w:rPr>
            </w:pPr>
            <w:r w:rsidRPr="001343EC">
              <w:rPr>
                <w:rFonts w:asciiTheme="minorHAnsi" w:hAnsiTheme="minorHAnsi" w:cs="Arial"/>
                <w:bCs/>
                <w:sz w:val="16"/>
                <w:szCs w:val="16"/>
              </w:rPr>
              <w:t>52,00%</w:t>
            </w:r>
          </w:p>
        </w:tc>
      </w:tr>
    </w:tbl>
    <w:p w:rsidR="00307A8E" w:rsidRDefault="00307A8E" w:rsidP="001263C5"/>
    <w:p w:rsidR="00307A8E" w:rsidRDefault="00307A8E">
      <w:pPr>
        <w:spacing w:line="240" w:lineRule="auto"/>
        <w:ind w:firstLine="0"/>
      </w:pPr>
      <w:r>
        <w:br w:type="page"/>
      </w:r>
    </w:p>
    <w:p w:rsidR="00627BEC" w:rsidRDefault="00792062" w:rsidP="001263C5">
      <w:r>
        <w:t>D.</w:t>
      </w:r>
      <w:r w:rsidR="00627BEC">
        <w:t xml:space="preserve"> In </w:t>
      </w:r>
      <w:r w:rsidR="00627BEC" w:rsidRPr="00627BEC">
        <w:rPr>
          <w:b/>
        </w:rPr>
        <w:t>artikel 20b</w:t>
      </w:r>
      <w:r w:rsidR="00627BEC">
        <w:t>, eerste lid, wordt de tarieftabel vervangen door:</w:t>
      </w:r>
    </w:p>
    <w:tbl>
      <w:tblPr>
        <w:tblW w:w="7523" w:type="dxa"/>
        <w:tblInd w:w="708" w:type="dxa"/>
        <w:tblCellMar>
          <w:left w:w="70" w:type="dxa"/>
          <w:right w:w="70" w:type="dxa"/>
        </w:tblCellMar>
        <w:tblLook w:val="0000"/>
      </w:tblPr>
      <w:tblGrid>
        <w:gridCol w:w="1923"/>
        <w:gridCol w:w="2112"/>
        <w:gridCol w:w="1772"/>
        <w:gridCol w:w="1716"/>
      </w:tblGrid>
      <w:tr w:rsidR="00627BEC" w:rsidRPr="008058AC" w:rsidTr="0050173D">
        <w:trPr>
          <w:trHeight w:val="2115"/>
        </w:trPr>
        <w:tc>
          <w:tcPr>
            <w:tcW w:w="1923" w:type="dxa"/>
            <w:tcBorders>
              <w:top w:val="single" w:sz="4" w:space="0" w:color="auto"/>
              <w:left w:val="nil"/>
              <w:right w:val="nil"/>
            </w:tcBorders>
            <w:shd w:val="clear" w:color="auto" w:fill="auto"/>
          </w:tcPr>
          <w:p w:rsidR="00627BEC" w:rsidRPr="008058AC" w:rsidRDefault="00627BEC" w:rsidP="0050173D">
            <w:pPr>
              <w:ind w:firstLine="0"/>
              <w:rPr>
                <w:sz w:val="16"/>
                <w:szCs w:val="16"/>
              </w:rPr>
            </w:pPr>
            <w:r w:rsidRPr="008058AC">
              <w:rPr>
                <w:sz w:val="16"/>
                <w:szCs w:val="16"/>
              </w:rPr>
              <w:t xml:space="preserve">Bij een belastbaar </w:t>
            </w:r>
            <w:r>
              <w:rPr>
                <w:sz w:val="16"/>
                <w:szCs w:val="16"/>
              </w:rPr>
              <w:t>loon</w:t>
            </w:r>
            <w:r w:rsidRPr="008058AC">
              <w:rPr>
                <w:sz w:val="16"/>
                <w:szCs w:val="16"/>
              </w:rPr>
              <w:t xml:space="preserve"> van meer dan</w:t>
            </w:r>
          </w:p>
        </w:tc>
        <w:tc>
          <w:tcPr>
            <w:tcW w:w="2112" w:type="dxa"/>
            <w:tcBorders>
              <w:top w:val="single" w:sz="4" w:space="0" w:color="auto"/>
              <w:left w:val="nil"/>
              <w:right w:val="nil"/>
            </w:tcBorders>
            <w:shd w:val="clear" w:color="auto" w:fill="auto"/>
          </w:tcPr>
          <w:p w:rsidR="00627BEC" w:rsidRPr="008058AC" w:rsidRDefault="00627BEC" w:rsidP="0050173D">
            <w:pPr>
              <w:ind w:firstLine="0"/>
              <w:rPr>
                <w:sz w:val="16"/>
                <w:szCs w:val="16"/>
              </w:rPr>
            </w:pPr>
            <w:r w:rsidRPr="008058AC">
              <w:rPr>
                <w:sz w:val="16"/>
                <w:szCs w:val="16"/>
              </w:rPr>
              <w:t>maar niet meer dan</w:t>
            </w:r>
          </w:p>
        </w:tc>
        <w:tc>
          <w:tcPr>
            <w:tcW w:w="3488" w:type="dxa"/>
            <w:gridSpan w:val="2"/>
            <w:tcBorders>
              <w:top w:val="single" w:sz="4" w:space="0" w:color="auto"/>
              <w:left w:val="nil"/>
              <w:right w:val="nil"/>
            </w:tcBorders>
            <w:shd w:val="clear" w:color="auto" w:fill="auto"/>
          </w:tcPr>
          <w:p w:rsidR="00627BEC" w:rsidRPr="008058AC" w:rsidRDefault="00627BEC" w:rsidP="0050173D">
            <w:pPr>
              <w:ind w:firstLine="0"/>
              <w:rPr>
                <w:sz w:val="16"/>
                <w:szCs w:val="16"/>
              </w:rPr>
            </w:pPr>
            <w:r w:rsidRPr="008058AC">
              <w:rPr>
                <w:sz w:val="16"/>
                <w:szCs w:val="16"/>
              </w:rPr>
              <w:t xml:space="preserve">bedraagt de belasting het in kolom III vermelde bedrag, vermeerderd met het bedrag dat wordt berekend door het in kolom IV vermelde percentage te nemen van het gedeelte van het belastbare </w:t>
            </w:r>
            <w:r>
              <w:rPr>
                <w:sz w:val="16"/>
                <w:szCs w:val="16"/>
              </w:rPr>
              <w:t>loon</w:t>
            </w:r>
            <w:r w:rsidRPr="008058AC">
              <w:rPr>
                <w:sz w:val="16"/>
                <w:szCs w:val="16"/>
              </w:rPr>
              <w:t xml:space="preserve"> dat het in kolom I vermelde bedrag te boven gaat</w:t>
            </w:r>
          </w:p>
        </w:tc>
      </w:tr>
      <w:tr w:rsidR="00627BEC" w:rsidRPr="00061A58" w:rsidTr="0050173D">
        <w:trPr>
          <w:trHeight w:val="198"/>
        </w:trPr>
        <w:tc>
          <w:tcPr>
            <w:tcW w:w="1923" w:type="dxa"/>
            <w:tcBorders>
              <w:bottom w:val="single" w:sz="4" w:space="0" w:color="auto"/>
            </w:tcBorders>
            <w:shd w:val="clear" w:color="auto" w:fill="auto"/>
            <w:noWrap/>
            <w:vAlign w:val="bottom"/>
          </w:tcPr>
          <w:p w:rsidR="00627BEC" w:rsidRPr="00061A58" w:rsidRDefault="00627BEC" w:rsidP="0050173D">
            <w:pPr>
              <w:ind w:firstLine="0"/>
              <w:rPr>
                <w:b/>
                <w:sz w:val="16"/>
                <w:szCs w:val="16"/>
              </w:rPr>
            </w:pPr>
            <w:r w:rsidRPr="00061A58">
              <w:rPr>
                <w:b/>
                <w:sz w:val="16"/>
                <w:szCs w:val="16"/>
              </w:rPr>
              <w:t>I</w:t>
            </w:r>
          </w:p>
        </w:tc>
        <w:tc>
          <w:tcPr>
            <w:tcW w:w="2112" w:type="dxa"/>
            <w:tcBorders>
              <w:bottom w:val="single" w:sz="4" w:space="0" w:color="auto"/>
            </w:tcBorders>
            <w:shd w:val="clear" w:color="auto" w:fill="auto"/>
            <w:noWrap/>
            <w:vAlign w:val="center"/>
          </w:tcPr>
          <w:p w:rsidR="00627BEC" w:rsidRPr="00061A58" w:rsidRDefault="00627BEC" w:rsidP="0050173D">
            <w:pPr>
              <w:jc w:val="right"/>
              <w:rPr>
                <w:b/>
                <w:sz w:val="16"/>
                <w:szCs w:val="16"/>
              </w:rPr>
            </w:pPr>
            <w:r w:rsidRPr="00061A58">
              <w:rPr>
                <w:b/>
                <w:sz w:val="16"/>
                <w:szCs w:val="16"/>
              </w:rPr>
              <w:t>II</w:t>
            </w:r>
          </w:p>
        </w:tc>
        <w:tc>
          <w:tcPr>
            <w:tcW w:w="1772" w:type="dxa"/>
            <w:tcBorders>
              <w:bottom w:val="single" w:sz="4" w:space="0" w:color="auto"/>
            </w:tcBorders>
            <w:shd w:val="clear" w:color="auto" w:fill="auto"/>
            <w:noWrap/>
            <w:vAlign w:val="center"/>
          </w:tcPr>
          <w:p w:rsidR="00627BEC" w:rsidRPr="00061A58" w:rsidRDefault="00627BEC" w:rsidP="0050173D">
            <w:pPr>
              <w:jc w:val="right"/>
              <w:rPr>
                <w:b/>
                <w:sz w:val="16"/>
                <w:szCs w:val="16"/>
              </w:rPr>
            </w:pPr>
            <w:r w:rsidRPr="00061A58">
              <w:rPr>
                <w:b/>
                <w:sz w:val="16"/>
                <w:szCs w:val="16"/>
              </w:rPr>
              <w:t>III</w:t>
            </w:r>
          </w:p>
        </w:tc>
        <w:tc>
          <w:tcPr>
            <w:tcW w:w="1716" w:type="dxa"/>
            <w:tcBorders>
              <w:bottom w:val="single" w:sz="4" w:space="0" w:color="auto"/>
            </w:tcBorders>
            <w:shd w:val="clear" w:color="auto" w:fill="auto"/>
            <w:noWrap/>
            <w:vAlign w:val="center"/>
          </w:tcPr>
          <w:p w:rsidR="00627BEC" w:rsidRPr="00061A58" w:rsidRDefault="00627BEC" w:rsidP="0050173D">
            <w:pPr>
              <w:jc w:val="right"/>
              <w:rPr>
                <w:b/>
                <w:sz w:val="16"/>
                <w:szCs w:val="16"/>
              </w:rPr>
            </w:pPr>
            <w:r w:rsidRPr="00061A58">
              <w:rPr>
                <w:b/>
                <w:sz w:val="16"/>
                <w:szCs w:val="16"/>
              </w:rPr>
              <w:t>IV</w:t>
            </w:r>
          </w:p>
        </w:tc>
      </w:tr>
      <w:tr w:rsidR="00627BEC" w:rsidRPr="008058AC" w:rsidTr="0050173D">
        <w:trPr>
          <w:trHeight w:val="255"/>
        </w:trPr>
        <w:tc>
          <w:tcPr>
            <w:tcW w:w="1923" w:type="dxa"/>
            <w:tcBorders>
              <w:top w:val="single" w:sz="4" w:space="0" w:color="auto"/>
              <w:bottom w:val="nil"/>
            </w:tcBorders>
            <w:shd w:val="clear" w:color="auto" w:fill="auto"/>
            <w:noWrap/>
            <w:vAlign w:val="center"/>
          </w:tcPr>
          <w:p w:rsidR="00627BEC" w:rsidRPr="00A41C8E" w:rsidRDefault="00627BEC" w:rsidP="0050173D">
            <w:pPr>
              <w:ind w:firstLine="0"/>
              <w:rPr>
                <w:rFonts w:asciiTheme="minorHAnsi" w:hAnsiTheme="minorHAnsi" w:cs="Arial"/>
                <w:bCs/>
                <w:sz w:val="16"/>
                <w:szCs w:val="16"/>
              </w:rPr>
            </w:pPr>
            <w:r w:rsidRPr="00A41C8E">
              <w:rPr>
                <w:rFonts w:asciiTheme="minorHAnsi" w:hAnsiTheme="minorHAnsi" w:cs="Arial"/>
                <w:bCs/>
                <w:sz w:val="16"/>
                <w:szCs w:val="16"/>
              </w:rPr>
              <w:t>-</w:t>
            </w:r>
          </w:p>
        </w:tc>
        <w:tc>
          <w:tcPr>
            <w:tcW w:w="2112" w:type="dxa"/>
            <w:tcBorders>
              <w:top w:val="single" w:sz="4" w:space="0" w:color="auto"/>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19.982</w:t>
            </w:r>
          </w:p>
        </w:tc>
        <w:tc>
          <w:tcPr>
            <w:tcW w:w="1772" w:type="dxa"/>
            <w:tcBorders>
              <w:top w:val="single" w:sz="4" w:space="0" w:color="auto"/>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sidRPr="00A41C8E">
              <w:rPr>
                <w:rFonts w:asciiTheme="minorHAnsi" w:hAnsiTheme="minorHAnsi" w:cs="Arial"/>
                <w:bCs/>
                <w:sz w:val="16"/>
                <w:szCs w:val="16"/>
              </w:rPr>
              <w:t>-</w:t>
            </w:r>
          </w:p>
        </w:tc>
        <w:tc>
          <w:tcPr>
            <w:tcW w:w="1716" w:type="dxa"/>
            <w:tcBorders>
              <w:top w:val="single" w:sz="4" w:space="0" w:color="auto"/>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sidRPr="00A41C8E">
              <w:rPr>
                <w:rFonts w:asciiTheme="minorHAnsi" w:hAnsiTheme="minorHAnsi" w:cs="Arial"/>
                <w:bCs/>
                <w:sz w:val="16"/>
                <w:szCs w:val="16"/>
              </w:rPr>
              <w:t>8,90%</w:t>
            </w:r>
          </w:p>
        </w:tc>
      </w:tr>
      <w:tr w:rsidR="00627BEC" w:rsidRPr="008058AC" w:rsidTr="0050173D">
        <w:trPr>
          <w:trHeight w:val="255"/>
        </w:trPr>
        <w:tc>
          <w:tcPr>
            <w:tcW w:w="1923" w:type="dxa"/>
            <w:tcBorders>
              <w:top w:val="nil"/>
              <w:bottom w:val="nil"/>
            </w:tcBorders>
            <w:shd w:val="clear" w:color="auto" w:fill="auto"/>
            <w:noWrap/>
            <w:vAlign w:val="center"/>
          </w:tcPr>
          <w:p w:rsidR="00627BEC" w:rsidRPr="00A41C8E" w:rsidRDefault="00627BEC" w:rsidP="0050173D">
            <w:pPr>
              <w:ind w:firstLine="0"/>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19.982</w:t>
            </w:r>
          </w:p>
        </w:tc>
        <w:tc>
          <w:tcPr>
            <w:tcW w:w="2112" w:type="dxa"/>
            <w:tcBorders>
              <w:top w:val="nil"/>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34.130</w:t>
            </w:r>
          </w:p>
        </w:tc>
        <w:tc>
          <w:tcPr>
            <w:tcW w:w="1772" w:type="dxa"/>
            <w:tcBorders>
              <w:top w:val="nil"/>
              <w:bottom w:val="nil"/>
            </w:tcBorders>
            <w:shd w:val="clear" w:color="auto" w:fill="auto"/>
            <w:noWrap/>
            <w:vAlign w:val="center"/>
          </w:tcPr>
          <w:p w:rsidR="00627BEC" w:rsidRPr="00A41C8E" w:rsidRDefault="00627BEC" w:rsidP="00627BEC">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1.778</w:t>
            </w:r>
          </w:p>
        </w:tc>
        <w:tc>
          <w:tcPr>
            <w:tcW w:w="1716" w:type="dxa"/>
            <w:tcBorders>
              <w:top w:val="nil"/>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sidRPr="00A41C8E">
              <w:rPr>
                <w:rFonts w:asciiTheme="minorHAnsi" w:hAnsiTheme="minorHAnsi" w:cs="Arial"/>
                <w:bCs/>
                <w:sz w:val="16"/>
                <w:szCs w:val="16"/>
              </w:rPr>
              <w:t>13,15%</w:t>
            </w:r>
          </w:p>
        </w:tc>
      </w:tr>
      <w:tr w:rsidR="00627BEC" w:rsidRPr="008058AC" w:rsidTr="0050173D">
        <w:trPr>
          <w:trHeight w:val="255"/>
        </w:trPr>
        <w:tc>
          <w:tcPr>
            <w:tcW w:w="1923" w:type="dxa"/>
            <w:tcBorders>
              <w:top w:val="nil"/>
              <w:bottom w:val="nil"/>
            </w:tcBorders>
            <w:shd w:val="clear" w:color="auto" w:fill="auto"/>
            <w:noWrap/>
            <w:vAlign w:val="center"/>
          </w:tcPr>
          <w:p w:rsidR="00627BEC" w:rsidRPr="00A41C8E" w:rsidRDefault="00627BEC" w:rsidP="0050173D">
            <w:pPr>
              <w:ind w:firstLine="0"/>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34.130</w:t>
            </w:r>
          </w:p>
        </w:tc>
        <w:tc>
          <w:tcPr>
            <w:tcW w:w="2112" w:type="dxa"/>
            <w:tcBorders>
              <w:top w:val="nil"/>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67.072</w:t>
            </w:r>
          </w:p>
        </w:tc>
        <w:tc>
          <w:tcPr>
            <w:tcW w:w="1772" w:type="dxa"/>
            <w:tcBorders>
              <w:top w:val="nil"/>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3.638</w:t>
            </w:r>
          </w:p>
        </w:tc>
        <w:tc>
          <w:tcPr>
            <w:tcW w:w="1716" w:type="dxa"/>
            <w:tcBorders>
              <w:top w:val="nil"/>
              <w:bottom w:val="nil"/>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sidRPr="00A41C8E">
              <w:rPr>
                <w:rFonts w:asciiTheme="minorHAnsi" w:hAnsiTheme="minorHAnsi" w:cs="Arial"/>
                <w:bCs/>
                <w:sz w:val="16"/>
                <w:szCs w:val="16"/>
              </w:rPr>
              <w:t>40,80%</w:t>
            </w:r>
          </w:p>
        </w:tc>
      </w:tr>
      <w:tr w:rsidR="00627BEC" w:rsidRPr="008058AC" w:rsidTr="0050173D">
        <w:trPr>
          <w:trHeight w:val="255"/>
        </w:trPr>
        <w:tc>
          <w:tcPr>
            <w:tcW w:w="1923" w:type="dxa"/>
            <w:tcBorders>
              <w:top w:val="nil"/>
              <w:bottom w:val="single" w:sz="4" w:space="0" w:color="auto"/>
            </w:tcBorders>
            <w:shd w:val="clear" w:color="auto" w:fill="auto"/>
            <w:noWrap/>
            <w:vAlign w:val="center"/>
          </w:tcPr>
          <w:p w:rsidR="00627BEC" w:rsidRPr="00A41C8E" w:rsidRDefault="00627BEC" w:rsidP="0050173D">
            <w:pPr>
              <w:ind w:firstLine="0"/>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67.072</w:t>
            </w:r>
          </w:p>
        </w:tc>
        <w:tc>
          <w:tcPr>
            <w:tcW w:w="2112" w:type="dxa"/>
            <w:tcBorders>
              <w:top w:val="nil"/>
              <w:bottom w:val="single" w:sz="4" w:space="0" w:color="auto"/>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w:t>
            </w:r>
          </w:p>
        </w:tc>
        <w:tc>
          <w:tcPr>
            <w:tcW w:w="1772" w:type="dxa"/>
            <w:tcBorders>
              <w:top w:val="nil"/>
              <w:bottom w:val="single" w:sz="4" w:space="0" w:color="auto"/>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Pr>
                <w:rFonts w:asciiTheme="minorHAnsi" w:hAnsiTheme="minorHAnsi" w:cs="Arial"/>
                <w:bCs/>
                <w:sz w:val="16"/>
                <w:szCs w:val="16"/>
              </w:rPr>
              <w:t xml:space="preserve">€ </w:t>
            </w:r>
            <w:r w:rsidRPr="00A41C8E">
              <w:rPr>
                <w:rFonts w:asciiTheme="minorHAnsi" w:hAnsiTheme="minorHAnsi" w:cs="Arial"/>
                <w:bCs/>
                <w:sz w:val="16"/>
                <w:szCs w:val="16"/>
              </w:rPr>
              <w:t>17.078</w:t>
            </w:r>
          </w:p>
        </w:tc>
        <w:tc>
          <w:tcPr>
            <w:tcW w:w="1716" w:type="dxa"/>
            <w:tcBorders>
              <w:top w:val="nil"/>
              <w:bottom w:val="single" w:sz="4" w:space="0" w:color="auto"/>
            </w:tcBorders>
            <w:shd w:val="clear" w:color="auto" w:fill="auto"/>
            <w:noWrap/>
            <w:vAlign w:val="center"/>
          </w:tcPr>
          <w:p w:rsidR="00627BEC" w:rsidRPr="00A41C8E" w:rsidRDefault="00627BEC" w:rsidP="0050173D">
            <w:pPr>
              <w:jc w:val="right"/>
              <w:rPr>
                <w:rFonts w:asciiTheme="minorHAnsi" w:hAnsiTheme="minorHAnsi" w:cs="Arial"/>
                <w:bCs/>
                <w:sz w:val="16"/>
                <w:szCs w:val="16"/>
              </w:rPr>
            </w:pPr>
            <w:r w:rsidRPr="00A41C8E">
              <w:rPr>
                <w:rFonts w:asciiTheme="minorHAnsi" w:hAnsiTheme="minorHAnsi" w:cs="Arial"/>
                <w:bCs/>
                <w:sz w:val="16"/>
                <w:szCs w:val="16"/>
              </w:rPr>
              <w:t>52,00%</w:t>
            </w:r>
          </w:p>
        </w:tc>
      </w:tr>
    </w:tbl>
    <w:p w:rsidR="00627BEC" w:rsidRDefault="00627BEC" w:rsidP="001263C5"/>
    <w:p w:rsidR="00627BEC" w:rsidRDefault="00792062" w:rsidP="001263C5">
      <w:r>
        <w:t>E.</w:t>
      </w:r>
      <w:r w:rsidR="00627BEC">
        <w:t xml:space="preserve"> Het in </w:t>
      </w:r>
      <w:r w:rsidR="00627BEC" w:rsidRPr="00627BEC">
        <w:rPr>
          <w:b/>
        </w:rPr>
        <w:t>artikel 22</w:t>
      </w:r>
      <w:r w:rsidR="00627BEC">
        <w:t>, tweede lid, genoemde bedrag wordt vervangen door: € 2.254.</w:t>
      </w:r>
    </w:p>
    <w:p w:rsidR="00627BEC" w:rsidRDefault="00627BEC" w:rsidP="001263C5"/>
    <w:p w:rsidR="00627BEC" w:rsidRDefault="00792062" w:rsidP="001263C5">
      <w:r>
        <w:t>F.</w:t>
      </w:r>
      <w:r w:rsidR="00627BEC">
        <w:t xml:space="preserve"> Het in </w:t>
      </w:r>
      <w:r w:rsidR="00627BEC" w:rsidRPr="00627BEC">
        <w:rPr>
          <w:b/>
        </w:rPr>
        <w:t>artikel 22a</w:t>
      </w:r>
      <w:r w:rsidR="00627BEC">
        <w:t>, tweede lid, onderdeel b, als tweede genoemde bedrag wordt vervangen door: € 3.223.</w:t>
      </w:r>
    </w:p>
    <w:p w:rsidR="00627BEC" w:rsidRDefault="00627BEC" w:rsidP="001263C5"/>
    <w:p w:rsidR="00627BEC" w:rsidRDefault="00792062" w:rsidP="001263C5">
      <w:r>
        <w:t>G.</w:t>
      </w:r>
      <w:r w:rsidR="00627BEC">
        <w:t xml:space="preserve"> Het in </w:t>
      </w:r>
      <w:r w:rsidR="00627BEC" w:rsidRPr="00627BEC">
        <w:rPr>
          <w:b/>
        </w:rPr>
        <w:t>artikel 22b</w:t>
      </w:r>
      <w:r w:rsidR="00627BEC">
        <w:t>, tweede lid, als eerste genoemde bedrag wordt vervangen door: € 1.292.</w:t>
      </w:r>
    </w:p>
    <w:p w:rsidR="00627BEC" w:rsidRDefault="00627BEC" w:rsidP="001263C5"/>
    <w:p w:rsidR="004F4C27" w:rsidRDefault="00792062" w:rsidP="001263C5">
      <w:r>
        <w:t>H.</w:t>
      </w:r>
      <w:r w:rsidR="004F4C27">
        <w:t xml:space="preserve"> </w:t>
      </w:r>
      <w:r w:rsidR="004F4C27" w:rsidRPr="004F4C27">
        <w:rPr>
          <w:b/>
        </w:rPr>
        <w:t>Artikel 35o</w:t>
      </w:r>
      <w:r w:rsidR="004F4C27">
        <w:t xml:space="preserve"> wordt als volgt gewijzigd:</w:t>
      </w:r>
    </w:p>
    <w:p w:rsidR="004F4C27" w:rsidRDefault="004F4C27" w:rsidP="001263C5">
      <w:r>
        <w:t>1. Voor de tekst wordt de aanduiding “1.” geplaatst.</w:t>
      </w:r>
    </w:p>
    <w:p w:rsidR="004F4C27" w:rsidRDefault="004F4C27" w:rsidP="001263C5">
      <w:r>
        <w:t>2. Er wordt een lid toegevoegd, luidende:</w:t>
      </w:r>
    </w:p>
    <w:p w:rsidR="004F4C27" w:rsidRDefault="004F4C27" w:rsidP="001263C5">
      <w:r>
        <w:t>2. Artikel 12a, derde</w:t>
      </w:r>
      <w:r w:rsidR="00D74BC7">
        <w:t>,</w:t>
      </w:r>
      <w:r>
        <w:t xml:space="preserve"> vierde lid</w:t>
      </w:r>
      <w:r w:rsidR="00D74BC7">
        <w:t xml:space="preserve"> en tiende lid</w:t>
      </w:r>
      <w:r>
        <w:t>, vervalt met ingang van 1 januari 2022.</w:t>
      </w:r>
    </w:p>
    <w:p w:rsidR="004F4C27" w:rsidRDefault="004F4C27" w:rsidP="001263C5"/>
    <w:p w:rsidR="003E6B0A" w:rsidRDefault="003E6B0A" w:rsidP="003E6B0A">
      <w:pPr>
        <w:pStyle w:val="Artikel"/>
      </w:pPr>
      <w:r>
        <w:t xml:space="preserve">Artikel </w:t>
      </w:r>
      <w:r w:rsidR="00792062">
        <w:t>III</w:t>
      </w:r>
    </w:p>
    <w:p w:rsidR="003E6B0A" w:rsidRDefault="003E6B0A" w:rsidP="003E6B0A"/>
    <w:p w:rsidR="003E6B0A" w:rsidRDefault="003E6B0A" w:rsidP="003E6B0A">
      <w:r>
        <w:t xml:space="preserve">Onze Minister van Financiën zendt binnen vier jaar na de inwerkingtreding van artikel </w:t>
      </w:r>
      <w:r w:rsidR="00792062">
        <w:t>II</w:t>
      </w:r>
      <w:r>
        <w:t xml:space="preserve">, onderdeel </w:t>
      </w:r>
      <w:r w:rsidR="00792062">
        <w:t>B</w:t>
      </w:r>
      <w:r>
        <w:t>, aan de Staten Generaal een verslag over de doeltreffendheid en de effecten in de praktijk van artikel 12a, derde en vierde lid, van de Wet op de loonbelasting 1964.</w:t>
      </w:r>
    </w:p>
    <w:p w:rsidR="003E6B0A" w:rsidRDefault="003E6B0A" w:rsidP="001263C5"/>
    <w:p w:rsidR="001263C5" w:rsidRDefault="001263C5" w:rsidP="001263C5">
      <w:pPr>
        <w:pStyle w:val="Artikel"/>
      </w:pPr>
      <w:r>
        <w:t xml:space="preserve">Artikel </w:t>
      </w:r>
      <w:r w:rsidR="00792062">
        <w:t>IV</w:t>
      </w:r>
    </w:p>
    <w:p w:rsidR="001263C5" w:rsidRDefault="001263C5" w:rsidP="001263C5"/>
    <w:p w:rsidR="001263C5" w:rsidRDefault="001263C5" w:rsidP="001263C5">
      <w:r w:rsidRPr="001263C5">
        <w:t>De Wet op de vennootschapsbelasting 1969 wordt als volgt gewijzigd:</w:t>
      </w:r>
    </w:p>
    <w:p w:rsidR="00467B1F" w:rsidRDefault="00467B1F" w:rsidP="001263C5"/>
    <w:p w:rsidR="001263C5" w:rsidRDefault="00792062" w:rsidP="001263C5">
      <w:r>
        <w:t>A.</w:t>
      </w:r>
      <w:r w:rsidR="001263C5">
        <w:t xml:space="preserve"> </w:t>
      </w:r>
      <w:r w:rsidR="001263C5" w:rsidRPr="00F91EF2">
        <w:rPr>
          <w:b/>
        </w:rPr>
        <w:t>Artikel 10a</w:t>
      </w:r>
      <w:r w:rsidR="001263C5" w:rsidRPr="001263C5">
        <w:t xml:space="preserve"> wordt als volgt gewijzigd:</w:t>
      </w:r>
    </w:p>
    <w:p w:rsidR="001263C5" w:rsidRDefault="001263C5" w:rsidP="001263C5">
      <w:r w:rsidRPr="001263C5">
        <w:t xml:space="preserve">1. In de aanhef van het vierde lid wordt </w:t>
      </w:r>
      <w:r w:rsidR="0065490A">
        <w:t>“10” vervangen door “10, 12bb</w:t>
      </w:r>
      <w:r w:rsidR="00D74BC7" w:rsidRPr="00467B1F">
        <w:t>”</w:t>
      </w:r>
      <w:r w:rsidR="00D74BC7">
        <w:t xml:space="preserve"> en wordt</w:t>
      </w:r>
      <w:r w:rsidR="00D74BC7" w:rsidRPr="00467B1F">
        <w:t xml:space="preserve"> </w:t>
      </w:r>
      <w:r w:rsidRPr="001263C5">
        <w:t>“14a” ver</w:t>
      </w:r>
      <w:r w:rsidR="001A1BAD">
        <w:t>vangen door</w:t>
      </w:r>
      <w:r w:rsidRPr="001263C5">
        <w:t xml:space="preserve"> </w:t>
      </w:r>
      <w:r w:rsidR="001A1BAD">
        <w:t>“</w:t>
      </w:r>
      <w:r w:rsidRPr="001263C5">
        <w:t>14a, 15ad</w:t>
      </w:r>
      <w:r w:rsidR="001A1BAD">
        <w:t>”</w:t>
      </w:r>
      <w:r w:rsidR="00D74BC7">
        <w:t>. Voorts</w:t>
      </w:r>
      <w:r w:rsidR="001A1BAD" w:rsidRPr="00467B1F">
        <w:t xml:space="preserve"> wordt “33 en 33b”</w:t>
      </w:r>
      <w:r w:rsidR="001A1BAD">
        <w:t xml:space="preserve"> vervangen door: 33, 33b en 34d</w:t>
      </w:r>
      <w:r w:rsidRPr="001263C5">
        <w:t>.</w:t>
      </w:r>
    </w:p>
    <w:p w:rsidR="001263C5" w:rsidRDefault="001263C5" w:rsidP="001263C5">
      <w:r w:rsidRPr="001263C5">
        <w:t xml:space="preserve">2. </w:t>
      </w:r>
      <w:r w:rsidR="00220C6F">
        <w:t>Onder vernummering van het zesde lid tot zevende lid wordt na het vijfde lid een lid ingevoegd</w:t>
      </w:r>
      <w:r w:rsidRPr="001263C5">
        <w:t>, luidende:</w:t>
      </w:r>
    </w:p>
    <w:p w:rsidR="001263C5" w:rsidRDefault="00220C6F" w:rsidP="001263C5">
      <w:r>
        <w:t>6</w:t>
      </w:r>
      <w:r w:rsidR="001263C5" w:rsidRPr="001263C5">
        <w:t>. Als een met de belastingplichtige verbonden lichaam wordt voor de toepassing van het eerste tot en met derde lid en van artikel 15ad mede aangemerkt een lichaam dat een belang heeft in de belastingplichtige en dat samen met een of meer andere lichamen die met dat lichaam een samenwerkende groep vormen voor ten minste een derde gedeelte belang heeft in de belastingplichtige. Als een met een belastingplichtige verbonden lichaam wordt voor de toepassing van het eerste tot en met derde lid en van artikel 15ad mede aangemerkt een lichaam waarin de lichamen die deel uitmaken van de samenwerkende groep, bedoeld in de eerste volzin, gezamenlijk voor ten minste een derde gedeelte belang hebben.</w:t>
      </w:r>
    </w:p>
    <w:p w:rsidR="00220C6F" w:rsidRDefault="00220C6F" w:rsidP="001263C5">
      <w:r>
        <w:t>3. In het zevende lid (nieuw) wordt “vierde lid” vervangen door: vierde of zesde lid.</w:t>
      </w:r>
    </w:p>
    <w:p w:rsidR="001263C5" w:rsidRDefault="001263C5" w:rsidP="001263C5"/>
    <w:p w:rsidR="00F91EF2" w:rsidRDefault="00792062" w:rsidP="001263C5">
      <w:r>
        <w:t>B.</w:t>
      </w:r>
      <w:r w:rsidR="00F91EF2">
        <w:t xml:space="preserve"> </w:t>
      </w:r>
      <w:r w:rsidR="00F91EF2" w:rsidRPr="00F91EF2">
        <w:rPr>
          <w:b/>
        </w:rPr>
        <w:t xml:space="preserve">Artikel 12b </w:t>
      </w:r>
      <w:r w:rsidR="00F91EF2" w:rsidRPr="00F91EF2">
        <w:t>komt te luiden:</w:t>
      </w:r>
    </w:p>
    <w:p w:rsidR="00F91EF2" w:rsidRDefault="00A71C8B" w:rsidP="001263C5">
      <w:pPr>
        <w:rPr>
          <w:b/>
        </w:rPr>
      </w:pPr>
      <w:r w:rsidRPr="00A71C8B">
        <w:rPr>
          <w:b/>
        </w:rPr>
        <w:t>Artikel 12b</w:t>
      </w:r>
    </w:p>
    <w:p w:rsidR="00A71C8B" w:rsidRDefault="00A71C8B" w:rsidP="001263C5">
      <w:r w:rsidRPr="00A71C8B">
        <w:t>De kwalificerende voordelen uit hoofde van een door de belastingplichtige zelf voortgebracht kwalificerend immaterieel activum worden, indien hij daarvoor bij de aangifte over een jaar kiest, met ingang van dat jaar in aanmerking genomen voor 5/H gedeelte. Daarbij staat H voor het percentage van het hoogste tarief, bedoeld in artikel 22, geldend voor het jaar waarin het kwalificerende voordeel is genoten. De eerste volzin vindt slechts toepassing voor zover het saldo van de kwalificerende voordelen uit kwalificerende immateriële activa bij de belastingplichtige positief is.</w:t>
      </w:r>
    </w:p>
    <w:p w:rsidR="00A71C8B" w:rsidRDefault="00A71C8B" w:rsidP="001263C5"/>
    <w:p w:rsidR="00A71C8B" w:rsidRDefault="00792062" w:rsidP="00A71C8B">
      <w:r>
        <w:t>C.</w:t>
      </w:r>
      <w:r w:rsidR="00A71C8B">
        <w:t xml:space="preserve"> </w:t>
      </w:r>
      <w:r w:rsidR="00A71C8B" w:rsidRPr="00A71C8B">
        <w:t xml:space="preserve">Na </w:t>
      </w:r>
      <w:r w:rsidR="00A71C8B" w:rsidRPr="00A71C8B">
        <w:rPr>
          <w:b/>
        </w:rPr>
        <w:t>artikel 12b</w:t>
      </w:r>
      <w:r w:rsidR="00A71C8B" w:rsidRPr="00A71C8B">
        <w:t xml:space="preserve"> worden </w:t>
      </w:r>
      <w:r w:rsidR="00B37324">
        <w:t>zeven</w:t>
      </w:r>
      <w:r w:rsidR="00A71C8B" w:rsidRPr="00A71C8B">
        <w:t xml:space="preserve"> artikelen ingevoegd, luidende:</w:t>
      </w:r>
    </w:p>
    <w:p w:rsidR="00A71C8B" w:rsidRDefault="00A71C8B" w:rsidP="00A71C8B">
      <w:pPr>
        <w:rPr>
          <w:b/>
        </w:rPr>
      </w:pPr>
      <w:r w:rsidRPr="00A71C8B">
        <w:rPr>
          <w:b/>
        </w:rPr>
        <w:t>Artikel 12ba</w:t>
      </w:r>
    </w:p>
    <w:p w:rsidR="00A71C8B" w:rsidRDefault="00A71C8B" w:rsidP="00A71C8B">
      <w:r w:rsidRPr="00A71C8B">
        <w:t>1. Voor de toepassing van deze afdeling en de daarop berustende bepalingen wordt verstaan onder een kwalificerend immaterieel activum:</w:t>
      </w:r>
    </w:p>
    <w:p w:rsidR="00A71C8B" w:rsidRDefault="00A71C8B" w:rsidP="00A71C8B">
      <w:r w:rsidRPr="00A71C8B">
        <w:t>a. voor kleinere belastingplichtigen: een immaterieel activum dat is voortgevloeid uit speur- en ontwikkelingswerk waarvoor aan de belastingplichtige een S&amp;O-verklaring is afgegeven als bedoeld in de Wet vermindering afdracht loonbelasting en premie voor de volksverzekeringen;</w:t>
      </w:r>
    </w:p>
    <w:p w:rsidR="00A71C8B" w:rsidRDefault="00A71C8B" w:rsidP="00A71C8B">
      <w:r w:rsidRPr="00A71C8B">
        <w:t>b. voor een niet onder onderdeel a vallende belastingplichtige: een immaterieel activum dat is voortgevloeid uit speur- en ontwikkelingswerk waarvoor aan de belastingplichtige een S&amp;O-verklaring is afgegeven als bedoeld in de Wet vermindering afdracht loonbelasting en premie voor de volksverzekeringen en:</w:t>
      </w:r>
    </w:p>
    <w:p w:rsidR="00A71C8B" w:rsidRDefault="00A71C8B" w:rsidP="00A71C8B">
      <w:r w:rsidRPr="00A71C8B">
        <w:t>1</w:t>
      </w:r>
      <w:r w:rsidRPr="00A71C8B">
        <w:rPr>
          <w:vertAlign w:val="superscript"/>
        </w:rPr>
        <w:t>o</w:t>
      </w:r>
      <w:r w:rsidRPr="00A71C8B">
        <w:t>. ter zake waarvan aan de belastingplichtige een octr</w:t>
      </w:r>
      <w:r w:rsidR="00111745">
        <w:t>ooi of kwekersrecht is verleend;</w:t>
      </w:r>
    </w:p>
    <w:p w:rsidR="00AD2282" w:rsidRDefault="00A71C8B" w:rsidP="00A71C8B">
      <w:r w:rsidRPr="00A71C8B">
        <w:t>2</w:t>
      </w:r>
      <w:r w:rsidRPr="00A71C8B">
        <w:rPr>
          <w:vertAlign w:val="superscript"/>
        </w:rPr>
        <w:t>o</w:t>
      </w:r>
      <w:r w:rsidRPr="00A71C8B">
        <w:t xml:space="preserve">. </w:t>
      </w:r>
      <w:r w:rsidR="00AD2282" w:rsidRPr="00AD2282">
        <w:t>ter zake waarvan door de belastingplichtige een octrooi of kwekersrecht is aangevraagd</w:t>
      </w:r>
      <w:r w:rsidR="00AD2282">
        <w:t>;</w:t>
      </w:r>
    </w:p>
    <w:p w:rsidR="00A71C8B" w:rsidRDefault="00AD2282" w:rsidP="00A71C8B">
      <w:r w:rsidRPr="00A71C8B">
        <w:t>3</w:t>
      </w:r>
      <w:r w:rsidRPr="00A71C8B">
        <w:rPr>
          <w:vertAlign w:val="superscript"/>
        </w:rPr>
        <w:t>o</w:t>
      </w:r>
      <w:r>
        <w:t xml:space="preserve">. </w:t>
      </w:r>
      <w:r w:rsidR="00A71C8B" w:rsidRPr="00A71C8B">
        <w:t xml:space="preserve">dat </w:t>
      </w:r>
      <w:r w:rsidR="00111745">
        <w:t>de vorm heeft van programmatuur;</w:t>
      </w:r>
    </w:p>
    <w:p w:rsidR="00AD2282" w:rsidRDefault="00AD2282" w:rsidP="00A71C8B">
      <w:r w:rsidRPr="00AD2282">
        <w:t>4</w:t>
      </w:r>
      <w:r w:rsidR="00A71C8B" w:rsidRPr="00A71C8B">
        <w:rPr>
          <w:vertAlign w:val="superscript"/>
        </w:rPr>
        <w:t>o</w:t>
      </w:r>
      <w:r w:rsidR="00A71C8B" w:rsidRPr="00A71C8B">
        <w:t>. ter zake waarvan</w:t>
      </w:r>
      <w:r>
        <w:t xml:space="preserve"> in een lidstaat van de Europese Unie</w:t>
      </w:r>
      <w:r w:rsidR="00A71C8B" w:rsidRPr="00A71C8B">
        <w:t xml:space="preserve"> aan de belastingplichtige een vergunning voor het in de handel brengen van </w:t>
      </w:r>
      <w:r>
        <w:t>een geneesmiddel is verleend;</w:t>
      </w:r>
    </w:p>
    <w:p w:rsidR="00AD2282" w:rsidRDefault="00AD2282" w:rsidP="00A71C8B">
      <w:r>
        <w:t>5</w:t>
      </w:r>
      <w:r w:rsidRPr="00AD2282">
        <w:rPr>
          <w:vertAlign w:val="superscript"/>
        </w:rPr>
        <w:t xml:space="preserve"> </w:t>
      </w:r>
      <w:r w:rsidRPr="00A71C8B">
        <w:rPr>
          <w:vertAlign w:val="superscript"/>
        </w:rPr>
        <w:t>o</w:t>
      </w:r>
      <w:r>
        <w:t>. ter zake waarvan aan de belastingplichtige door het Octrooicentrum Nederland een aanvullend beschermingscertificaat is verleend;</w:t>
      </w:r>
    </w:p>
    <w:p w:rsidR="00A71C8B" w:rsidRDefault="00AD2282" w:rsidP="00A71C8B">
      <w:r w:rsidRPr="00AD2282">
        <w:t>6</w:t>
      </w:r>
      <w:r w:rsidRPr="00AD2282">
        <w:rPr>
          <w:vertAlign w:val="superscript"/>
        </w:rPr>
        <w:t>o</w:t>
      </w:r>
      <w:r w:rsidRPr="00AD2282">
        <w:t>. ter zake waarvan aan de belastingplichtige</w:t>
      </w:r>
      <w:r w:rsidR="00AB5F78">
        <w:t xml:space="preserve"> </w:t>
      </w:r>
      <w:r w:rsidR="000C2984" w:rsidRPr="00F82BBC">
        <w:t>een geregistreerd gebruiksmodel ter bescherming van innovatie is toegekend</w:t>
      </w:r>
      <w:r w:rsidRPr="00AD2282">
        <w:t xml:space="preserve">; </w:t>
      </w:r>
      <w:r w:rsidR="00A71C8B" w:rsidRPr="00A71C8B">
        <w:t>of</w:t>
      </w:r>
    </w:p>
    <w:p w:rsidR="00A71C8B" w:rsidRDefault="00AD2282" w:rsidP="00A71C8B">
      <w:r w:rsidRPr="00AD2282">
        <w:t>7</w:t>
      </w:r>
      <w:r w:rsidR="00A71C8B" w:rsidRPr="00A71C8B">
        <w:rPr>
          <w:vertAlign w:val="superscript"/>
        </w:rPr>
        <w:t>o</w:t>
      </w:r>
      <w:r w:rsidR="00A71C8B" w:rsidRPr="00A71C8B">
        <w:t>. dat samenhangt met een immaterieel activum als bedoeld in de onderdelen 1</w:t>
      </w:r>
      <w:r w:rsidR="00A71C8B" w:rsidRPr="00A71C8B">
        <w:rPr>
          <w:vertAlign w:val="superscript"/>
        </w:rPr>
        <w:t>o</w:t>
      </w:r>
      <w:r>
        <w:t xml:space="preserve"> tot en met 6</w:t>
      </w:r>
      <w:r w:rsidR="00A71C8B" w:rsidRPr="00A71C8B">
        <w:rPr>
          <w:vertAlign w:val="superscript"/>
        </w:rPr>
        <w:t>o</w:t>
      </w:r>
      <w:r w:rsidR="00A71C8B" w:rsidRPr="00A71C8B">
        <w:t>.</w:t>
      </w:r>
    </w:p>
    <w:p w:rsidR="00A71C8B" w:rsidRDefault="00A71C8B" w:rsidP="00A71C8B">
      <w:r w:rsidRPr="00A71C8B">
        <w:t>2. Een belastingplichtige wordt voor de toepassing van het eerste lid aangemerkt als een kleinere belastingplichtige indien:</w:t>
      </w:r>
    </w:p>
    <w:p w:rsidR="00A71C8B" w:rsidRDefault="00111745" w:rsidP="00A71C8B">
      <w:r>
        <w:t>a</w:t>
      </w:r>
      <w:r w:rsidR="00A71C8B" w:rsidRPr="00A71C8B">
        <w:t>. het bedrag van de voordelen die de belastingplichtige in het jaar geniet en in de vier voorafgaande jaren heeft genoten uit hoofde van immateriële activa die zijn voortgevloeid uit speur- en ontwikkelingswerk waarvoor aan de belastingplichtige een S&amp;O-verklaring is afgegeven als bedoeld in de Wet vermindering afdracht loonbelasting en premie volksverzekeringen, vermeerderd met de kosten ter verwerving van de voordelen uit deze immateriële activa in die jaren, tezamen lager is dan € 37.500.000; en</w:t>
      </w:r>
    </w:p>
    <w:p w:rsidR="00A71C8B" w:rsidRDefault="00111745" w:rsidP="00A71C8B">
      <w:r>
        <w:t>b</w:t>
      </w:r>
      <w:r w:rsidR="00A71C8B" w:rsidRPr="00A71C8B">
        <w:t>. de netto-omzet, bedoeld in artikel 377 van Boek 2 van het Burgerlijk Wetboek, in het jaar en de vier voorafgaande jaren, van de belastingplichtige of, indien de belastingplichtige deel uitmaakt van een groep als bedoeld in artikel 24b van Boek 2 van het Burgerlijk Wetboek of een soortgelijke buitenlandse regeling, van de groep waar de belastingplichtige in die jaren deel van uitmaakt, volgens de jaarrekeningen, onderscheidenlijk de geconsolideerde jaarrekeningen, van die jaren, tezamen lager is dan € 250.000.000.</w:t>
      </w:r>
    </w:p>
    <w:p w:rsidR="00A71C8B" w:rsidRDefault="00A71C8B" w:rsidP="00A71C8B">
      <w:r w:rsidRPr="00A71C8B">
        <w:t>3. Indien de belastingplichtige in enig jaar deel uitmaakt van meer dan één groep als bedoeld in artikel 24b van Boek 2 van het Burgerlijk Wetboek of een soortgelijke buitenlandse regeling, wordt voor de toepassing van het tweede lid voor dat jaar de groep in aanmerking genomen met de grootste netto-omzet in dat jaar.</w:t>
      </w:r>
    </w:p>
    <w:p w:rsidR="00A71C8B" w:rsidRDefault="00A71C8B" w:rsidP="00A71C8B">
      <w:r w:rsidRPr="00A71C8B">
        <w:t>4. Voor de toepassing van deze afdeling en de daarop berustende bepalingen wordt onder een octrooi</w:t>
      </w:r>
      <w:r w:rsidR="009F0635">
        <w:t xml:space="preserve"> of</w:t>
      </w:r>
      <w:r w:rsidRPr="00A71C8B">
        <w:t xml:space="preserve"> kwekersrecht</w:t>
      </w:r>
      <w:r w:rsidR="00AD2282">
        <w:t xml:space="preserve">, </w:t>
      </w:r>
      <w:r w:rsidR="009F0635">
        <w:t xml:space="preserve">programmatuur, </w:t>
      </w:r>
      <w:r w:rsidR="00AD2282">
        <w:t>een</w:t>
      </w:r>
      <w:r w:rsidRPr="00A71C8B">
        <w:t xml:space="preserve"> vergunning als bedoeld in het eerste lid, onder</w:t>
      </w:r>
      <w:r w:rsidR="00111745">
        <w:t>deel</w:t>
      </w:r>
      <w:r w:rsidR="00AD2282">
        <w:t xml:space="preserve"> b</w:t>
      </w:r>
      <w:r w:rsidR="00111745">
        <w:t>, onder</w:t>
      </w:r>
      <w:r w:rsidRPr="00A71C8B">
        <w:t xml:space="preserve"> </w:t>
      </w:r>
      <w:r w:rsidR="00AD2282">
        <w:t>4</w:t>
      </w:r>
      <w:r w:rsidRPr="00A71C8B">
        <w:rPr>
          <w:vertAlign w:val="superscript"/>
        </w:rPr>
        <w:t>o</w:t>
      </w:r>
      <w:r w:rsidR="00AD2282">
        <w:t xml:space="preserve">, </w:t>
      </w:r>
      <w:r w:rsidR="009F0635">
        <w:t xml:space="preserve">of </w:t>
      </w:r>
      <w:r w:rsidR="00AD2282">
        <w:t xml:space="preserve">een geregistreerd gebruiksmodel ter bescherming van innovatie </w:t>
      </w:r>
      <w:r w:rsidRPr="00A71C8B">
        <w:t>mede verstaan: een exclusieve licentie om</w:t>
      </w:r>
      <w:r w:rsidR="009F0635">
        <w:t xml:space="preserve"> een octrooi of</w:t>
      </w:r>
      <w:r w:rsidRPr="00A71C8B">
        <w:t xml:space="preserve"> kwekersrecht</w:t>
      </w:r>
      <w:r w:rsidR="00AD2282">
        <w:t xml:space="preserve">, </w:t>
      </w:r>
      <w:r w:rsidR="009F0635">
        <w:t xml:space="preserve">programmatuur, </w:t>
      </w:r>
      <w:r w:rsidR="00AD2282">
        <w:t>een</w:t>
      </w:r>
      <w:r w:rsidRPr="00A71C8B">
        <w:t xml:space="preserve"> vergunning als bedoeld in het eerste lid, onder</w:t>
      </w:r>
      <w:r w:rsidR="00111745">
        <w:t xml:space="preserve">deel </w:t>
      </w:r>
      <w:r w:rsidR="00AD2282">
        <w:t>b</w:t>
      </w:r>
      <w:r w:rsidR="00111745">
        <w:t>, onder</w:t>
      </w:r>
      <w:r w:rsidRPr="00A71C8B">
        <w:t xml:space="preserve"> </w:t>
      </w:r>
      <w:r w:rsidR="00AD2282">
        <w:t>4</w:t>
      </w:r>
      <w:r w:rsidRPr="00A71C8B">
        <w:rPr>
          <w:vertAlign w:val="superscript"/>
        </w:rPr>
        <w:t>o</w:t>
      </w:r>
      <w:r w:rsidRPr="00A71C8B">
        <w:t xml:space="preserve">, </w:t>
      </w:r>
      <w:r w:rsidR="009F0635">
        <w:t xml:space="preserve">onderscheidenlijk </w:t>
      </w:r>
      <w:r w:rsidR="00AD2282">
        <w:t>een geregistreerd gebruiksmodel ter bescherming van innovatie</w:t>
      </w:r>
      <w:r w:rsidRPr="00A71C8B">
        <w:t>, te gebruiken op een bepaalde wijze, voor een bepaalde termijn of in een bepaald geografisch gebied.</w:t>
      </w:r>
    </w:p>
    <w:p w:rsidR="00A71C8B" w:rsidRDefault="00A71C8B" w:rsidP="00A71C8B">
      <w:r w:rsidRPr="00A71C8B">
        <w:t>5. Indien het speur- en ontwikkelingswerk, bedoeld in het eerste lid, betrekking heeft op het doorontwikkelen van een immaterieel activum dat niet door de belastingplichtige zelf is voortgebracht, is slechts sprake van een immaterieel activum dat door de belastingplichtige zelf is voortgebracht voor zover dat speur- en ontwikkelingswerk heeft geleid tot een nieuw immaterieel activum waarin het eerstgenoemde immateriële activum is opgegaan en het nieuwe immateriële activum is voortgevloeid uit dat speur- en ontwikkelingswerk.</w:t>
      </w:r>
    </w:p>
    <w:p w:rsidR="00A71C8B" w:rsidRDefault="00A71C8B" w:rsidP="00A71C8B">
      <w:r w:rsidRPr="00A71C8B">
        <w:t>6. Als kwalificerende immateriële activa worden</w:t>
      </w:r>
      <w:r w:rsidR="009F0635">
        <w:t xml:space="preserve"> niet aangemerkt merken, logo’s</w:t>
      </w:r>
      <w:r w:rsidRPr="00A71C8B">
        <w:t xml:space="preserve"> en daarmee vergelijkbare vermogensbestanddelen.</w:t>
      </w:r>
    </w:p>
    <w:p w:rsidR="00A71C8B" w:rsidRDefault="00A71C8B" w:rsidP="00A71C8B"/>
    <w:p w:rsidR="00B37324" w:rsidRPr="00B37324" w:rsidRDefault="00AD2282" w:rsidP="00A71C8B">
      <w:pPr>
        <w:rPr>
          <w:b/>
        </w:rPr>
      </w:pPr>
      <w:r>
        <w:rPr>
          <w:b/>
        </w:rPr>
        <w:t>Artikel 12bb</w:t>
      </w:r>
    </w:p>
    <w:p w:rsidR="00A71C8B" w:rsidRDefault="00A71C8B" w:rsidP="00A71C8B">
      <w:r w:rsidRPr="00A71C8B">
        <w:t xml:space="preserve">1. De kwalificerende voordelen uit hoofde van een kwalificerend immaterieel activum, bedoeld in artikel 12b, worden gesteld op K/T gedeelte, maar niet meer dan het geheel, van de voordelen uit hoofde van een kwalificerend immaterieel activum, na vermindering, doch niet verder dan </w:t>
      </w:r>
      <w:r w:rsidR="00111745">
        <w:t xml:space="preserve">tot </w:t>
      </w:r>
      <w:r w:rsidRPr="00A71C8B">
        <w:t>nihil, van deze voordelen met de drempel, bedoeld in artikel 12b</w:t>
      </w:r>
      <w:r w:rsidR="00C5268F">
        <w:t>c</w:t>
      </w:r>
      <w:r w:rsidRPr="00A71C8B">
        <w:t>, waarbij wordt verstaan onder:</w:t>
      </w:r>
    </w:p>
    <w:p w:rsidR="00A71C8B" w:rsidRDefault="00A71C8B" w:rsidP="00A71C8B">
      <w:r w:rsidRPr="00A71C8B">
        <w:t>K: de kwalificerende uitgaven in het jaar zelf en in alle voorgaande jaren ten behoeve van het voortbrengen van het kwalificerende immateriële activum vermenigvuldigd met 1,3;</w:t>
      </w:r>
    </w:p>
    <w:p w:rsidR="00A71C8B" w:rsidRDefault="00A71C8B" w:rsidP="00A71C8B">
      <w:r w:rsidRPr="00A71C8B">
        <w:t>T: de totale uitgaven in het jaar zelf en in alle voorafgaande jaren ten behoeve van het voortbrengen van het kwalificerende immateriële activum.</w:t>
      </w:r>
    </w:p>
    <w:p w:rsidR="00A71C8B" w:rsidRDefault="00A71C8B" w:rsidP="00A71C8B">
      <w:r w:rsidRPr="00A71C8B">
        <w:t>2. De voordelen uit hoofde van een kwalificerend immaterieel activum, de drempel en de breuk, bedoeld in het eerste lid, worden bepaald op de meest passende wijze gezien de aard van de onderneming en van het speur- en ontwikkelingswerk dat heeft geleid tot het kwalificerende immateriële activum.</w:t>
      </w:r>
    </w:p>
    <w:p w:rsidR="00A71C8B" w:rsidRDefault="00A71C8B" w:rsidP="00A71C8B">
      <w:r w:rsidRPr="00A71C8B">
        <w:t>3. Indien het bij samenhangende kwalificerende immateriële activa redelijkerwijs niet mogelijk is de voordelen uit hoofde van die activa afzonderlijk te bepalen, worden de voordelen, de drempel en de breuk, bedoeld in het eerste lid, bepaald per groep van samenhangende kwalificerende immateriële activa.</w:t>
      </w:r>
    </w:p>
    <w:p w:rsidR="00A71C8B" w:rsidRDefault="00A71C8B" w:rsidP="00A71C8B">
      <w:r w:rsidRPr="00A71C8B">
        <w:t>4. Indien een immaterieel activum met toepassing van artikel 12ba, vierde lid, wordt aangemerkt als een kwalificerend immaterieel activum, is slechts sprake van kwalificerende voordelen uit hoofde van dat kwalificerende immateriële activum als bedoeld in het eerste lid voor zover</w:t>
      </w:r>
      <w:r w:rsidRPr="00A71C8B" w:rsidDel="00483760">
        <w:t xml:space="preserve"> </w:t>
      </w:r>
      <w:r w:rsidRPr="00A71C8B">
        <w:t>deze voordelen voortvloeien uit het gebruik van de exclusieve licentie.</w:t>
      </w:r>
    </w:p>
    <w:p w:rsidR="00A71C8B" w:rsidRDefault="00A71C8B" w:rsidP="00A71C8B">
      <w:r w:rsidRPr="00A71C8B">
        <w:t xml:space="preserve">5. Onder de kwalificerende uitgaven ten behoeve van het voortbrengen van een kwalificerend immaterieel activum worden voor de toepassing van </w:t>
      </w:r>
      <w:r w:rsidR="00A76784">
        <w:t xml:space="preserve">deze afdeling en de daarop </w:t>
      </w:r>
      <w:r w:rsidR="00AD4080">
        <w:t>berustende</w:t>
      </w:r>
      <w:r w:rsidR="00A76784">
        <w:t xml:space="preserve"> bepalingen</w:t>
      </w:r>
      <w:r w:rsidRPr="00A71C8B">
        <w:t xml:space="preserve"> verstaan de som van:</w:t>
      </w:r>
    </w:p>
    <w:p w:rsidR="00A71C8B" w:rsidRDefault="00A71C8B" w:rsidP="00A71C8B">
      <w:r w:rsidRPr="00A71C8B">
        <w:t>a. de uitgaven gedaan door de belastingplichtige in verband met door hem ten behoeve van het kwalificerende immateriële activum verri</w:t>
      </w:r>
      <w:r w:rsidR="00111745">
        <w:t>cht speur- en ontwikkelingswerk;</w:t>
      </w:r>
      <w:r w:rsidRPr="00A71C8B">
        <w:t xml:space="preserve"> en</w:t>
      </w:r>
    </w:p>
    <w:p w:rsidR="00A71C8B" w:rsidRDefault="00A71C8B" w:rsidP="00A71C8B">
      <w:r w:rsidRPr="00A71C8B">
        <w:t xml:space="preserve">b. de uitgaven gedaan door </w:t>
      </w:r>
      <w:r w:rsidR="00111745">
        <w:t xml:space="preserve">de </w:t>
      </w:r>
      <w:r w:rsidRPr="00A71C8B">
        <w:t xml:space="preserve">belastingplichtige </w:t>
      </w:r>
      <w:r w:rsidR="00111745">
        <w:t>in verband</w:t>
      </w:r>
      <w:r w:rsidRPr="00A71C8B">
        <w:t xml:space="preserve"> met het direct of indirect uitbesteden van speur- en ontwikkelingswerk ten behoeve van het kwalificerende immateriële activum aan een niet met de belastingplichtige verbonden lichaam.</w:t>
      </w:r>
    </w:p>
    <w:p w:rsidR="00A71C8B" w:rsidRDefault="00111745" w:rsidP="00A71C8B">
      <w:r>
        <w:t>6. Onder de uitgaven in verband</w:t>
      </w:r>
      <w:r w:rsidR="00A71C8B" w:rsidRPr="00A71C8B">
        <w:t xml:space="preserve"> met het uitbesteden van speur- en ontwikkelingswerk aan een niet met de belastingplichtige verbonden lichaam vallen voor de toepassing van </w:t>
      </w:r>
      <w:r w:rsidR="00580599">
        <w:t xml:space="preserve">deze afdeling </w:t>
      </w:r>
      <w:r w:rsidR="00580599" w:rsidRPr="00A557E7">
        <w:t xml:space="preserve">en de daarop </w:t>
      </w:r>
      <w:r w:rsidR="00AD4080">
        <w:t>berustende</w:t>
      </w:r>
      <w:r w:rsidR="00580599" w:rsidRPr="00A557E7">
        <w:t xml:space="preserve"> bepalingen</w:t>
      </w:r>
      <w:r w:rsidR="00580599" w:rsidRPr="00A71C8B">
        <w:t xml:space="preserve"> </w:t>
      </w:r>
      <w:r w:rsidR="00A71C8B" w:rsidRPr="00A71C8B">
        <w:t>mede uitgaven gedaan door de belastingplichtige in het kader van een samenwerkings</w:t>
      </w:r>
      <w:r w:rsidR="00A71C8B" w:rsidRPr="00A71C8B">
        <w:softHyphen/>
        <w:t>overeenkomst ten behoeve van het voor gemeenschappelijke rekening voortbrengen van een kwalificerend immaterieel activum.</w:t>
      </w:r>
    </w:p>
    <w:p w:rsidR="00A71C8B" w:rsidRDefault="00A71C8B" w:rsidP="00A71C8B">
      <w:r w:rsidRPr="00A71C8B">
        <w:t xml:space="preserve">7. Onder de totale uitgaven ten behoeve van het voortbrengen van een kwalificerend immaterieel activum worden voor de toepassing van </w:t>
      </w:r>
      <w:r w:rsidR="00580599">
        <w:t xml:space="preserve">deze afdeling </w:t>
      </w:r>
      <w:r w:rsidR="00580599" w:rsidRPr="00A557E7">
        <w:t xml:space="preserve">en de daarop </w:t>
      </w:r>
      <w:r w:rsidR="00AD4080">
        <w:t>berustende</w:t>
      </w:r>
      <w:r w:rsidR="00580599" w:rsidRPr="00A557E7">
        <w:t xml:space="preserve"> bepalingen</w:t>
      </w:r>
      <w:r w:rsidR="00580599" w:rsidRPr="00A71C8B">
        <w:t xml:space="preserve"> </w:t>
      </w:r>
      <w:r w:rsidRPr="00A71C8B">
        <w:t>verstaan: alle uitgaven gedaan door de belastingplichtige voor speur- en ontwikkelingswerk ten behoeve van het voortbrengen van het kwalificerende immateriële activum.</w:t>
      </w:r>
    </w:p>
    <w:p w:rsidR="00A71C8B" w:rsidRDefault="00A71C8B" w:rsidP="00A71C8B">
      <w:r w:rsidRPr="00A71C8B">
        <w:t xml:space="preserve">8. Als uitgaven worden voor de toepassing van </w:t>
      </w:r>
      <w:r w:rsidR="00580599">
        <w:t xml:space="preserve">deze afdeling </w:t>
      </w:r>
      <w:r w:rsidR="00580599" w:rsidRPr="00A557E7">
        <w:t xml:space="preserve">en de daarop </w:t>
      </w:r>
      <w:r w:rsidR="00AD4080">
        <w:t>berustende</w:t>
      </w:r>
      <w:r w:rsidR="00580599" w:rsidRPr="00A557E7">
        <w:t xml:space="preserve"> bepalingen</w:t>
      </w:r>
      <w:r w:rsidR="00580599" w:rsidRPr="00A71C8B">
        <w:t xml:space="preserve"> </w:t>
      </w:r>
      <w:r w:rsidRPr="00A71C8B">
        <w:t>niet in aanmerking genomen: uitgaven ter zake van schulden, uitgaven ter zake van huisvesting en andere uitgaven die niet direct verband houden met het speur- en ontwikkelingswerk dat heeft geleid tot het immateriële activum.</w:t>
      </w:r>
    </w:p>
    <w:p w:rsidR="00A71C8B" w:rsidRDefault="00A71C8B" w:rsidP="00A71C8B"/>
    <w:p w:rsidR="00A71C8B" w:rsidRDefault="00C5268F" w:rsidP="00A71C8B">
      <w:pPr>
        <w:rPr>
          <w:b/>
        </w:rPr>
      </w:pPr>
      <w:r>
        <w:rPr>
          <w:b/>
        </w:rPr>
        <w:t>Artikel 12bc</w:t>
      </w:r>
    </w:p>
    <w:p w:rsidR="00A71C8B" w:rsidRDefault="00A71C8B" w:rsidP="00A71C8B">
      <w:r w:rsidRPr="00A71C8B">
        <w:t xml:space="preserve">1. De </w:t>
      </w:r>
      <w:r w:rsidR="00B37324">
        <w:t>drempel, bedoeld in artikel 12b</w:t>
      </w:r>
      <w:r w:rsidR="00C5268F">
        <w:t>b</w:t>
      </w:r>
      <w:r w:rsidRPr="00A71C8B">
        <w:t>, eerste lid, is gelijk aan:</w:t>
      </w:r>
    </w:p>
    <w:p w:rsidR="00A71C8B" w:rsidRDefault="00A71C8B" w:rsidP="00A71C8B">
      <w:r w:rsidRPr="00A71C8B">
        <w:t>a. het saldo van de nog in te lopen voortbrengingskosten, bedoeld in het tweede lid, van het immateriële activum aan het einde van het voorafgaande jaar, vermeerderd met:</w:t>
      </w:r>
    </w:p>
    <w:p w:rsidR="00A71C8B" w:rsidRDefault="00A71C8B" w:rsidP="00A71C8B">
      <w:r w:rsidRPr="00A71C8B">
        <w:t>b. de voortbrengingskosten van het kwalificerende immateriële activum waarvoor de belastingplichtige in het jaar heeft gekozen voor toepassing van artikel 12b, alsmede vermeerderd met:</w:t>
      </w:r>
    </w:p>
    <w:p w:rsidR="00A71C8B" w:rsidRDefault="00A71C8B" w:rsidP="00A71C8B">
      <w:r w:rsidRPr="00A71C8B">
        <w:t>c. de waarde in het economische verkeer van het kwalificerende immateriële activum, indien de belastingplichtige in het jaar heeft gekozen voor toepassing van artikel 12b op dat kwalificerende immateriële activum en de voordelen in enig voorafgaand jaar deel uitmaakten van de winst uit een andere staat waarop artikel 15e, eerste lid, van toepassing is, bepaald naar het moment waarop de voordelen uit dat immateriële activum niet langer deel uitmaakt</w:t>
      </w:r>
      <w:r w:rsidR="00111745">
        <w:t>en van die winst, voor zover di</w:t>
      </w:r>
      <w:r w:rsidRPr="00A71C8B">
        <w:t>e waarde in het economische verkeer de voortbrengingskosten overtreft, en verminderd met:</w:t>
      </w:r>
    </w:p>
    <w:p w:rsidR="00A71C8B" w:rsidRDefault="00A71C8B" w:rsidP="00A71C8B">
      <w:r w:rsidRPr="00A71C8B">
        <w:t xml:space="preserve">d. een bedrag gelijk aan de kwalificerende voordelen uit hoofde van het kwalificerende immateriële activum, indien dat bedrag negatief is, voor zover artikel 12b geen toepassing vindt op </w:t>
      </w:r>
      <w:r w:rsidR="00C5268F">
        <w:t>dat bedrag</w:t>
      </w:r>
      <w:r w:rsidR="00B37324">
        <w:t>.</w:t>
      </w:r>
    </w:p>
    <w:p w:rsidR="00A71C8B" w:rsidRDefault="00A71C8B" w:rsidP="00A71C8B">
      <w:r w:rsidRPr="00A71C8B">
        <w:t>2. De inspecteur stelt gelijktijdig met de vaststelling van de aanslag over het jaar bij voor bezwaar vatbare beschikking vast het saldo van de nog in te lopen voortbrengingskosten van de verschillende immateriële activa aan h</w:t>
      </w:r>
      <w:r w:rsidR="003D6B04">
        <w:t>et einde van het jaar. Het saldo, bedoeld in de eerste volzin,</w:t>
      </w:r>
      <w:r w:rsidRPr="00A71C8B">
        <w:t xml:space="preserve"> is:</w:t>
      </w:r>
    </w:p>
    <w:p w:rsidR="00A71C8B" w:rsidRDefault="00A71C8B" w:rsidP="00A71C8B">
      <w:r w:rsidRPr="00A71C8B">
        <w:t>a. het bedrag dat bij het einde van het voorafgaande jaar voor het immateriële activum op de voet van dit lid is vastgesteld, zo dat is vastgesteld, vermeerderd met:</w:t>
      </w:r>
    </w:p>
    <w:p w:rsidR="00A71C8B" w:rsidRDefault="00A71C8B" w:rsidP="00A71C8B">
      <w:r w:rsidRPr="00A71C8B">
        <w:t>b. de bedragen, bedoeld in het eerste lid, onderdelen b en c, en verminderd met:</w:t>
      </w:r>
    </w:p>
    <w:p w:rsidR="00A71C8B" w:rsidRDefault="00A71C8B" w:rsidP="00A71C8B">
      <w:r w:rsidRPr="00A71C8B">
        <w:t xml:space="preserve">c. </w:t>
      </w:r>
      <w:r w:rsidR="00B37324">
        <w:t>het bedrag</w:t>
      </w:r>
      <w:r w:rsidRPr="00A71C8B">
        <w:t>, bedoeld in het eerste lid, onderde</w:t>
      </w:r>
      <w:r w:rsidR="00B37324">
        <w:t>e</w:t>
      </w:r>
      <w:r w:rsidRPr="00A71C8B">
        <w:t>l d, alsmede verminderd met:</w:t>
      </w:r>
    </w:p>
    <w:p w:rsidR="00A71C8B" w:rsidRDefault="00A71C8B" w:rsidP="00A71C8B">
      <w:r w:rsidRPr="00A71C8B">
        <w:t>d. de in het jaar uit hoofde van het immateriële activum genoten kwalificerende voordelen die de drempel van het jaar niet te boven gingen.</w:t>
      </w:r>
    </w:p>
    <w:p w:rsidR="00A71C8B" w:rsidRDefault="00287AA5" w:rsidP="00A71C8B">
      <w:r>
        <w:t>3</w:t>
      </w:r>
      <w:r w:rsidR="00A71C8B" w:rsidRPr="00A71C8B">
        <w:t>. Indien enig feit grond oplevert voor het vermoeden dat het saldo, bedoeld in het tweede lid, te laag is vastgesteld, kan de inspecteur de aldaar bedoelde beschikking herzien bij voor bezwaar vatbare beschikking. Een feit dat de inspecteur bekend was of redelijkerwijs bekend had kunnen zijn, kan geen grond voor herziening opleveren, behoudens in de gevallen waarin de belastingplichtige ter zake van dit feit te kwader trouw is. Artikel 16, tweede lid, aanhef en onderdeel c, derde en vierde lid, van de Algemene wet inzake rijksbelastingen is van overeenkomstige toepassing. Rechtsmiddelen tegen een beschikking als bedoeld in het tweede lid kunnen uitsluitend betrekking hebben op de bedragen, bedoeld in het tweede lid, onderdeel b, en de verminderingen ingevolge het tweede lid, onderdelen c en d.</w:t>
      </w:r>
    </w:p>
    <w:p w:rsidR="00A71C8B" w:rsidRDefault="00A71C8B" w:rsidP="00A71C8B"/>
    <w:p w:rsidR="00A71C8B" w:rsidRDefault="00C5268F" w:rsidP="00A71C8B">
      <w:pPr>
        <w:rPr>
          <w:b/>
        </w:rPr>
      </w:pPr>
      <w:r>
        <w:rPr>
          <w:b/>
        </w:rPr>
        <w:t>Artikel 12bd</w:t>
      </w:r>
    </w:p>
    <w:p w:rsidR="00A71C8B" w:rsidRDefault="00A71C8B" w:rsidP="00A71C8B">
      <w:r w:rsidRPr="00A71C8B">
        <w:t>1. In afwijking van artikel 12b</w:t>
      </w:r>
      <w:r w:rsidR="00C5268F">
        <w:t>b</w:t>
      </w:r>
      <w:r w:rsidRPr="00A71C8B">
        <w:t xml:space="preserve"> wordt bij de belastingplichtige die in het jaar of in een van de twee voorafgaande jaren een kwalificerend immaterieel activum heeft voortgebracht en die hiervoor kiest, het saldo van de kwalificerende voordelen uit kwalificerende immateriële activa voor de toepassing van artikel 12b gesteld op 25% van de winst vóór toepassing van artikel 12b, met een maximum van € 25 000. De eerste volzin vindt slechts toepassing indien de aldaar bedoelde winst positief is.</w:t>
      </w:r>
    </w:p>
    <w:p w:rsidR="00A71C8B" w:rsidRDefault="00A71C8B" w:rsidP="00A71C8B">
      <w:r w:rsidRPr="00A71C8B">
        <w:t>2. Indien alle kwalificerende immateriële activa waarop artikel 12b toepassing vindt en die in het jaar of in een van de twee voorafgaande jaren zijn voortgebracht, deel uitmaken van het vermogen van een of meer samenwerkingsverbanden van de belastingplichtige met een of meer andere belastingplichtigen, wordt het percentage, genoemd in het eerste lid,</w:t>
      </w:r>
      <w:r w:rsidR="00FA3CC7">
        <w:t xml:space="preserve"> </w:t>
      </w:r>
      <w:r w:rsidRPr="00A71C8B">
        <w:t>gesteld op de som van de voor elk van die samenwerkingsverbanden geldende percentages, doch ten hoogste op 25, waarbij het voor een samenwerkingsverband geldende percentage wordt gesteld op 25 vermenigvuldigd met de mate van gerechtigheid van de belastingplichtige tot de voordelen van dat samenwerkingsverband.</w:t>
      </w:r>
    </w:p>
    <w:p w:rsidR="00A71C8B" w:rsidRDefault="00A71C8B" w:rsidP="00A71C8B">
      <w:r w:rsidRPr="00A71C8B">
        <w:t>3. Ingeval bij een belastingplichtige de kwalificerende voordelen uit kwalificerende immateriële activa op basis van het eerste lid worden bepaald, wordt de vermindering, bedoeld in artikel 12b</w:t>
      </w:r>
      <w:r w:rsidR="00C5268F">
        <w:t>c</w:t>
      </w:r>
      <w:r w:rsidRPr="00A71C8B">
        <w:t>, tweede lid, onderdeel c, gesteld op nihil.</w:t>
      </w:r>
    </w:p>
    <w:p w:rsidR="00C5268F" w:rsidRDefault="00C5268F" w:rsidP="00A71C8B"/>
    <w:p w:rsidR="00C5268F" w:rsidRDefault="00C5268F" w:rsidP="00C5268F">
      <w:pPr>
        <w:rPr>
          <w:b/>
        </w:rPr>
      </w:pPr>
      <w:r>
        <w:rPr>
          <w:b/>
        </w:rPr>
        <w:t>Artikel 12be</w:t>
      </w:r>
    </w:p>
    <w:p w:rsidR="00E72427" w:rsidRDefault="00E72427" w:rsidP="00C5268F">
      <w:r w:rsidRPr="00E72427">
        <w:t>Indien in enig jaar ter zake van een immaterieel activum dat met toepassing van art</w:t>
      </w:r>
      <w:r w:rsidR="00E60F86">
        <w:t xml:space="preserve">ikel 12ba, eerste lid, onderdeel </w:t>
      </w:r>
      <w:r w:rsidRPr="00E72427">
        <w:t xml:space="preserve">b, aanhef en onder 2°, als kwalificerend immaterieel activum is aangemerkt en waarop artikel 12b toepassing vindt, komt vast te staan dat de aanvraag voor </w:t>
      </w:r>
      <w:r w:rsidR="00E60F86">
        <w:t>het</w:t>
      </w:r>
      <w:r w:rsidRPr="00E72427">
        <w:t xml:space="preserve"> octrooi of kwekersrecht niet wordt toegewezen:</w:t>
      </w:r>
    </w:p>
    <w:p w:rsidR="00C5268F" w:rsidRDefault="00C5268F" w:rsidP="00C5268F">
      <w:r>
        <w:t xml:space="preserve">a. </w:t>
      </w:r>
      <w:r w:rsidR="00E72427" w:rsidRPr="00E72427">
        <w:t>vinden vanaf dat jaar de</w:t>
      </w:r>
      <w:r w:rsidR="00E60F86">
        <w:t xml:space="preserve"> overige bepalingen van de</w:t>
      </w:r>
      <w:r w:rsidR="00E72427" w:rsidRPr="00E72427">
        <w:t>ze afdeling en de daarop berustende bepalingen ter zake van dat immateriële activum geen toepassing, en</w:t>
      </w:r>
    </w:p>
    <w:p w:rsidR="00C5268F" w:rsidRDefault="00C5268F" w:rsidP="00C5268F">
      <w:r>
        <w:t xml:space="preserve">b. </w:t>
      </w:r>
      <w:r w:rsidR="00E72427" w:rsidRPr="00E72427">
        <w:t>wordt in dat jaar bij de belastingplichtige als winst in aanmerking genomen 20/H gedeelte van de kwalificerende voordelen uit hoofde van dat immateriële activum die in de aan dat jaar voorafgaande jaren bij de toepassing van artikel 12b in aanmerking zijn genomen, waarbij H staat voor het in dat jaar geldende percentage van het hoogste tarief, bedoeld in artikel 22</w:t>
      </w:r>
      <w:r>
        <w:t>.</w:t>
      </w:r>
    </w:p>
    <w:p w:rsidR="00A71C8B" w:rsidRDefault="00A71C8B" w:rsidP="00A71C8B"/>
    <w:p w:rsidR="00A71C8B" w:rsidRDefault="00B37324" w:rsidP="00A71C8B">
      <w:pPr>
        <w:rPr>
          <w:b/>
        </w:rPr>
      </w:pPr>
      <w:r>
        <w:rPr>
          <w:b/>
        </w:rPr>
        <w:t>Artikel 12bf</w:t>
      </w:r>
    </w:p>
    <w:p w:rsidR="00A71C8B" w:rsidRDefault="00A71C8B" w:rsidP="00A71C8B">
      <w:r w:rsidRPr="00A71C8B">
        <w:t>Bij of krachtens algemene maatregel van bestuur kunnen nadere regels, waaronder nadere voorwaarden, worden gesteld voor de toepassing van deze afdeling. Daarbij kunnen tevens regels worden gesteld voor de bepaling van de kwalificerende voordelen uit hoofde van een kwalificerend immaterieel activum en voor de bepaling welk deel van de door een andere Mogendheid geheven belasting over kwalificerende voordelen die onder artikel 12b vallen, op basis van regelingen ter voorkoming van dubbele belasting, kan worden verrekend met de verschuldigde vennootschapsbelasting.</w:t>
      </w:r>
    </w:p>
    <w:p w:rsidR="00A71C8B" w:rsidRDefault="00A71C8B" w:rsidP="00A71C8B">
      <w:pPr>
        <w:rPr>
          <w:b/>
        </w:rPr>
      </w:pPr>
    </w:p>
    <w:p w:rsidR="00A71C8B" w:rsidRDefault="00B37324" w:rsidP="00A71C8B">
      <w:pPr>
        <w:rPr>
          <w:b/>
        </w:rPr>
      </w:pPr>
      <w:r>
        <w:rPr>
          <w:b/>
        </w:rPr>
        <w:t>Artikel 12bg</w:t>
      </w:r>
    </w:p>
    <w:p w:rsidR="00A71C8B" w:rsidRDefault="00A71C8B" w:rsidP="00A71C8B">
      <w:r w:rsidRPr="00A71C8B">
        <w:t>1. Indien de belastingplichtige kiest voor toepassing van artikel 12b neemt hij, in aanvulling op de</w:t>
      </w:r>
      <w:r w:rsidR="003D6B04">
        <w:t xml:space="preserve"> bij te houden administratie</w:t>
      </w:r>
      <w:r w:rsidR="00086536">
        <w:t>,</w:t>
      </w:r>
      <w:r w:rsidRPr="00A71C8B">
        <w:t xml:space="preserve"> bedoeld in artikel 24, eerste lid, van de Wet vermindering afdracht loonbelasting en premie voor de volksverzekeringen, in zijn administratie gegevens op waaruit blijkt:</w:t>
      </w:r>
    </w:p>
    <w:p w:rsidR="00A71C8B" w:rsidRDefault="00A71C8B" w:rsidP="00A71C8B">
      <w:r w:rsidRPr="00A71C8B">
        <w:t>a. dat hij een of meer kwalificerende immateriële activa bezit die door hem zelf zijn voortgebracht;</w:t>
      </w:r>
    </w:p>
    <w:p w:rsidR="00A71C8B" w:rsidRDefault="00A71C8B" w:rsidP="00A71C8B">
      <w:r w:rsidRPr="00A71C8B">
        <w:t>b. tot welk bedrag hij kwalificerende voordelen geniet uit hoofde van kwalificerende immateriële activa;</w:t>
      </w:r>
    </w:p>
    <w:p w:rsidR="00A71C8B" w:rsidRDefault="00A71C8B" w:rsidP="00A71C8B">
      <w:r w:rsidRPr="00A71C8B">
        <w:t>c. op welke wijze de voordelen, bedoeld in onderdeel b, worden bepaald op de meest passende wijze.</w:t>
      </w:r>
    </w:p>
    <w:p w:rsidR="00A71C8B" w:rsidRDefault="00A71C8B" w:rsidP="00A71C8B">
      <w:r w:rsidRPr="00A71C8B">
        <w:t>2. Een belastingplichtige als bedoeld in artikel 12ba, eerste lid, onderdeel a, neemt in zijn administratie tevens gegevens op waaruit blijkt dat aan de vereisten, bedoeld in dat onderdeel, wordt voldaan.</w:t>
      </w:r>
    </w:p>
    <w:p w:rsidR="00A71C8B" w:rsidRDefault="00A71C8B" w:rsidP="00A71C8B">
      <w:r w:rsidRPr="00A71C8B">
        <w:t>3. Indien de vo</w:t>
      </w:r>
      <w:r w:rsidR="00580599">
        <w:t xml:space="preserve">ordelen, de drempel, en de </w:t>
      </w:r>
      <w:r w:rsidRPr="00A71C8B">
        <w:t>breuk</w:t>
      </w:r>
      <w:r w:rsidR="00580599">
        <w:t>, bedoeld in artikel 12bb,</w:t>
      </w:r>
      <w:r w:rsidRPr="00A71C8B">
        <w:t xml:space="preserve"> worden bepaald per groep van samenhangende kwalificerende immateriële activa, neemt de belastingplichtige in zijn administratie gegevens op waaruit blijkt dat het redelijkerwijs niet mogelijk is om de voordelen uit hoofde van elk kwalificerend immaterieel activum afzonderlijk te bepalen.</w:t>
      </w:r>
    </w:p>
    <w:p w:rsidR="002775C2" w:rsidRDefault="002775C2" w:rsidP="00A71C8B"/>
    <w:p w:rsidR="00985587" w:rsidRDefault="00792062" w:rsidP="009C1C76">
      <w:r>
        <w:t>D.</w:t>
      </w:r>
      <w:r w:rsidR="00985587">
        <w:t xml:space="preserve"> </w:t>
      </w:r>
      <w:r w:rsidR="00985587" w:rsidRPr="00985587">
        <w:rPr>
          <w:b/>
        </w:rPr>
        <w:t>Artikel 14</w:t>
      </w:r>
      <w:r w:rsidR="00985587">
        <w:t xml:space="preserve"> wordt als volgt gewijzigd:</w:t>
      </w:r>
    </w:p>
    <w:p w:rsidR="00985587" w:rsidRDefault="00985587" w:rsidP="009C1C76">
      <w:r>
        <w:t>1. In het eerste lid, eerste volzin, wordt “niet op de voet van artikel 20 aanspraak kan maken op voorwaartse verrekening van verliezen” vervangen door “niet aanspraak kan maken op voorwaartse verrekening van verliezen op de voet van artikel 20”.</w:t>
      </w:r>
      <w:r w:rsidRPr="00985587">
        <w:rPr>
          <w:rFonts w:eastAsiaTheme="minorHAnsi" w:cstheme="minorBidi"/>
          <w:szCs w:val="22"/>
          <w:lang w:eastAsia="en-US"/>
        </w:rPr>
        <w:t xml:space="preserve"> </w:t>
      </w:r>
      <w:r w:rsidRPr="00985587">
        <w:t>Voorts wordt “bij buitenlandse ondernemingswinsten” vervangen door: bij buitenlandse ondernemingswinsten, de overdrager niet aanspraak kan maken op toepassing van de innovatiebox.</w:t>
      </w:r>
    </w:p>
    <w:p w:rsidR="00985587" w:rsidRDefault="00985587" w:rsidP="009C1C76">
      <w:r>
        <w:t xml:space="preserve">2. </w:t>
      </w:r>
      <w:r w:rsidRPr="00985587">
        <w:t>In het tweede lid, eerste volzin, wordt “bij buitenlandse ondernemingswinsten” vervangen door: bij buitenlandse ondernemingswinsten, bestaat voor de overdrager aanspraak op toepassing van de innovatiebox.</w:t>
      </w:r>
    </w:p>
    <w:p w:rsidR="00985587" w:rsidRDefault="00985587" w:rsidP="009C1C76"/>
    <w:p w:rsidR="00712534" w:rsidRDefault="00792062" w:rsidP="00712534">
      <w:r>
        <w:t>E.</w:t>
      </w:r>
      <w:r w:rsidR="00DC4EF1">
        <w:t xml:space="preserve"> </w:t>
      </w:r>
      <w:r w:rsidR="0035014B" w:rsidRPr="00712534">
        <w:rPr>
          <w:b/>
        </w:rPr>
        <w:t>Artikel 14a</w:t>
      </w:r>
      <w:r w:rsidR="0035014B">
        <w:t xml:space="preserve"> wordt als volgt gewijzigd:</w:t>
      </w:r>
    </w:p>
    <w:p w:rsidR="00712534" w:rsidRDefault="00712534" w:rsidP="00712534">
      <w:r>
        <w:t>1. In het tweede lid, eerste volzin, wordt “bij buitenlandse ondernemingswinsten” vervangen door: bij buitenlandse ondernemingswinsten, bij de splitsende rechtspersoon indien deze blijft bestaan geen aanspraak bestaat op toepassing van de innovatiebox.</w:t>
      </w:r>
    </w:p>
    <w:p w:rsidR="00DC4EF1" w:rsidRDefault="00712534" w:rsidP="001263C5">
      <w:r>
        <w:t>2. In het</w:t>
      </w:r>
      <w:r w:rsidR="00DC4EF1" w:rsidRPr="00DC4EF1">
        <w:t xml:space="preserve"> dertiende lid wordt “tweede tot en met tiende lid” vervangen door: tweede tot en met elfde lid.</w:t>
      </w:r>
    </w:p>
    <w:p w:rsidR="00DC4EF1" w:rsidRDefault="00DC4EF1" w:rsidP="001263C5"/>
    <w:p w:rsidR="00DC4EF1" w:rsidRDefault="00792062" w:rsidP="00DC4EF1">
      <w:r>
        <w:t>F.</w:t>
      </w:r>
      <w:r w:rsidR="00DC4EF1">
        <w:t xml:space="preserve"> </w:t>
      </w:r>
      <w:r w:rsidR="00DC4EF1" w:rsidRPr="00DC4EF1">
        <w:t xml:space="preserve">In </w:t>
      </w:r>
      <w:r w:rsidR="00DC4EF1" w:rsidRPr="00F91EF2">
        <w:rPr>
          <w:b/>
        </w:rPr>
        <w:t>artikel 14b</w:t>
      </w:r>
      <w:r w:rsidR="00DC4EF1" w:rsidRPr="00DC4EF1">
        <w:t>, tiende lid, wordt “tweede tot en met tiende lid” vervangen door: tweede tot en met elfde lid.</w:t>
      </w:r>
    </w:p>
    <w:p w:rsidR="00DC4EF1" w:rsidRDefault="00DC4EF1" w:rsidP="00DC4EF1"/>
    <w:p w:rsidR="00DC4EF1" w:rsidRDefault="00792062" w:rsidP="00DC4EF1">
      <w:r>
        <w:t>G.</w:t>
      </w:r>
      <w:r w:rsidR="00DC4EF1">
        <w:t xml:space="preserve"> </w:t>
      </w:r>
      <w:r w:rsidR="00DC4EF1" w:rsidRPr="00F91EF2">
        <w:rPr>
          <w:b/>
        </w:rPr>
        <w:t>Artikel 15ad</w:t>
      </w:r>
      <w:r w:rsidR="00DC4EF1" w:rsidRPr="00DC4EF1">
        <w:t xml:space="preserve"> wordt als volgt gewijzigd:</w:t>
      </w:r>
    </w:p>
    <w:p w:rsidR="00DC4EF1" w:rsidRDefault="00DC4EF1" w:rsidP="00DC4EF1">
      <w:r w:rsidRPr="00DC4EF1">
        <w:t xml:space="preserve">1. Aan het zesde lid worden twee volzinnen toegevoegd, luidende: Indien een maatschappij </w:t>
      </w:r>
      <w:r w:rsidR="00220C6F">
        <w:t xml:space="preserve">of een topmaatschappij </w:t>
      </w:r>
      <w:r w:rsidRPr="00DC4EF1">
        <w:t xml:space="preserve">het belang in de andere maatschappij, bedoeld in het eerste lid, heeft verkregen van een verbonden lichaam en die andere maatschappij ook al </w:t>
      </w:r>
      <w:r w:rsidR="00220C6F">
        <w:t>vóór</w:t>
      </w:r>
      <w:r w:rsidRPr="00DC4EF1">
        <w:t xml:space="preserve"> deze verkrijging was gevoegd met een of meer maatschappijen als bedoeld in het eerste lid waarbij sprake was van een overnameschuld, wordt voor de toepassing van de eerste volzin, het vierde lid en het vijfde lid als jaar van voeging</w:t>
      </w:r>
      <w:r w:rsidR="00220C6F" w:rsidRPr="00220C6F">
        <w:t xml:space="preserve"> van eerstgenoemde maatschappij en de andere maatschappij of van de andere maatschappij en een zustermaatschappij</w:t>
      </w:r>
      <w:r w:rsidRPr="00DC4EF1">
        <w:t xml:space="preserve"> aangemerkt het eerdere jaar van voeging </w:t>
      </w:r>
      <w:r w:rsidR="00220C6F">
        <w:t>van</w:t>
      </w:r>
      <w:r w:rsidRPr="00DC4EF1">
        <w:t xml:space="preserve"> die andere </w:t>
      </w:r>
      <w:r w:rsidR="00220C6F">
        <w:t xml:space="preserve">maatschappij met de genoemde maatschappij of </w:t>
      </w:r>
      <w:r w:rsidRPr="00DC4EF1">
        <w:t>maatschappijen</w:t>
      </w:r>
      <w:r w:rsidR="003063C0">
        <w:t xml:space="preserve">, </w:t>
      </w:r>
      <w:r w:rsidR="00220C6F">
        <w:t>bedoeld in het eerste lid</w:t>
      </w:r>
      <w:r w:rsidRPr="00DC4EF1">
        <w:t>. Indien een gevoegde maatschappij waarin een belang is verworven of uitgebreid reeds eerder deel heeft uitgemaakt van een fiscale eenheid waarvan ook de maatschappij die het belang heeft verworven of uitgebreid deel uitmaakte, wordt voor de toepassing van de eerste volzin, het vierde lid en het vijfde lid als jaar van voeging aangemerkt het jaar van voeging in die eerdere fiscale eenheid.</w:t>
      </w:r>
    </w:p>
    <w:p w:rsidR="00DC4EF1" w:rsidRDefault="00DC4EF1" w:rsidP="00DC4EF1">
      <w:r w:rsidRPr="00DC4EF1">
        <w:t>2. Er wordt een lid toegevoegd, luidende:</w:t>
      </w:r>
    </w:p>
    <w:p w:rsidR="00DC4EF1" w:rsidRDefault="00DC4EF1" w:rsidP="00DC4EF1">
      <w:r w:rsidRPr="00DC4EF1">
        <w:t>11. Voor de toepassing van het eerste lid wordt het deel van de winst van de fiscale eenheid dat toerekenbaar is aan de andere maatschappijen, bedoeld in dat lid, verhoogd met het bedrag aan renten en kosten ter zake van overnameschulden dat bij het bepalen van dat deel van de winst in aanmerking is genomen.</w:t>
      </w:r>
    </w:p>
    <w:p w:rsidR="00DC4EF1" w:rsidRDefault="00DC4EF1" w:rsidP="00DC4EF1"/>
    <w:p w:rsidR="00307A8E" w:rsidRDefault="00307A8E">
      <w:pPr>
        <w:spacing w:line="240" w:lineRule="auto"/>
        <w:ind w:firstLine="0"/>
      </w:pPr>
      <w:r>
        <w:br w:type="page"/>
      </w:r>
    </w:p>
    <w:p w:rsidR="00DE1618" w:rsidRDefault="00792062" w:rsidP="00DC4EF1">
      <w:r>
        <w:t>H.</w:t>
      </w:r>
      <w:r w:rsidR="00DE1618">
        <w:t xml:space="preserve"> </w:t>
      </w:r>
      <w:r w:rsidR="00DE1618" w:rsidRPr="00DE1618">
        <w:t xml:space="preserve">Na </w:t>
      </w:r>
      <w:r w:rsidR="00DE1618" w:rsidRPr="00DE1618">
        <w:rPr>
          <w:b/>
        </w:rPr>
        <w:t>artikel 34c</w:t>
      </w:r>
      <w:r w:rsidR="00DE1618" w:rsidRPr="00DE1618">
        <w:t xml:space="preserve"> wordt een artikel ingevoegd, luidende:</w:t>
      </w:r>
    </w:p>
    <w:p w:rsidR="00DE1618" w:rsidRDefault="00DE1618" w:rsidP="00DC4EF1">
      <w:pPr>
        <w:rPr>
          <w:b/>
        </w:rPr>
      </w:pPr>
      <w:r w:rsidRPr="00DE1618">
        <w:rPr>
          <w:b/>
        </w:rPr>
        <w:t>Artikel 34d</w:t>
      </w:r>
    </w:p>
    <w:p w:rsidR="00DE1618" w:rsidRDefault="00DE1618" w:rsidP="00DC4EF1">
      <w:r w:rsidRPr="00DE1618">
        <w:t>1. Indien de belastingplichtige vóór 1 juli 2016 een immaterieel activum heeft voortgebracht en met betrekking tot d</w:t>
      </w:r>
      <w:r w:rsidR="009F0635">
        <w:t>a</w:t>
      </w:r>
      <w:r w:rsidRPr="00DE1618">
        <w:t>t activum uiterlijk in de aangifte over het jaar waar 1 juli 2016 deel van uitmaakt heeft gekozen voor toepassing van artikel 12b, blijft artikel 12b, zoals dat luidde op 31 december 2016, van toepassing op dat activum.</w:t>
      </w:r>
    </w:p>
    <w:p w:rsidR="00DE1618" w:rsidRDefault="00DE1618" w:rsidP="00DC4EF1">
      <w:r w:rsidRPr="00DE1618">
        <w:t>2. Een immaterieel activum dat de belastingplichtige vóór 1 januari 2017 heeft voortgebracht en waarvoor aan de belastingplichtige een octrooi of kwekersrecht is verleend, wordt voor de toepassing van afdeling 2.3 en de daarop berustende bepalingen aangemerkt als een kwalificerend immaterieel activum.</w:t>
      </w:r>
    </w:p>
    <w:p w:rsidR="00AA13E5" w:rsidRPr="00AA13E5" w:rsidRDefault="00AA13E5" w:rsidP="00AA13E5">
      <w:r w:rsidRPr="00AA13E5">
        <w:t>3. Bij het bepalen van de breuk, bedoeld in artikel 12bb, eerste lid, word</w:t>
      </w:r>
      <w:r w:rsidR="003063C0">
        <w:t>en</w:t>
      </w:r>
      <w:r w:rsidRPr="00AA13E5">
        <w:t xml:space="preserve"> met betrekking tot een kwalificerend immaterieel activum waarop artikel 12b toepassing vindt, voor de periode voorafgaand aan het eerste boekjaar dat aanvangt op of na 1 januari 2017 alleen de vier boekjaren in aanmerking genomen die daaraan direct voorafgaan, en wordt voor die boekjaren: </w:t>
      </w:r>
    </w:p>
    <w:p w:rsidR="00AA13E5" w:rsidRPr="00AA13E5" w:rsidRDefault="00AA13E5" w:rsidP="00AA13E5">
      <w:r w:rsidRPr="00AA13E5">
        <w:t>a. onder de kwalificerende uitgaven ten behoeve van het voortbrengen van het kwal</w:t>
      </w:r>
      <w:r w:rsidR="00E60F86">
        <w:t>i</w:t>
      </w:r>
      <w:r w:rsidRPr="00AA13E5">
        <w:t xml:space="preserve">ficerende immateriële activum verstaan: de in die boekjaren in aanmerking genomen kosten van het ten behoeve van het kwalificerende immateriële activum door de belastingplichtige </w:t>
      </w:r>
      <w:r w:rsidR="00E60F86">
        <w:t xml:space="preserve">zelf </w:t>
      </w:r>
      <w:r w:rsidRPr="00AA13E5">
        <w:t>verrichte speur- en ontwikkelingswerk, vermeerderd met de in aanmerking genomen kosten van het ten behoeve van het kwalificerende immateriële activum direct of indirect uitbesteden van speur- en ontwikkelingswerk aan niet met de belastingplichtige verbonden lichamen;</w:t>
      </w:r>
    </w:p>
    <w:p w:rsidR="00AA13E5" w:rsidRPr="00AA13E5" w:rsidRDefault="00AA13E5" w:rsidP="00AA13E5">
      <w:r w:rsidRPr="00AA13E5">
        <w:t xml:space="preserve">b. onder de totale uitgaven ten behoeve van het voortbrengen van het kwalificerende immateriële activum verstaan: alle in die boekjaren </w:t>
      </w:r>
      <w:r>
        <w:t xml:space="preserve">in </w:t>
      </w:r>
      <w:r w:rsidRPr="00AA13E5">
        <w:t xml:space="preserve">aanmerking genomen kosten </w:t>
      </w:r>
      <w:r w:rsidR="009F0635">
        <w:t xml:space="preserve">van </w:t>
      </w:r>
      <w:r w:rsidRPr="00AA13E5">
        <w:t>ten behoeve van het kwalificerende immateriële activum verricht speur- en ontwikkelingswerk.</w:t>
      </w:r>
    </w:p>
    <w:p w:rsidR="00AA13E5" w:rsidRPr="00AA13E5" w:rsidRDefault="00AA13E5" w:rsidP="00AA13E5">
      <w:r w:rsidRPr="00AA13E5">
        <w:t>4</w:t>
      </w:r>
      <w:r>
        <w:t>.</w:t>
      </w:r>
      <w:r w:rsidRPr="00AA13E5">
        <w:t xml:space="preserve"> Bij de toepassing van het derde lid is artikel 12bb, zesde en achtste lid, van overeenkomstige toepassing, met dien verstande dat daarbij voor uitgaven wordt gelezen: kosten.</w:t>
      </w:r>
    </w:p>
    <w:p w:rsidR="00AA13E5" w:rsidRDefault="00AA13E5" w:rsidP="00AA13E5">
      <w:pPr>
        <w:pStyle w:val="Toelichting"/>
        <w:rPr>
          <w:i w:val="0"/>
        </w:rPr>
      </w:pPr>
      <w:r w:rsidRPr="00AA13E5">
        <w:rPr>
          <w:i w:val="0"/>
        </w:rPr>
        <w:t>5. Bij een immaterieel activum waarop in het boekjaar dat begint op of na 1 januari 2017 artikel 12b, zoals dat luidde op 31 december 2016, van toepassing is gebleven, worden, indien artikel 12b, zoals dat luidde op 31 december 2016, vanaf enig boekjaar ni</w:t>
      </w:r>
      <w:r w:rsidR="009F0635">
        <w:rPr>
          <w:i w:val="0"/>
        </w:rPr>
        <w:t>et meer van toepassing is en da</w:t>
      </w:r>
      <w:r w:rsidRPr="00AA13E5">
        <w:rPr>
          <w:i w:val="0"/>
        </w:rPr>
        <w:t xml:space="preserve">t activum een kwalificerend immaterieel activum vormt, voor de bepaling van de breuk, bedoeld in artikel 12bb, eerste lid, de uitgaven die zijn gedaan in de boekjaren die </w:t>
      </w:r>
      <w:r w:rsidR="00FD4191">
        <w:rPr>
          <w:i w:val="0"/>
        </w:rPr>
        <w:t xml:space="preserve">zijn </w:t>
      </w:r>
      <w:r w:rsidRPr="00AA13E5">
        <w:rPr>
          <w:i w:val="0"/>
        </w:rPr>
        <w:t>aan</w:t>
      </w:r>
      <w:r w:rsidR="00FD4191">
        <w:rPr>
          <w:i w:val="0"/>
        </w:rPr>
        <w:t>ge</w:t>
      </w:r>
      <w:r w:rsidRPr="00AA13E5">
        <w:rPr>
          <w:i w:val="0"/>
        </w:rPr>
        <w:t>vangen vóór 1 januari 2017 niet in aanmerking genomen. Indien de totale uitgaven, bedoeld in artikel 12bb, zevende lid, voor het kwalificerende immateriële activum door de toepassing van de eerste volzin nihil bedragen, wordt de breuk, bedoeld in artikel 12bb, gesteld op 1.</w:t>
      </w:r>
    </w:p>
    <w:p w:rsidR="00AA13E5" w:rsidRPr="00AA13E5" w:rsidRDefault="00AA13E5" w:rsidP="00AA13E5">
      <w:r w:rsidRPr="00AA13E5">
        <w:t>6. Artikel 12bg vindt geen toepassing voor zover de in de administratie op te nemen gegevens betrekking hebben op boekjaren die zijn aangevangen vóór 1 januari 2017.</w:t>
      </w:r>
    </w:p>
    <w:p w:rsidR="00AA13E5" w:rsidRPr="00AA13E5" w:rsidRDefault="00AA13E5" w:rsidP="00AA13E5"/>
    <w:p w:rsidR="00307A8E" w:rsidRDefault="00307A8E">
      <w:pPr>
        <w:spacing w:line="240" w:lineRule="auto"/>
        <w:ind w:firstLine="0"/>
        <w:rPr>
          <w:b/>
        </w:rPr>
      </w:pPr>
      <w:r>
        <w:br w:type="page"/>
      </w:r>
    </w:p>
    <w:p w:rsidR="001F51A8" w:rsidRDefault="001F51A8" w:rsidP="001F51A8">
      <w:pPr>
        <w:pStyle w:val="Artikel"/>
      </w:pPr>
      <w:r>
        <w:t xml:space="preserve">Artikel </w:t>
      </w:r>
      <w:r w:rsidR="00792062">
        <w:t>V</w:t>
      </w:r>
    </w:p>
    <w:p w:rsidR="001F51A8" w:rsidRDefault="001F51A8" w:rsidP="001F51A8"/>
    <w:p w:rsidR="00DE6F90" w:rsidRDefault="001F51A8" w:rsidP="001F51A8">
      <w:r w:rsidRPr="001F51A8">
        <w:t xml:space="preserve">In de Wet op de vennootschapsbelasting 1969 wordt met ingang van 1 januari 2018 de tarieftabel in </w:t>
      </w:r>
      <w:r w:rsidRPr="001F51A8">
        <w:rPr>
          <w:b/>
          <w:bCs/>
        </w:rPr>
        <w:t xml:space="preserve">artikel 22 </w:t>
      </w:r>
      <w:r w:rsidRPr="001F51A8">
        <w:t>vervangen door:</w:t>
      </w:r>
    </w:p>
    <w:p w:rsidR="001F51A8" w:rsidRDefault="001F51A8" w:rsidP="001F51A8"/>
    <w:tbl>
      <w:tblPr>
        <w:tblW w:w="9740" w:type="dxa"/>
        <w:tblInd w:w="55" w:type="dxa"/>
        <w:tblCellMar>
          <w:left w:w="70" w:type="dxa"/>
          <w:right w:w="70" w:type="dxa"/>
        </w:tblCellMar>
        <w:tblLook w:val="04A0"/>
      </w:tblPr>
      <w:tblGrid>
        <w:gridCol w:w="2483"/>
        <w:gridCol w:w="427"/>
        <w:gridCol w:w="2503"/>
        <w:gridCol w:w="427"/>
        <w:gridCol w:w="2538"/>
        <w:gridCol w:w="1362"/>
      </w:tblGrid>
      <w:tr w:rsidR="001F51A8" w:rsidRPr="00307A8E" w:rsidTr="00285EEC">
        <w:trPr>
          <w:trHeight w:val="2059"/>
        </w:trPr>
        <w:tc>
          <w:tcPr>
            <w:tcW w:w="2483" w:type="dxa"/>
            <w:tcBorders>
              <w:top w:val="nil"/>
              <w:left w:val="nil"/>
              <w:bottom w:val="single" w:sz="4" w:space="0" w:color="auto"/>
              <w:right w:val="nil"/>
            </w:tcBorders>
            <w:shd w:val="clear" w:color="auto" w:fill="auto"/>
            <w:hideMark/>
          </w:tcPr>
          <w:p w:rsidR="001F51A8" w:rsidRPr="00307A8E" w:rsidRDefault="001F51A8" w:rsidP="001F51A8">
            <w:pPr>
              <w:ind w:firstLine="0"/>
              <w:rPr>
                <w:sz w:val="16"/>
                <w:szCs w:val="16"/>
              </w:rPr>
            </w:pPr>
            <w:r w:rsidRPr="00307A8E">
              <w:rPr>
                <w:sz w:val="16"/>
                <w:szCs w:val="16"/>
              </w:rPr>
              <w:t>Bij een belastbaar bedrag of een belastbaar Nederlands bedrag van meer dan</w:t>
            </w:r>
          </w:p>
        </w:tc>
        <w:tc>
          <w:tcPr>
            <w:tcW w:w="427"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2503" w:type="dxa"/>
            <w:tcBorders>
              <w:top w:val="nil"/>
              <w:left w:val="nil"/>
              <w:bottom w:val="single" w:sz="4" w:space="0" w:color="auto"/>
              <w:right w:val="nil"/>
            </w:tcBorders>
            <w:shd w:val="clear" w:color="auto" w:fill="auto"/>
            <w:hideMark/>
          </w:tcPr>
          <w:p w:rsidR="001F51A8" w:rsidRPr="00307A8E" w:rsidRDefault="001F51A8" w:rsidP="001F51A8">
            <w:pPr>
              <w:ind w:firstLine="12"/>
              <w:rPr>
                <w:sz w:val="16"/>
                <w:szCs w:val="16"/>
              </w:rPr>
            </w:pPr>
            <w:r w:rsidRPr="00307A8E">
              <w:rPr>
                <w:sz w:val="16"/>
                <w:szCs w:val="16"/>
              </w:rPr>
              <w:t>maar niet meer dan</w:t>
            </w:r>
          </w:p>
        </w:tc>
        <w:tc>
          <w:tcPr>
            <w:tcW w:w="427"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3900" w:type="dxa"/>
            <w:gridSpan w:val="2"/>
            <w:tcBorders>
              <w:top w:val="nil"/>
              <w:left w:val="nil"/>
              <w:bottom w:val="single" w:sz="4" w:space="0" w:color="auto"/>
              <w:right w:val="nil"/>
            </w:tcBorders>
            <w:shd w:val="clear" w:color="auto" w:fill="auto"/>
            <w:hideMark/>
          </w:tcPr>
          <w:p w:rsidR="001F51A8" w:rsidRPr="00307A8E" w:rsidRDefault="001F51A8" w:rsidP="001F51A8">
            <w:pPr>
              <w:ind w:firstLine="0"/>
              <w:rPr>
                <w:sz w:val="16"/>
                <w:szCs w:val="16"/>
              </w:rPr>
            </w:pPr>
            <w:r w:rsidRPr="00307A8E">
              <w:rPr>
                <w:sz w:val="16"/>
                <w:szCs w:val="16"/>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001F51A8" w:rsidRPr="00307A8E" w:rsidTr="00285EEC">
        <w:trPr>
          <w:trHeight w:val="229"/>
        </w:trPr>
        <w:tc>
          <w:tcPr>
            <w:tcW w:w="2483"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w:t>
            </w:r>
          </w:p>
        </w:tc>
        <w:tc>
          <w:tcPr>
            <w:tcW w:w="427"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503"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w:t>
            </w:r>
          </w:p>
        </w:tc>
        <w:tc>
          <w:tcPr>
            <w:tcW w:w="427"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538"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III</w:t>
            </w:r>
          </w:p>
        </w:tc>
        <w:tc>
          <w:tcPr>
            <w:tcW w:w="1362"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IV</w:t>
            </w:r>
          </w:p>
        </w:tc>
      </w:tr>
      <w:tr w:rsidR="001F51A8" w:rsidRPr="00307A8E" w:rsidTr="006C256E">
        <w:trPr>
          <w:trHeight w:val="229"/>
        </w:trPr>
        <w:tc>
          <w:tcPr>
            <w:tcW w:w="2483"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7"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503"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€ 250 000</w:t>
            </w:r>
          </w:p>
        </w:tc>
        <w:tc>
          <w:tcPr>
            <w:tcW w:w="427"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538"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1362"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20%</w:t>
            </w:r>
          </w:p>
        </w:tc>
      </w:tr>
      <w:tr w:rsidR="001F51A8" w:rsidRPr="00307A8E" w:rsidTr="006C256E">
        <w:trPr>
          <w:trHeight w:val="229"/>
        </w:trPr>
        <w:tc>
          <w:tcPr>
            <w:tcW w:w="2483"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€ 250 000</w:t>
            </w:r>
          </w:p>
        </w:tc>
        <w:tc>
          <w:tcPr>
            <w:tcW w:w="427"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503"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7"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538"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€ 50 000</w:t>
            </w:r>
          </w:p>
        </w:tc>
        <w:tc>
          <w:tcPr>
            <w:tcW w:w="1362"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25%</w:t>
            </w:r>
          </w:p>
        </w:tc>
      </w:tr>
    </w:tbl>
    <w:p w:rsidR="001F51A8" w:rsidRDefault="001F51A8" w:rsidP="001F51A8"/>
    <w:p w:rsidR="001F51A8" w:rsidRDefault="001F51A8" w:rsidP="001F51A8">
      <w:pPr>
        <w:pStyle w:val="Artikel"/>
      </w:pPr>
      <w:r>
        <w:t xml:space="preserve">Artikel </w:t>
      </w:r>
      <w:r w:rsidR="00792062">
        <w:t>VI</w:t>
      </w:r>
    </w:p>
    <w:p w:rsidR="001F51A8" w:rsidRDefault="001F51A8" w:rsidP="001F51A8"/>
    <w:p w:rsidR="001F51A8" w:rsidRDefault="001F51A8" w:rsidP="001F51A8">
      <w:r w:rsidRPr="001F51A8">
        <w:t xml:space="preserve">In de Wet op de vennootschapsbelasting 1969 wordt met ingang van 1 januari 2020 de tarieftabel in </w:t>
      </w:r>
      <w:r w:rsidRPr="001F51A8">
        <w:rPr>
          <w:b/>
          <w:bCs/>
        </w:rPr>
        <w:t xml:space="preserve">artikel 22 </w:t>
      </w:r>
      <w:r w:rsidRPr="001F51A8">
        <w:t>vervangen door:</w:t>
      </w:r>
    </w:p>
    <w:p w:rsidR="001F51A8" w:rsidRDefault="001F51A8" w:rsidP="001F51A8"/>
    <w:tbl>
      <w:tblPr>
        <w:tblW w:w="9589" w:type="dxa"/>
        <w:tblInd w:w="55" w:type="dxa"/>
        <w:tblCellMar>
          <w:left w:w="70" w:type="dxa"/>
          <w:right w:w="70" w:type="dxa"/>
        </w:tblCellMar>
        <w:tblLook w:val="04A0"/>
      </w:tblPr>
      <w:tblGrid>
        <w:gridCol w:w="2445"/>
        <w:gridCol w:w="420"/>
        <w:gridCol w:w="2464"/>
        <w:gridCol w:w="420"/>
        <w:gridCol w:w="2499"/>
        <w:gridCol w:w="1341"/>
      </w:tblGrid>
      <w:tr w:rsidR="001F51A8" w:rsidRPr="001F51A8" w:rsidTr="00285EEC">
        <w:trPr>
          <w:trHeight w:val="2081"/>
        </w:trPr>
        <w:tc>
          <w:tcPr>
            <w:tcW w:w="2445" w:type="dxa"/>
            <w:tcBorders>
              <w:top w:val="nil"/>
              <w:left w:val="nil"/>
              <w:bottom w:val="single" w:sz="4" w:space="0" w:color="auto"/>
              <w:right w:val="nil"/>
            </w:tcBorders>
            <w:shd w:val="clear" w:color="auto" w:fill="auto"/>
            <w:hideMark/>
          </w:tcPr>
          <w:p w:rsidR="001F51A8" w:rsidRPr="00307A8E" w:rsidRDefault="001F51A8" w:rsidP="001F51A8">
            <w:pPr>
              <w:ind w:firstLine="0"/>
              <w:rPr>
                <w:sz w:val="16"/>
                <w:szCs w:val="16"/>
              </w:rPr>
            </w:pPr>
            <w:r w:rsidRPr="00307A8E">
              <w:rPr>
                <w:sz w:val="16"/>
                <w:szCs w:val="16"/>
              </w:rPr>
              <w:t>Bij een belastbaar bedrag of een belastbaar Nederlands bedrag van meer dan</w:t>
            </w:r>
          </w:p>
        </w:tc>
        <w:tc>
          <w:tcPr>
            <w:tcW w:w="420"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2464" w:type="dxa"/>
            <w:tcBorders>
              <w:top w:val="nil"/>
              <w:left w:val="nil"/>
              <w:bottom w:val="single" w:sz="4" w:space="0" w:color="auto"/>
              <w:right w:val="nil"/>
            </w:tcBorders>
            <w:shd w:val="clear" w:color="auto" w:fill="auto"/>
            <w:hideMark/>
          </w:tcPr>
          <w:p w:rsidR="001F51A8" w:rsidRPr="00307A8E" w:rsidRDefault="001F51A8" w:rsidP="001F51A8">
            <w:pPr>
              <w:ind w:firstLine="0"/>
              <w:rPr>
                <w:sz w:val="16"/>
                <w:szCs w:val="16"/>
              </w:rPr>
            </w:pPr>
            <w:r w:rsidRPr="00307A8E">
              <w:rPr>
                <w:sz w:val="16"/>
                <w:szCs w:val="16"/>
              </w:rPr>
              <w:t>maar niet meer dan</w:t>
            </w:r>
          </w:p>
        </w:tc>
        <w:tc>
          <w:tcPr>
            <w:tcW w:w="420"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3840" w:type="dxa"/>
            <w:gridSpan w:val="2"/>
            <w:tcBorders>
              <w:top w:val="nil"/>
              <w:left w:val="nil"/>
              <w:bottom w:val="single" w:sz="4" w:space="0" w:color="auto"/>
              <w:right w:val="nil"/>
            </w:tcBorders>
            <w:shd w:val="clear" w:color="auto" w:fill="auto"/>
            <w:hideMark/>
          </w:tcPr>
          <w:p w:rsidR="001F51A8" w:rsidRPr="00307A8E" w:rsidRDefault="001F51A8" w:rsidP="001F51A8">
            <w:pPr>
              <w:ind w:firstLine="8"/>
              <w:rPr>
                <w:sz w:val="16"/>
                <w:szCs w:val="16"/>
              </w:rPr>
            </w:pPr>
            <w:r w:rsidRPr="00307A8E">
              <w:rPr>
                <w:sz w:val="16"/>
                <w:szCs w:val="16"/>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001F51A8" w:rsidRPr="001F51A8" w:rsidTr="00285EEC">
        <w:trPr>
          <w:trHeight w:val="231"/>
        </w:trPr>
        <w:tc>
          <w:tcPr>
            <w:tcW w:w="2445"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w:t>
            </w:r>
          </w:p>
        </w:tc>
        <w:tc>
          <w:tcPr>
            <w:tcW w:w="420"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w:t>
            </w:r>
          </w:p>
        </w:tc>
        <w:tc>
          <w:tcPr>
            <w:tcW w:w="420"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III</w:t>
            </w:r>
          </w:p>
        </w:tc>
        <w:tc>
          <w:tcPr>
            <w:tcW w:w="1341"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IV</w:t>
            </w:r>
          </w:p>
        </w:tc>
      </w:tr>
      <w:tr w:rsidR="001F51A8" w:rsidRPr="001F51A8" w:rsidTr="006C256E">
        <w:trPr>
          <w:trHeight w:val="231"/>
        </w:trPr>
        <w:tc>
          <w:tcPr>
            <w:tcW w:w="2445"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€ 300 000</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1341"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20%</w:t>
            </w:r>
          </w:p>
        </w:tc>
      </w:tr>
      <w:tr w:rsidR="001F51A8" w:rsidRPr="001F51A8" w:rsidTr="006C256E">
        <w:trPr>
          <w:trHeight w:val="231"/>
        </w:trPr>
        <w:tc>
          <w:tcPr>
            <w:tcW w:w="2445"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€ 300 000</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€ 60 000</w:t>
            </w:r>
          </w:p>
        </w:tc>
        <w:tc>
          <w:tcPr>
            <w:tcW w:w="1341"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25%</w:t>
            </w:r>
          </w:p>
        </w:tc>
      </w:tr>
    </w:tbl>
    <w:p w:rsidR="001F51A8" w:rsidRDefault="001F51A8" w:rsidP="001F51A8"/>
    <w:p w:rsidR="00307A8E" w:rsidRDefault="00307A8E">
      <w:pPr>
        <w:spacing w:line="240" w:lineRule="auto"/>
        <w:ind w:firstLine="0"/>
        <w:rPr>
          <w:b/>
        </w:rPr>
      </w:pPr>
      <w:r>
        <w:br w:type="page"/>
      </w:r>
    </w:p>
    <w:p w:rsidR="001F51A8" w:rsidRDefault="001F51A8" w:rsidP="001F51A8">
      <w:pPr>
        <w:pStyle w:val="Artikel"/>
      </w:pPr>
      <w:r>
        <w:t xml:space="preserve">Artikel </w:t>
      </w:r>
      <w:r w:rsidR="00792062">
        <w:t>VII</w:t>
      </w:r>
    </w:p>
    <w:p w:rsidR="001F51A8" w:rsidRDefault="001F51A8" w:rsidP="001F51A8"/>
    <w:p w:rsidR="001F51A8" w:rsidRDefault="001F51A8" w:rsidP="001F51A8">
      <w:r w:rsidRPr="001F51A8">
        <w:t xml:space="preserve">In de Wet op de vennootschapsbelasting 1969 wordt met ingang van 1 januari 2021 de tarieftabel in </w:t>
      </w:r>
      <w:r w:rsidRPr="001F51A8">
        <w:rPr>
          <w:b/>
        </w:rPr>
        <w:t>artikel 22</w:t>
      </w:r>
      <w:r w:rsidRPr="001F51A8">
        <w:t xml:space="preserve"> vervangen door:</w:t>
      </w:r>
    </w:p>
    <w:p w:rsidR="001F51A8" w:rsidRDefault="001F51A8" w:rsidP="001F51A8"/>
    <w:tbl>
      <w:tblPr>
        <w:tblW w:w="9589" w:type="dxa"/>
        <w:tblInd w:w="55" w:type="dxa"/>
        <w:tblCellMar>
          <w:left w:w="70" w:type="dxa"/>
          <w:right w:w="70" w:type="dxa"/>
        </w:tblCellMar>
        <w:tblLook w:val="04A0"/>
      </w:tblPr>
      <w:tblGrid>
        <w:gridCol w:w="2445"/>
        <w:gridCol w:w="420"/>
        <w:gridCol w:w="2464"/>
        <w:gridCol w:w="420"/>
        <w:gridCol w:w="2499"/>
        <w:gridCol w:w="1341"/>
      </w:tblGrid>
      <w:tr w:rsidR="001F51A8" w:rsidRPr="00307A8E" w:rsidTr="0066499F">
        <w:trPr>
          <w:trHeight w:val="2081"/>
        </w:trPr>
        <w:tc>
          <w:tcPr>
            <w:tcW w:w="2445" w:type="dxa"/>
            <w:tcBorders>
              <w:top w:val="nil"/>
              <w:left w:val="nil"/>
              <w:bottom w:val="single" w:sz="4" w:space="0" w:color="auto"/>
              <w:right w:val="nil"/>
            </w:tcBorders>
            <w:shd w:val="clear" w:color="auto" w:fill="auto"/>
            <w:hideMark/>
          </w:tcPr>
          <w:p w:rsidR="001F51A8" w:rsidRPr="00307A8E" w:rsidRDefault="001F51A8" w:rsidP="001F51A8">
            <w:pPr>
              <w:ind w:hanging="55"/>
              <w:rPr>
                <w:sz w:val="16"/>
                <w:szCs w:val="16"/>
              </w:rPr>
            </w:pPr>
            <w:r w:rsidRPr="00307A8E">
              <w:rPr>
                <w:sz w:val="16"/>
                <w:szCs w:val="16"/>
              </w:rPr>
              <w:t>Bij een belastbaar bedrag of een belastbaar Nederlands bedrag van meer dan</w:t>
            </w:r>
          </w:p>
        </w:tc>
        <w:tc>
          <w:tcPr>
            <w:tcW w:w="420"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2464" w:type="dxa"/>
            <w:tcBorders>
              <w:top w:val="nil"/>
              <w:left w:val="nil"/>
              <w:bottom w:val="single" w:sz="4" w:space="0" w:color="auto"/>
              <w:right w:val="nil"/>
            </w:tcBorders>
            <w:shd w:val="clear" w:color="auto" w:fill="auto"/>
            <w:hideMark/>
          </w:tcPr>
          <w:p w:rsidR="001F51A8" w:rsidRPr="00307A8E" w:rsidRDefault="001F51A8" w:rsidP="001F51A8">
            <w:pPr>
              <w:ind w:firstLine="0"/>
              <w:rPr>
                <w:sz w:val="16"/>
                <w:szCs w:val="16"/>
              </w:rPr>
            </w:pPr>
            <w:r w:rsidRPr="00307A8E">
              <w:rPr>
                <w:sz w:val="16"/>
                <w:szCs w:val="16"/>
              </w:rPr>
              <w:t>maar niet meer dan</w:t>
            </w:r>
          </w:p>
        </w:tc>
        <w:tc>
          <w:tcPr>
            <w:tcW w:w="420" w:type="dxa"/>
            <w:tcBorders>
              <w:top w:val="nil"/>
              <w:left w:val="nil"/>
              <w:bottom w:val="single" w:sz="4" w:space="0" w:color="auto"/>
              <w:right w:val="nil"/>
            </w:tcBorders>
            <w:shd w:val="clear" w:color="auto" w:fill="auto"/>
            <w:hideMark/>
          </w:tcPr>
          <w:p w:rsidR="001F51A8" w:rsidRPr="00307A8E" w:rsidRDefault="001F51A8" w:rsidP="001F51A8">
            <w:pPr>
              <w:rPr>
                <w:sz w:val="16"/>
                <w:szCs w:val="16"/>
              </w:rPr>
            </w:pPr>
          </w:p>
        </w:tc>
        <w:tc>
          <w:tcPr>
            <w:tcW w:w="3840" w:type="dxa"/>
            <w:gridSpan w:val="2"/>
            <w:tcBorders>
              <w:top w:val="nil"/>
              <w:left w:val="nil"/>
              <w:bottom w:val="single" w:sz="4" w:space="0" w:color="auto"/>
              <w:right w:val="nil"/>
            </w:tcBorders>
            <w:shd w:val="clear" w:color="auto" w:fill="auto"/>
            <w:hideMark/>
          </w:tcPr>
          <w:p w:rsidR="001F51A8" w:rsidRPr="00307A8E" w:rsidRDefault="001F51A8" w:rsidP="001F51A8">
            <w:pPr>
              <w:ind w:firstLine="8"/>
              <w:rPr>
                <w:sz w:val="16"/>
                <w:szCs w:val="16"/>
              </w:rPr>
            </w:pPr>
            <w:r w:rsidRPr="00307A8E">
              <w:rPr>
                <w:sz w:val="16"/>
                <w:szCs w:val="16"/>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001F51A8" w:rsidRPr="00307A8E" w:rsidTr="0066499F">
        <w:trPr>
          <w:trHeight w:val="231"/>
        </w:trPr>
        <w:tc>
          <w:tcPr>
            <w:tcW w:w="2445"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w:t>
            </w:r>
          </w:p>
        </w:tc>
        <w:tc>
          <w:tcPr>
            <w:tcW w:w="420"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w:t>
            </w:r>
          </w:p>
        </w:tc>
        <w:tc>
          <w:tcPr>
            <w:tcW w:w="420"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III</w:t>
            </w:r>
          </w:p>
        </w:tc>
        <w:tc>
          <w:tcPr>
            <w:tcW w:w="1341" w:type="dxa"/>
            <w:tcBorders>
              <w:top w:val="single" w:sz="4" w:space="0" w:color="auto"/>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IV</w:t>
            </w:r>
          </w:p>
        </w:tc>
      </w:tr>
      <w:tr w:rsidR="001F51A8" w:rsidRPr="00307A8E" w:rsidTr="006C256E">
        <w:trPr>
          <w:trHeight w:val="231"/>
        </w:trPr>
        <w:tc>
          <w:tcPr>
            <w:tcW w:w="2445"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€ 350 000</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1341"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20%</w:t>
            </w:r>
          </w:p>
        </w:tc>
      </w:tr>
      <w:tr w:rsidR="001F51A8" w:rsidRPr="00307A8E" w:rsidTr="006C256E">
        <w:trPr>
          <w:trHeight w:val="231"/>
        </w:trPr>
        <w:tc>
          <w:tcPr>
            <w:tcW w:w="2445"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€ 350 000</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64"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w:t>
            </w:r>
          </w:p>
        </w:tc>
        <w:tc>
          <w:tcPr>
            <w:tcW w:w="420"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p>
        </w:tc>
        <w:tc>
          <w:tcPr>
            <w:tcW w:w="2499"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€ 70 000</w:t>
            </w:r>
          </w:p>
        </w:tc>
        <w:tc>
          <w:tcPr>
            <w:tcW w:w="1341" w:type="dxa"/>
            <w:tcBorders>
              <w:top w:val="nil"/>
              <w:left w:val="nil"/>
              <w:bottom w:val="nil"/>
              <w:right w:val="nil"/>
            </w:tcBorders>
            <w:shd w:val="clear" w:color="auto" w:fill="auto"/>
            <w:noWrap/>
            <w:vAlign w:val="bottom"/>
            <w:hideMark/>
          </w:tcPr>
          <w:p w:rsidR="001F51A8" w:rsidRPr="00307A8E" w:rsidRDefault="001F51A8" w:rsidP="001F51A8">
            <w:pPr>
              <w:rPr>
                <w:sz w:val="16"/>
                <w:szCs w:val="16"/>
              </w:rPr>
            </w:pPr>
            <w:r w:rsidRPr="00307A8E">
              <w:rPr>
                <w:sz w:val="16"/>
                <w:szCs w:val="16"/>
              </w:rPr>
              <w:t>25%</w:t>
            </w:r>
          </w:p>
        </w:tc>
      </w:tr>
    </w:tbl>
    <w:p w:rsidR="001F51A8" w:rsidRPr="001F51A8" w:rsidRDefault="001F51A8" w:rsidP="001F51A8"/>
    <w:p w:rsidR="00385DE5" w:rsidRDefault="00385DE5" w:rsidP="00385DE5">
      <w:pPr>
        <w:pStyle w:val="Artikel"/>
      </w:pPr>
      <w:r>
        <w:t xml:space="preserve">Artikel </w:t>
      </w:r>
      <w:r w:rsidR="00792062">
        <w:t>VIII</w:t>
      </w:r>
    </w:p>
    <w:p w:rsidR="00B33718" w:rsidRDefault="00B33718" w:rsidP="00385DE5"/>
    <w:p w:rsidR="00E60F86" w:rsidRDefault="00E60F86" w:rsidP="00385DE5">
      <w:r>
        <w:t xml:space="preserve">In de Wet op de vennootschapsbelasting 1969 wordt met ingang van 1 juli 2021 </w:t>
      </w:r>
      <w:r>
        <w:rPr>
          <w:b/>
        </w:rPr>
        <w:t>artikel 34d</w:t>
      </w:r>
      <w:r>
        <w:t xml:space="preserve"> als volgt gewijzigd:</w:t>
      </w:r>
    </w:p>
    <w:p w:rsidR="00E60F86" w:rsidRDefault="00E60F86" w:rsidP="00385DE5">
      <w:r>
        <w:t>1. Het eerste lid vervalt onder vernummering van het tweede tot en met zesde lid tot eerste tot en met vijfde lid.</w:t>
      </w:r>
    </w:p>
    <w:p w:rsidR="00E60F86" w:rsidRPr="00E60F86" w:rsidRDefault="00E60F86" w:rsidP="00385DE5">
      <w:r>
        <w:t>2. In het derde lid (nieuw) wordt “derde lid” vervangen door: tweede lid.</w:t>
      </w:r>
    </w:p>
    <w:p w:rsidR="00E60F86" w:rsidRDefault="00E60F86" w:rsidP="00385DE5"/>
    <w:p w:rsidR="006C5E88" w:rsidRDefault="006C5E88" w:rsidP="006C5E88">
      <w:pPr>
        <w:pStyle w:val="Artikel"/>
      </w:pPr>
      <w:r>
        <w:t xml:space="preserve">Artikel </w:t>
      </w:r>
      <w:r w:rsidR="00792062">
        <w:t>IX</w:t>
      </w:r>
    </w:p>
    <w:p w:rsidR="006C5E88" w:rsidRDefault="006C5E88" w:rsidP="006C5E88"/>
    <w:p w:rsidR="006C5E88" w:rsidRDefault="006C5E88" w:rsidP="006C5E88">
      <w:r w:rsidRPr="006C5E88">
        <w:t>De Wet op de dividendbelasting 1965 wordt als volgt gewijzigd:</w:t>
      </w:r>
    </w:p>
    <w:p w:rsidR="006C5E88" w:rsidRDefault="006C5E88" w:rsidP="006C5E88"/>
    <w:p w:rsidR="006C5E88" w:rsidRDefault="00792062" w:rsidP="006C5E88">
      <w:r>
        <w:t>A.</w:t>
      </w:r>
      <w:r w:rsidR="006C5E88">
        <w:t xml:space="preserve"> </w:t>
      </w:r>
      <w:r w:rsidR="00E638E7" w:rsidRPr="006C5E88">
        <w:rPr>
          <w:b/>
        </w:rPr>
        <w:t xml:space="preserve">Artikel 4 </w:t>
      </w:r>
      <w:r w:rsidR="00E638E7" w:rsidRPr="006C5E88">
        <w:t>wordt als volgt gewijzigd:</w:t>
      </w:r>
    </w:p>
    <w:p w:rsidR="006C5E88" w:rsidRDefault="006C5E88" w:rsidP="006C5E88">
      <w:r w:rsidRPr="006C5E88">
        <w:t xml:space="preserve">1. </w:t>
      </w:r>
      <w:r w:rsidR="00E638E7" w:rsidRPr="006C5E88">
        <w:t>Het tweede lid, onderdeel 1°, wordt geletterd a.</w:t>
      </w:r>
    </w:p>
    <w:p w:rsidR="006C5E88" w:rsidRDefault="006C5E88" w:rsidP="006C5E88">
      <w:r w:rsidRPr="006C5E88">
        <w:t xml:space="preserve">2. </w:t>
      </w:r>
      <w:r w:rsidR="003D6B04">
        <w:t>In het tweede lid, onderdeel a</w:t>
      </w:r>
      <w:r w:rsidR="00E638E7" w:rsidRPr="006C5E88">
        <w:t xml:space="preserve"> (nieuw)</w:t>
      </w:r>
      <w:r w:rsidR="003D6B04">
        <w:t>,</w:t>
      </w:r>
      <w:r w:rsidR="00E638E7" w:rsidRPr="006C5E88">
        <w:t xml:space="preserve"> wordt “of een bij ministeriële regeling aangewezen staat die partij is” vervangen door: of een andere staat die partij is.</w:t>
      </w:r>
    </w:p>
    <w:p w:rsidR="006C5E88" w:rsidRDefault="006C5E88" w:rsidP="006C5E88">
      <w:r w:rsidRPr="006C5E88">
        <w:t xml:space="preserve">3. </w:t>
      </w:r>
      <w:r w:rsidR="00E638E7" w:rsidRPr="006C5E88">
        <w:t>Het tweede lid, onderdeel 2°, wordt geletterd b.</w:t>
      </w:r>
    </w:p>
    <w:p w:rsidR="006C5E88" w:rsidRDefault="006C5E88" w:rsidP="006C5E88">
      <w:r w:rsidRPr="006C5E88">
        <w:t xml:space="preserve">4. </w:t>
      </w:r>
      <w:r w:rsidR="00E638E7" w:rsidRPr="006C5E88">
        <w:t>In het zevende lid wordt “ingevolge artikel 10” vervangen door: ingevolge artikel 10 of artikel 10a.</w:t>
      </w:r>
    </w:p>
    <w:p w:rsidR="006C5E88" w:rsidRDefault="006C5E88" w:rsidP="006C5E88"/>
    <w:p w:rsidR="006C5E88" w:rsidRDefault="00792062" w:rsidP="006C5E88">
      <w:r>
        <w:t>B.</w:t>
      </w:r>
      <w:r w:rsidR="006C5E88">
        <w:t xml:space="preserve"> </w:t>
      </w:r>
      <w:r w:rsidR="00E638E7" w:rsidRPr="006C5E88">
        <w:rPr>
          <w:b/>
        </w:rPr>
        <w:t xml:space="preserve">Artikel 10 </w:t>
      </w:r>
      <w:r w:rsidR="00E638E7" w:rsidRPr="006C5E88">
        <w:t>wordt als volgt gewijzigd:</w:t>
      </w:r>
    </w:p>
    <w:p w:rsidR="006C5E88" w:rsidRDefault="006C5E88" w:rsidP="006C5E88">
      <w:r w:rsidRPr="006C5E88">
        <w:t xml:space="preserve">1. </w:t>
      </w:r>
      <w:r w:rsidR="00E638E7" w:rsidRPr="006C5E88">
        <w:t>In het eerste lid, eerste volzin, vervalt: , indien deze meer bedraagt dan € 23.</w:t>
      </w:r>
    </w:p>
    <w:p w:rsidR="006C5E88" w:rsidRDefault="006C5E88" w:rsidP="006C5E88">
      <w:r w:rsidRPr="006C5E88">
        <w:t xml:space="preserve">2. </w:t>
      </w:r>
      <w:r w:rsidR="00E638E7" w:rsidRPr="006C5E88">
        <w:t>In het eerste lid, vierde volzin, wordt “Het verzoek geschiedt bij een aangifte die” vervangen door: Het verzoek.</w:t>
      </w:r>
    </w:p>
    <w:p w:rsidR="006C5E88" w:rsidRDefault="006C5E88" w:rsidP="006C5E88">
      <w:r w:rsidRPr="006C5E88">
        <w:t xml:space="preserve">3. </w:t>
      </w:r>
      <w:r w:rsidR="00E638E7" w:rsidRPr="006C5E88">
        <w:t>In het tweede lid wordt “of in een bij ministeriële regeling aangewezen staat die partij is” vervangen door: of in een andere staat die partij is.</w:t>
      </w:r>
    </w:p>
    <w:p w:rsidR="006C5E88" w:rsidRDefault="006C5E88" w:rsidP="006C5E88">
      <w:r w:rsidRPr="006C5E88">
        <w:t xml:space="preserve">4. </w:t>
      </w:r>
      <w:r w:rsidR="00E638E7" w:rsidRPr="006C5E88">
        <w:t>In het derde lid, eerste en tweede volzin, wordt “portfolio investeringen” vervangen door: portfolio-investeringen.</w:t>
      </w:r>
    </w:p>
    <w:p w:rsidR="006C5E88" w:rsidRDefault="006C5E88" w:rsidP="006C5E88"/>
    <w:p w:rsidR="006C5E88" w:rsidRDefault="00792062" w:rsidP="006C5E88">
      <w:r>
        <w:t>C.</w:t>
      </w:r>
      <w:r w:rsidR="006C5E88">
        <w:t xml:space="preserve"> </w:t>
      </w:r>
      <w:r w:rsidR="006C5E88" w:rsidRPr="006C5E88">
        <w:t xml:space="preserve">Na </w:t>
      </w:r>
      <w:r w:rsidR="006C5E88" w:rsidRPr="006C5E88">
        <w:rPr>
          <w:b/>
        </w:rPr>
        <w:t>artikel 10</w:t>
      </w:r>
      <w:r w:rsidR="006C5E88" w:rsidRPr="006C5E88">
        <w:t xml:space="preserve"> wordt een artikel ingevoegd</w:t>
      </w:r>
      <w:r w:rsidR="003D6B04">
        <w:t>,</w:t>
      </w:r>
      <w:r w:rsidR="006C5E88" w:rsidRPr="006C5E88">
        <w:t xml:space="preserve"> luidende:</w:t>
      </w:r>
    </w:p>
    <w:p w:rsidR="006C5E88" w:rsidRDefault="006C5E88" w:rsidP="006C5E88">
      <w:pPr>
        <w:rPr>
          <w:b/>
        </w:rPr>
      </w:pPr>
      <w:r w:rsidRPr="006C5E88">
        <w:rPr>
          <w:b/>
        </w:rPr>
        <w:t>Artikel 10a</w:t>
      </w:r>
    </w:p>
    <w:p w:rsidR="006C5E88" w:rsidRDefault="006C5E88" w:rsidP="006C5E88">
      <w:r w:rsidRPr="006C5E88">
        <w:t>1. Aan een natuurlijke persoon of een lichaam die woonachtig is, onderscheidenlijk dat gevestigd is, in een andere lidstaat van de Europese Unie of in een andere staat die partij is bij de Overeenkomst betreffende de Europese Economische Ruimte wordt op zijn verzoek bij een voor bezwaar vatbare beschikking teruggaaf verleend van de in een kalenderjaar ingehouden dividendbelasting ten aanzien van opbrengsten waarvoor die natuurlijke persoon, onderscheidenlijk dat lichaam, niet belastingplichtig is voor de inkomstenbelasting, onderscheidenlijk de vennootschapsbelasting, voor zover deze dividendbelasting</w:t>
      </w:r>
      <w:r w:rsidR="00C71FAA">
        <w:t xml:space="preserve"> na vermindering met andere teruggaaf op basis van deze wet of een door Nederland gesloten verdrag ter voorkoming van dubbele belasting</w:t>
      </w:r>
      <w:r w:rsidRPr="006C5E88">
        <w:t>, hoger is dan de inkomstenbelasting, onderscheidenlijk de vennootschapsbelasting, die verschuldigd zou zijn indien die natuurlijke persoon, onderscheidenlijk dat lichaam, woonachtig, onderscheidenlijk gevestigd, zou zijn in Nederland.</w:t>
      </w:r>
    </w:p>
    <w:p w:rsidR="006C5E88" w:rsidRDefault="006C5E88" w:rsidP="006C5E88">
      <w:r w:rsidRPr="006C5E88">
        <w:t>2. Het eerste lid is van overeenkomstige toepassing ten aanzien van een natuurlijke persoon of een lichaam die woonachtig is, onderscheidenlijk dat gevestigd is, in een bij ministeriële regeling aangewezen staat, niet zijnde een staat als bedoeld in het eerste lid, waarmee Nederland een regeling is overeengekomen die voorziet in de uitwisseling van inlichtingen voor de heffing van belastingen, voor zover de te zijnen laste ingehouden dividendbelasting betrekking heeft op de opbrengst uit portfolio-investeringen. Onder portfolio-investeringen worden verstaan de investeringen die vallen onder de vrijheid van kapitaalverkeer, bedoeld in artikel 63 van het Verdrag betreffende de werking van de Europese Unie, en die geen directe investering vormen in de zin van artikel 64 van dat verdrag.</w:t>
      </w:r>
    </w:p>
    <w:p w:rsidR="006C5E88" w:rsidRDefault="006C5E88" w:rsidP="006C5E88">
      <w:r w:rsidRPr="006C5E88">
        <w:t>3. Het eerste en tweede lid zijn niet van toepassing op belasting naar opbrengsten met betrekking waartoe die natuurlijke persoon of dat lichaam niet de uiteindelijk gerechtigde is.</w:t>
      </w:r>
    </w:p>
    <w:p w:rsidR="006C5E88" w:rsidRDefault="00E638E7" w:rsidP="006C5E88">
      <w:r w:rsidRPr="00E638E7">
        <w:t>4. Het eerste en tweede lid zijn niet van toepassing met betrekking tot lichamen die een vergelijkbare functie vervullen als een beleggingsinstelling als bedoeld in de artikelen 6a of 28 van de Wet op de vennootschapsbelasting 1969.</w:t>
      </w:r>
    </w:p>
    <w:p w:rsidR="00E638E7" w:rsidRDefault="00E638E7" w:rsidP="006C5E88">
      <w:r w:rsidRPr="00E638E7">
        <w:t>5. De teruggaaf, bedoeld in het eerste of tweede lid, wordt niet verleend indien de natuurlijke persoon of het lichaam voor het voor teruggaaf in aanmerking komende bedrag aan dividendbelasting recht heeft op volledige verrekening in zijn woonstaat, onderscheidenlijk vestigingsstaat, op grond van een tussen Nederland en die woonstaat, onderscheidenlijk vestigingsstaat, gesloten verdrag ter voorkoming van dubbele belasting.</w:t>
      </w:r>
    </w:p>
    <w:p w:rsidR="00E638E7" w:rsidRDefault="00E638E7" w:rsidP="006C5E88">
      <w:r w:rsidRPr="00E638E7">
        <w:t>6. Bij ministeriële regeling worden regels gesteld met betrekking tot:</w:t>
      </w:r>
    </w:p>
    <w:p w:rsidR="00E638E7" w:rsidRDefault="00E638E7" w:rsidP="006C5E88">
      <w:r w:rsidRPr="00E638E7">
        <w:t>a. het verzoek, bedoeld in het eerste lid, en</w:t>
      </w:r>
    </w:p>
    <w:p w:rsidR="00E638E7" w:rsidRDefault="00E638E7" w:rsidP="006C5E88">
      <w:r w:rsidRPr="00E638E7">
        <w:t>b. het bepalen van de inkomstenbelasting of de vennootschapsbelasting die verschuldigd zou zijn indien de natuurlijke persoon, onderscheidenlijk het lichaam, woonachtig, onderscheidenlijk gevestigd, zou zijn in Nederland.</w:t>
      </w:r>
    </w:p>
    <w:p w:rsidR="00E638E7" w:rsidRDefault="00E638E7" w:rsidP="006C5E88"/>
    <w:p w:rsidR="00307A8E" w:rsidRDefault="00307A8E">
      <w:pPr>
        <w:spacing w:line="240" w:lineRule="auto"/>
        <w:ind w:firstLine="0"/>
        <w:rPr>
          <w:b/>
        </w:rPr>
      </w:pPr>
      <w:r>
        <w:br w:type="page"/>
      </w:r>
    </w:p>
    <w:p w:rsidR="00AF1D52" w:rsidRDefault="00AF1D52" w:rsidP="00AF1D52">
      <w:pPr>
        <w:pStyle w:val="Artikel"/>
      </w:pPr>
      <w:r>
        <w:t xml:space="preserve">Artikel </w:t>
      </w:r>
      <w:r w:rsidR="00792062">
        <w:t>X</w:t>
      </w:r>
    </w:p>
    <w:p w:rsidR="00AF1D52" w:rsidRDefault="00AF1D52" w:rsidP="00AF1D52"/>
    <w:p w:rsidR="00462174" w:rsidRPr="00462174" w:rsidRDefault="00B53FBD" w:rsidP="00AF1D52">
      <w:pPr>
        <w:rPr>
          <w:bCs/>
        </w:rPr>
      </w:pPr>
      <w:r>
        <w:t>In d</w:t>
      </w:r>
      <w:r w:rsidR="00AF1D52" w:rsidRPr="00AF1D52">
        <w:t xml:space="preserve">e Wet op de omzetbelasting 1968 wordt </w:t>
      </w:r>
      <w:r w:rsidRPr="00B53FBD">
        <w:rPr>
          <w:b/>
        </w:rPr>
        <w:t>a</w:t>
      </w:r>
      <w:r w:rsidR="00AF1D52" w:rsidRPr="00AF1D52">
        <w:rPr>
          <w:b/>
          <w:bCs/>
        </w:rPr>
        <w:t>rtikel 11</w:t>
      </w:r>
      <w:r w:rsidR="00462174">
        <w:rPr>
          <w:bCs/>
        </w:rPr>
        <w:t xml:space="preserve"> als volgt gewijzigd:</w:t>
      </w:r>
    </w:p>
    <w:p w:rsidR="00AF1D52" w:rsidRDefault="004E1F64" w:rsidP="00AF1D52">
      <w:pPr>
        <w:rPr>
          <w:bCs/>
        </w:rPr>
      </w:pPr>
      <w:r>
        <w:rPr>
          <w:bCs/>
        </w:rPr>
        <w:t>1. H</w:t>
      </w:r>
      <w:r w:rsidR="00462174">
        <w:rPr>
          <w:bCs/>
        </w:rPr>
        <w:t xml:space="preserve">et </w:t>
      </w:r>
      <w:r>
        <w:rPr>
          <w:bCs/>
        </w:rPr>
        <w:t>eerste lid, onderdeel e, onder</w:t>
      </w:r>
      <w:r w:rsidR="00AF1D52" w:rsidRPr="00AF1D52">
        <w:rPr>
          <w:bCs/>
        </w:rPr>
        <w:t xml:space="preserve"> 2°, komt te luiden:</w:t>
      </w:r>
    </w:p>
    <w:p w:rsidR="00AF1D52" w:rsidRDefault="00AF1D52" w:rsidP="00AF1D52">
      <w:r w:rsidRPr="00AF1D52">
        <w:t>2°</w:t>
      </w:r>
      <w:r w:rsidR="00B53FBD">
        <w:t>.</w:t>
      </w:r>
      <w:r w:rsidRPr="00AF1D52">
        <w:t xml:space="preserve"> </w:t>
      </w:r>
      <w:r w:rsidR="001C2CFE">
        <w:t>het ter beschikking stellen</w:t>
      </w:r>
      <w:r w:rsidRPr="00AF1D52">
        <w:t xml:space="preserve"> van lig- en bergplaatsen </w:t>
      </w:r>
      <w:r w:rsidR="00AC3247">
        <w:t>voor</w:t>
      </w:r>
      <w:r w:rsidRPr="00AF1D52">
        <w:t xml:space="preserve"> vaartuigen die op grond van objectieve kenmerken niet geschikt zijn voor sportbeoefening;.</w:t>
      </w:r>
    </w:p>
    <w:p w:rsidR="00462174" w:rsidRDefault="00462174" w:rsidP="00AF1D52">
      <w:r>
        <w:t>2. Het vierde lid komt te luiden:</w:t>
      </w:r>
    </w:p>
    <w:p w:rsidR="00462174" w:rsidRDefault="00462174" w:rsidP="00AF1D52">
      <w:r>
        <w:t>4. Onder een bouwterrein als bedoeld in het eerste lid, onderdeel a, onder 1</w:t>
      </w:r>
      <w:r w:rsidRPr="00AF1D52">
        <w:rPr>
          <w:bCs/>
        </w:rPr>
        <w:t>°</w:t>
      </w:r>
      <w:r>
        <w:rPr>
          <w:bCs/>
        </w:rPr>
        <w:t xml:space="preserve">, wordt verstaan onbebouwde grond die </w:t>
      </w:r>
      <w:r w:rsidR="007C1BF2">
        <w:rPr>
          <w:bCs/>
        </w:rPr>
        <w:t xml:space="preserve">kennelijk </w:t>
      </w:r>
      <w:r>
        <w:rPr>
          <w:bCs/>
        </w:rPr>
        <w:t>bestemd is om te worden bebouwd met een of meer gebouwen.</w:t>
      </w:r>
    </w:p>
    <w:p w:rsidR="00AF1D52" w:rsidRDefault="00AF1D52" w:rsidP="00AF1D52"/>
    <w:p w:rsidR="00DA1F54" w:rsidRDefault="00DA1F54" w:rsidP="00DA1F54">
      <w:pPr>
        <w:pStyle w:val="Artikel"/>
      </w:pPr>
      <w:r>
        <w:t xml:space="preserve">Artikel </w:t>
      </w:r>
      <w:r w:rsidR="00792062">
        <w:t>XI</w:t>
      </w:r>
    </w:p>
    <w:p w:rsidR="00DA1F54" w:rsidRDefault="00DA1F54" w:rsidP="00DA1F54"/>
    <w:p w:rsidR="00DA1F54" w:rsidRDefault="00B53FBD" w:rsidP="00DA1F54">
      <w:r>
        <w:t>In d</w:t>
      </w:r>
      <w:r w:rsidR="00DA1F54" w:rsidRPr="00DA1F54">
        <w:t xml:space="preserve">e Wet belastingen op milieugrondslag wordt </w:t>
      </w:r>
      <w:r w:rsidRPr="00B53FBD">
        <w:rPr>
          <w:b/>
        </w:rPr>
        <w:t>artikel 28</w:t>
      </w:r>
      <w:r>
        <w:t xml:space="preserve">, eerste lid, </w:t>
      </w:r>
      <w:r w:rsidR="00DA1F54" w:rsidRPr="00DA1F54">
        <w:t>als volgt gewijzigd:</w:t>
      </w:r>
    </w:p>
    <w:p w:rsidR="00DA1F54" w:rsidRDefault="00DA1F54" w:rsidP="00DA1F54"/>
    <w:p w:rsidR="00DA1F54" w:rsidRDefault="00B53FBD" w:rsidP="00DA1F54">
      <w:r>
        <w:t xml:space="preserve">1. </w:t>
      </w:r>
      <w:r w:rsidR="00DA1F54" w:rsidRPr="00DA1F54">
        <w:t xml:space="preserve">In </w:t>
      </w:r>
      <w:r w:rsidR="003545CD">
        <w:t xml:space="preserve">de </w:t>
      </w:r>
      <w:r>
        <w:t>onderdelen a en b</w:t>
      </w:r>
      <w:r w:rsidR="00DA1F54" w:rsidRPr="00DA1F54">
        <w:t xml:space="preserve"> wordt “€ 13,07 per 1.000 kilogram” vervangen door:</w:t>
      </w:r>
      <w:r w:rsidR="007C40F5">
        <w:t xml:space="preserve"> </w:t>
      </w:r>
      <w:r w:rsidR="00DA1F54" w:rsidRPr="00DA1F54">
        <w:t>€ 14,22 per 1.000 kilogram.</w:t>
      </w:r>
    </w:p>
    <w:p w:rsidR="00B53FBD" w:rsidRDefault="00B53FBD" w:rsidP="00DA1F54">
      <w:r>
        <w:t>2. In onderdeel d wordt “13,07 per 1.000 kilogram” vervangen door: nihil.</w:t>
      </w:r>
    </w:p>
    <w:p w:rsidR="00DA1F54" w:rsidRDefault="00DA1F54" w:rsidP="00DA1F54"/>
    <w:p w:rsidR="0077559A" w:rsidRDefault="0077559A" w:rsidP="0077559A">
      <w:pPr>
        <w:pStyle w:val="Artikel"/>
      </w:pPr>
      <w:r>
        <w:t xml:space="preserve">Artikel </w:t>
      </w:r>
      <w:r w:rsidR="00792062">
        <w:t>XII</w:t>
      </w:r>
    </w:p>
    <w:p w:rsidR="0077559A" w:rsidRDefault="0077559A" w:rsidP="0077559A"/>
    <w:p w:rsidR="0077559A" w:rsidRDefault="0077559A" w:rsidP="0077559A">
      <w:r w:rsidRPr="0077559A">
        <w:t xml:space="preserve">In het Belastingplan 2012 wordt aan </w:t>
      </w:r>
      <w:r w:rsidRPr="007628F4">
        <w:rPr>
          <w:b/>
        </w:rPr>
        <w:t>artikel XXXVIII</w:t>
      </w:r>
      <w:r w:rsidRPr="0077559A">
        <w:t xml:space="preserve"> een lid toegevoegd, luidende:</w:t>
      </w:r>
    </w:p>
    <w:p w:rsidR="0077559A" w:rsidRDefault="0077559A" w:rsidP="0077559A">
      <w:r w:rsidRPr="0077559A">
        <w:t xml:space="preserve">4. Het eerste lid, onderdeel e, vindt geen toepassing indien de fiscale eenheid, bedoeld in dat onderdeel, op enig tijdstip na </w:t>
      </w:r>
      <w:r w:rsidR="00220C6F">
        <w:t>31 december 2016</w:t>
      </w:r>
      <w:r w:rsidRPr="0077559A">
        <w:t xml:space="preserve"> deel is gaan uitmaken van een andere fiscale eenheid.</w:t>
      </w:r>
    </w:p>
    <w:p w:rsidR="0077559A" w:rsidRDefault="0077559A" w:rsidP="0077559A"/>
    <w:p w:rsidR="003276A7" w:rsidRDefault="003276A7" w:rsidP="003276A7">
      <w:pPr>
        <w:pStyle w:val="Artikel"/>
      </w:pPr>
      <w:r>
        <w:t xml:space="preserve">Artikel </w:t>
      </w:r>
      <w:r w:rsidR="00792062">
        <w:t>XIII</w:t>
      </w:r>
    </w:p>
    <w:p w:rsidR="003276A7" w:rsidRDefault="003276A7" w:rsidP="003276A7"/>
    <w:p w:rsidR="003276A7" w:rsidRDefault="003276A7" w:rsidP="003276A7">
      <w:r w:rsidRPr="003276A7">
        <w:t xml:space="preserve">In het Belastingplan 2016 vervalt in </w:t>
      </w:r>
      <w:r w:rsidRPr="003276A7">
        <w:rPr>
          <w:b/>
        </w:rPr>
        <w:t>artikel III</w:t>
      </w:r>
      <w:r w:rsidRPr="003276A7">
        <w:t>, onderdeel B, de tweede volzin.</w:t>
      </w:r>
    </w:p>
    <w:p w:rsidR="003276A7" w:rsidRDefault="003276A7" w:rsidP="003276A7"/>
    <w:p w:rsidR="004F5BE8" w:rsidRDefault="004F5BE8" w:rsidP="004F5BE8">
      <w:pPr>
        <w:pStyle w:val="Artikel"/>
      </w:pPr>
      <w:r>
        <w:t xml:space="preserve">Artikel </w:t>
      </w:r>
      <w:r w:rsidR="00792062">
        <w:t>XIV</w:t>
      </w:r>
    </w:p>
    <w:p w:rsidR="004F5BE8" w:rsidRDefault="004F5BE8" w:rsidP="004F5BE8"/>
    <w:p w:rsidR="004F5BE8" w:rsidRPr="002E0727" w:rsidRDefault="000F0F0C" w:rsidP="004F5BE8">
      <w:r w:rsidRPr="002E0727">
        <w:t>Artikel 4.1</w:t>
      </w:r>
      <w:r w:rsidR="004F5BE8" w:rsidRPr="002E0727">
        <w:t xml:space="preserve">6, eerste lid, </w:t>
      </w:r>
      <w:r w:rsidRPr="002E0727">
        <w:t xml:space="preserve">aanhef en onderdeel k, </w:t>
      </w:r>
      <w:r w:rsidR="004F5BE8" w:rsidRPr="002E0727">
        <w:t xml:space="preserve">van de Wet inkomstenbelasting 2001 </w:t>
      </w:r>
      <w:r w:rsidRPr="002E0727">
        <w:t>is niet van toepassing indien de toepassing van artikel 4.13, eerste lid, onderdeel a, van die wet het gevolg is van een vóó</w:t>
      </w:r>
      <w:r w:rsidR="004F5BE8" w:rsidRPr="002E0727">
        <w:t xml:space="preserve">r </w:t>
      </w:r>
      <w:r w:rsidRPr="002E0727">
        <w:t>20 september 2016, 15.15 uur, ingediend verzoek</w:t>
      </w:r>
      <w:r w:rsidR="004F5BE8" w:rsidRPr="002E0727">
        <w:t xml:space="preserve"> als</w:t>
      </w:r>
      <w:r w:rsidRPr="002E0727">
        <w:t xml:space="preserve"> bedoeld in artikel 6a, eerste</w:t>
      </w:r>
      <w:r w:rsidR="004F5BE8" w:rsidRPr="002E0727">
        <w:t xml:space="preserve"> lid, van de Wet op de vennoots</w:t>
      </w:r>
      <w:r w:rsidRPr="002E0727">
        <w:t>chapsbelasting 1969.</w:t>
      </w:r>
    </w:p>
    <w:p w:rsidR="004F5BE8" w:rsidRPr="002E0727" w:rsidRDefault="004F5BE8" w:rsidP="004F5BE8"/>
    <w:p w:rsidR="00C16A65" w:rsidRDefault="00C16A65" w:rsidP="00C16A65">
      <w:pPr>
        <w:pStyle w:val="Artikel"/>
      </w:pPr>
      <w:r>
        <w:t xml:space="preserve">Artikel </w:t>
      </w:r>
      <w:r w:rsidR="00792062">
        <w:t>XV</w:t>
      </w:r>
    </w:p>
    <w:p w:rsidR="00C16A65" w:rsidRDefault="00C16A65" w:rsidP="00C16A65"/>
    <w:p w:rsidR="00C16A65" w:rsidRDefault="00C16A65" w:rsidP="00C16A65">
      <w:r w:rsidRPr="00C16A65">
        <w:t>Ingeval de samenloop van wetten die in 201</w:t>
      </w:r>
      <w:r>
        <w:t>6</w:t>
      </w:r>
      <w:r w:rsidRPr="00C16A65">
        <w:t xml:space="preserve">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C16A65" w:rsidRDefault="00C16A65" w:rsidP="003276A7"/>
    <w:p w:rsidR="00C16A65" w:rsidRDefault="00C16A65" w:rsidP="00C16A65">
      <w:pPr>
        <w:pStyle w:val="Artikel"/>
      </w:pPr>
      <w:r>
        <w:t xml:space="preserve">Artikel </w:t>
      </w:r>
      <w:r w:rsidR="00792062">
        <w:t>XVI</w:t>
      </w:r>
    </w:p>
    <w:p w:rsidR="00C16A65" w:rsidRDefault="00C16A65" w:rsidP="00C16A65"/>
    <w:p w:rsidR="00C16A65" w:rsidRDefault="00C16A65" w:rsidP="00C16A65">
      <w:r w:rsidRPr="00C16A65">
        <w:t>1. Onder toepassing van artikel 12 van de Wet raadgevend referendum treedt deze wet in werking met ingang van 1 januari 201</w:t>
      </w:r>
      <w:r>
        <w:t>7</w:t>
      </w:r>
      <w:r w:rsidRPr="00C16A65">
        <w:t>, met dien verstande dat:</w:t>
      </w:r>
    </w:p>
    <w:p w:rsidR="0050173D" w:rsidRDefault="0050173D" w:rsidP="00C16A65">
      <w:r>
        <w:t xml:space="preserve">a. </w:t>
      </w:r>
      <w:r w:rsidRPr="0050173D">
        <w:t xml:space="preserve">artikel </w:t>
      </w:r>
      <w:r w:rsidR="00792062">
        <w:t>I</w:t>
      </w:r>
      <w:r>
        <w:t xml:space="preserve">, onderdelen </w:t>
      </w:r>
      <w:r w:rsidR="00792062">
        <w:t>A</w:t>
      </w:r>
      <w:r>
        <w:t xml:space="preserve"> en </w:t>
      </w:r>
      <w:r w:rsidR="00792062">
        <w:t>B</w:t>
      </w:r>
      <w:r w:rsidRPr="0050173D">
        <w:t>, eerst toepassing vindt nadat artikel 10.1 van de Wet inkomstenbelasting 2001 bij het begin van het kalenderjaar 2017 is toegepast;</w:t>
      </w:r>
    </w:p>
    <w:p w:rsidR="0050173D" w:rsidRPr="0050173D" w:rsidRDefault="0050173D" w:rsidP="0050173D">
      <w:r w:rsidRPr="0050173D">
        <w:t xml:space="preserve">b. artikel </w:t>
      </w:r>
      <w:r w:rsidR="00792062">
        <w:t>I</w:t>
      </w:r>
      <w:r w:rsidRPr="0050173D">
        <w:t xml:space="preserve">, onderdeel </w:t>
      </w:r>
      <w:r w:rsidR="00792062">
        <w:t>J</w:t>
      </w:r>
      <w:r w:rsidRPr="0050173D">
        <w:t>, eerst toepassing vindt nadat artikel 10.1 van de Wet inkomstenbelasting 2001 en artikel IV, onderdeel A, van het Belastingplan 2014 bij het begin van het kalenderjaar 2017 zijn toegepast;</w:t>
      </w:r>
    </w:p>
    <w:p w:rsidR="0050173D" w:rsidRPr="0050173D" w:rsidRDefault="0050173D" w:rsidP="0050173D">
      <w:r w:rsidRPr="0050173D">
        <w:t xml:space="preserve">c. artikel </w:t>
      </w:r>
      <w:r w:rsidR="00792062">
        <w:t>I</w:t>
      </w:r>
      <w:r w:rsidRPr="0050173D">
        <w:t xml:space="preserve">, onderdeel </w:t>
      </w:r>
      <w:r w:rsidR="00792062">
        <w:t>K</w:t>
      </w:r>
      <w:r w:rsidRPr="0050173D">
        <w:t>, eerst toepassing vindt nadat artikel 10.1 van de Wet inkomstenbelasting 2001 en artikel IV, onderdeel B, van het Belastingplan 2014 bij het begin van het kalenderjaar 2017 zijn toegepast;</w:t>
      </w:r>
    </w:p>
    <w:p w:rsidR="0050173D" w:rsidRDefault="0050173D" w:rsidP="0050173D">
      <w:r w:rsidRPr="0050173D">
        <w:t xml:space="preserve">d. artikel </w:t>
      </w:r>
      <w:r w:rsidR="00792062">
        <w:t>I</w:t>
      </w:r>
      <w:r w:rsidRPr="0050173D">
        <w:t xml:space="preserve">, onderdelen </w:t>
      </w:r>
      <w:r w:rsidR="00792062">
        <w:t>L</w:t>
      </w:r>
      <w:r>
        <w:t xml:space="preserve"> en </w:t>
      </w:r>
      <w:r w:rsidR="00792062">
        <w:t>N</w:t>
      </w:r>
      <w:r w:rsidRPr="0050173D">
        <w:t>, eerst toepassing vindt nadat artikel 10.1 van de Wet inkomstenbelasting 2001 bij het begin van het kalenderjaar 2017 is toegepast;</w:t>
      </w:r>
    </w:p>
    <w:p w:rsidR="006F6C39" w:rsidRDefault="006F6C39" w:rsidP="006F6C39">
      <w:pPr>
        <w:rPr>
          <w:szCs w:val="18"/>
        </w:rPr>
      </w:pPr>
      <w:r>
        <w:rPr>
          <w:szCs w:val="18"/>
        </w:rPr>
        <w:t xml:space="preserve">e. artikel </w:t>
      </w:r>
      <w:r w:rsidR="00792062">
        <w:rPr>
          <w:szCs w:val="18"/>
        </w:rPr>
        <w:t>II</w:t>
      </w:r>
      <w:r>
        <w:rPr>
          <w:szCs w:val="18"/>
        </w:rPr>
        <w:t xml:space="preserve">, onderdelen </w:t>
      </w:r>
      <w:r w:rsidR="00792062">
        <w:rPr>
          <w:szCs w:val="18"/>
        </w:rPr>
        <w:t>C</w:t>
      </w:r>
      <w:r>
        <w:rPr>
          <w:szCs w:val="18"/>
        </w:rPr>
        <w:t xml:space="preserve"> en </w:t>
      </w:r>
      <w:r w:rsidR="00792062">
        <w:rPr>
          <w:szCs w:val="18"/>
        </w:rPr>
        <w:t>D</w:t>
      </w:r>
      <w:r>
        <w:rPr>
          <w:szCs w:val="18"/>
        </w:rPr>
        <w:t>, eerst toepassing vindt nadat de artikelen 20a, tweede lid, en 20b, tweede lid, van de Wet op de loonbelasting 1964 bij het begin van het kalenderjaar 2017 zijn toegepast;</w:t>
      </w:r>
    </w:p>
    <w:p w:rsidR="006F6C39" w:rsidRDefault="006F6C39" w:rsidP="006F6C39">
      <w:pPr>
        <w:rPr>
          <w:szCs w:val="18"/>
        </w:rPr>
      </w:pPr>
      <w:r>
        <w:rPr>
          <w:szCs w:val="18"/>
        </w:rPr>
        <w:t xml:space="preserve">f. artikel </w:t>
      </w:r>
      <w:r w:rsidR="00792062">
        <w:rPr>
          <w:szCs w:val="18"/>
        </w:rPr>
        <w:t>II</w:t>
      </w:r>
      <w:r>
        <w:rPr>
          <w:szCs w:val="18"/>
        </w:rPr>
        <w:t xml:space="preserve">, onderdeel </w:t>
      </w:r>
      <w:r w:rsidR="00792062">
        <w:rPr>
          <w:szCs w:val="18"/>
        </w:rPr>
        <w:t>E</w:t>
      </w:r>
      <w:r>
        <w:rPr>
          <w:szCs w:val="18"/>
        </w:rPr>
        <w:t>, eerst toepassing vindt nadat artikel 22d van de Wet op de loonbelasting 1964 en artikel VIII, onderdeel A, van het Belastingplan 2014 bij het begin van het kalenderjaar 2017 zijn toegepast;</w:t>
      </w:r>
    </w:p>
    <w:p w:rsidR="006F6C39" w:rsidRDefault="006F6C39" w:rsidP="006F6C39">
      <w:pPr>
        <w:rPr>
          <w:szCs w:val="18"/>
        </w:rPr>
      </w:pPr>
      <w:r>
        <w:rPr>
          <w:szCs w:val="18"/>
        </w:rPr>
        <w:t xml:space="preserve">g. artikel </w:t>
      </w:r>
      <w:r w:rsidR="00792062">
        <w:rPr>
          <w:szCs w:val="18"/>
        </w:rPr>
        <w:t>II</w:t>
      </w:r>
      <w:r>
        <w:rPr>
          <w:szCs w:val="18"/>
        </w:rPr>
        <w:t xml:space="preserve">, onderdeel </w:t>
      </w:r>
      <w:r w:rsidR="00792062">
        <w:rPr>
          <w:szCs w:val="18"/>
        </w:rPr>
        <w:t>F</w:t>
      </w:r>
      <w:r>
        <w:rPr>
          <w:szCs w:val="18"/>
        </w:rPr>
        <w:t>, eerst toepassing vindt nadat artikel 22d van de Wet op de loonbelasting 1964 en artikel VIII, onderdeel B, van het Belastingplan 2014 bij het begin van het kalenderjaar 2017 zijn toegepast;</w:t>
      </w:r>
    </w:p>
    <w:p w:rsidR="006F6C39" w:rsidRDefault="006F6C39" w:rsidP="006F6C39">
      <w:pPr>
        <w:rPr>
          <w:szCs w:val="18"/>
        </w:rPr>
      </w:pPr>
      <w:r>
        <w:rPr>
          <w:szCs w:val="18"/>
        </w:rPr>
        <w:t xml:space="preserve">h. artikel </w:t>
      </w:r>
      <w:r w:rsidR="00792062">
        <w:rPr>
          <w:szCs w:val="18"/>
        </w:rPr>
        <w:t>II</w:t>
      </w:r>
      <w:r>
        <w:rPr>
          <w:szCs w:val="18"/>
        </w:rPr>
        <w:t xml:space="preserve">, onderdeel </w:t>
      </w:r>
      <w:r w:rsidR="00792062">
        <w:rPr>
          <w:szCs w:val="18"/>
        </w:rPr>
        <w:t>G</w:t>
      </w:r>
      <w:r>
        <w:rPr>
          <w:szCs w:val="18"/>
        </w:rPr>
        <w:t>, eerst toepassing vindt nadat artikel 22d van de Wet op de loonbelasting 1964 bij het begin van het</w:t>
      </w:r>
      <w:r w:rsidR="0045392F">
        <w:rPr>
          <w:szCs w:val="18"/>
        </w:rPr>
        <w:t xml:space="preserve"> kalenderjaar 2017 is toegepast;</w:t>
      </w:r>
    </w:p>
    <w:p w:rsidR="00C16A65" w:rsidRDefault="006F6C39" w:rsidP="006F6C39">
      <w:r>
        <w:t>i</w:t>
      </w:r>
      <w:r w:rsidR="00C16A65">
        <w:t xml:space="preserve">. </w:t>
      </w:r>
      <w:r w:rsidR="00DC3D21" w:rsidRPr="00DC3D21">
        <w:t xml:space="preserve">artikel </w:t>
      </w:r>
      <w:r w:rsidR="00792062">
        <w:t>IV</w:t>
      </w:r>
      <w:r w:rsidR="00FE46AA">
        <w:t xml:space="preserve"> </w:t>
      </w:r>
      <w:r w:rsidR="00DC3D21" w:rsidRPr="00DC3D21">
        <w:t>voor het eerst toepassing vindt met betrekking tot boekjaren die aa</w:t>
      </w:r>
      <w:r w:rsidR="007628F4">
        <w:t>nvangen op of na 1 januari 2017;</w:t>
      </w:r>
    </w:p>
    <w:p w:rsidR="00FE46AA" w:rsidRDefault="006F6C39" w:rsidP="003A20CB">
      <w:r>
        <w:t>j</w:t>
      </w:r>
      <w:r w:rsidR="00DC3D21">
        <w:t xml:space="preserve">. artikel </w:t>
      </w:r>
      <w:r w:rsidR="00BE2EC7">
        <w:t>34d, eerste lid,</w:t>
      </w:r>
      <w:r w:rsidR="00FD4191">
        <w:t xml:space="preserve"> van de Wet op de vennootschapsbelasting 1969,</w:t>
      </w:r>
      <w:r w:rsidR="00BE2EC7">
        <w:t xml:space="preserve"> zoals dat luidt op 30 juni 2021, voor het laatst toepassing vindt met betrekking tot het laatste boekjaar dat eindigt vóór</w:t>
      </w:r>
      <w:r w:rsidR="008411DE">
        <w:t xml:space="preserve"> 1 juli 2021</w:t>
      </w:r>
      <w:r w:rsidR="00FE46AA">
        <w:t>;</w:t>
      </w:r>
    </w:p>
    <w:p w:rsidR="00C16A65" w:rsidRDefault="006F6C39" w:rsidP="003A20CB">
      <w:r>
        <w:t>k</w:t>
      </w:r>
      <w:r w:rsidR="00FE46AA">
        <w:t xml:space="preserve">. artikel </w:t>
      </w:r>
      <w:r w:rsidR="00792062">
        <w:t>XII</w:t>
      </w:r>
      <w:r w:rsidR="001A1BAD">
        <w:t xml:space="preserve"> </w:t>
      </w:r>
      <w:r w:rsidR="00FE46AA">
        <w:t>voor het eerst toepassing vindt met betrekking tot boekjaren die aanvangen op of na 1 januari 2017</w:t>
      </w:r>
      <w:r w:rsidR="008411DE">
        <w:t>.</w:t>
      </w:r>
    </w:p>
    <w:p w:rsidR="00D63E65" w:rsidRDefault="00D63E65" w:rsidP="00D63E65">
      <w:r>
        <w:t>2</w:t>
      </w:r>
      <w:r w:rsidRPr="00DA1F54">
        <w:t xml:space="preserve">. </w:t>
      </w:r>
      <w:r>
        <w:t xml:space="preserve">Artikel </w:t>
      </w:r>
      <w:r w:rsidR="00792062">
        <w:t>XI</w:t>
      </w:r>
      <w:r w:rsidRPr="00DA1F54">
        <w:t>, onder</w:t>
      </w:r>
      <w:r>
        <w:t xml:space="preserve"> 2</w:t>
      </w:r>
      <w:r w:rsidRPr="00DA1F54">
        <w:t>, werk</w:t>
      </w:r>
      <w:r w:rsidR="00C8471C">
        <w:t>t</w:t>
      </w:r>
      <w:r w:rsidRPr="00DA1F54">
        <w:t xml:space="preserve"> terug tot en met 1 juli 2015.</w:t>
      </w:r>
    </w:p>
    <w:p w:rsidR="004F5BE8" w:rsidRDefault="00D63E65" w:rsidP="003A20CB">
      <w:r>
        <w:t>3</w:t>
      </w:r>
      <w:r w:rsidR="004F5BE8" w:rsidRPr="006F6C39">
        <w:t xml:space="preserve">. Artikel </w:t>
      </w:r>
      <w:r w:rsidR="00792062">
        <w:t>I</w:t>
      </w:r>
      <w:r w:rsidR="004F5BE8" w:rsidRPr="006F6C39">
        <w:t>, onderdelen</w:t>
      </w:r>
      <w:r w:rsidR="00267EFC" w:rsidRPr="006F6C39">
        <w:t xml:space="preserve"> </w:t>
      </w:r>
      <w:r w:rsidR="00792062">
        <w:t>D</w:t>
      </w:r>
      <w:r w:rsidR="0008722D" w:rsidRPr="006F6C39">
        <w:t xml:space="preserve">, </w:t>
      </w:r>
      <w:r w:rsidR="00792062">
        <w:t>F</w:t>
      </w:r>
      <w:r w:rsidR="0079698F">
        <w:t xml:space="preserve">, </w:t>
      </w:r>
      <w:r w:rsidR="00792062">
        <w:t>G</w:t>
      </w:r>
      <w:r w:rsidR="00FB5FD5" w:rsidRPr="006F6C39">
        <w:t xml:space="preserve"> en</w:t>
      </w:r>
      <w:r w:rsidR="0008722D" w:rsidRPr="006F6C39">
        <w:t xml:space="preserve"> </w:t>
      </w:r>
      <w:r w:rsidR="00792062">
        <w:t>O</w:t>
      </w:r>
      <w:r w:rsidR="00B9052A" w:rsidRPr="006F6C39">
        <w:t>,</w:t>
      </w:r>
      <w:r w:rsidR="008411DE" w:rsidRPr="006F6C39">
        <w:t xml:space="preserve"> en artikel </w:t>
      </w:r>
      <w:r w:rsidR="00792062">
        <w:t>XIV</w:t>
      </w:r>
      <w:r w:rsidR="0008722D" w:rsidRPr="006F6C39">
        <w:t xml:space="preserve"> </w:t>
      </w:r>
      <w:r w:rsidR="006076B0" w:rsidRPr="006F6C39">
        <w:t>werken</w:t>
      </w:r>
      <w:r w:rsidR="004F5BE8" w:rsidRPr="006F6C39">
        <w:t xml:space="preserve"> terug tot en met 20 september 2016</w:t>
      </w:r>
      <w:r w:rsidR="002C0B9B" w:rsidRPr="006F6C39">
        <w:t>, 15:15 uur.</w:t>
      </w:r>
    </w:p>
    <w:p w:rsidR="00D63E65" w:rsidRDefault="00D63E65" w:rsidP="00D63E65"/>
    <w:p w:rsidR="00C16A65" w:rsidRDefault="00C16A65" w:rsidP="00C16A65">
      <w:pPr>
        <w:pStyle w:val="Artikel"/>
      </w:pPr>
      <w:r>
        <w:t xml:space="preserve">Artikel </w:t>
      </w:r>
      <w:r w:rsidR="00792062">
        <w:t>XVII</w:t>
      </w:r>
    </w:p>
    <w:p w:rsidR="00C16A65" w:rsidRDefault="00C16A65" w:rsidP="00C16A65"/>
    <w:p w:rsidR="00E5504E" w:rsidRDefault="00C16A65" w:rsidP="00385DE5">
      <w:r w:rsidRPr="00C16A65">
        <w:t>Deze wet wordt aa</w:t>
      </w:r>
      <w:r>
        <w:t>ngehaald als: Belastingplan 2017</w:t>
      </w:r>
      <w:r w:rsidRPr="00C16A65">
        <w:t>.</w:t>
      </w:r>
    </w:p>
    <w:p w:rsidR="00E5504E" w:rsidRDefault="00E5504E">
      <w:pPr>
        <w:spacing w:line="240" w:lineRule="auto"/>
        <w:ind w:firstLine="0"/>
      </w:pPr>
      <w:r>
        <w:br w:type="page"/>
      </w:r>
    </w:p>
    <w:p w:rsidR="00E5504E" w:rsidRDefault="00E5504E" w:rsidP="00E5504E">
      <w:r w:rsidRPr="00821E7F">
        <w:t>Lasten en bevelen dat deze in het Staatsblad zal worden geplaatst en dat alle ministeries, autoriteiten, colleges en ambtenaren die zulks aangaat, aan de nauwkeurige uitvoering de hand zullen houden</w:t>
      </w:r>
      <w:r>
        <w:t>.</w:t>
      </w:r>
    </w:p>
    <w:p w:rsidR="00E5504E" w:rsidRDefault="00E5504E" w:rsidP="00E5504E"/>
    <w:p w:rsidR="00E5504E" w:rsidRPr="005467AE" w:rsidRDefault="00E5504E" w:rsidP="00E5504E">
      <w:r w:rsidRPr="005467AE">
        <w:t>Gegeven</w:t>
      </w:r>
    </w:p>
    <w:p w:rsidR="00E5504E" w:rsidRPr="005467AE" w:rsidRDefault="00E5504E" w:rsidP="00E5504E"/>
    <w:p w:rsidR="00E5504E" w:rsidRPr="005467AE" w:rsidRDefault="00E5504E" w:rsidP="00E5504E"/>
    <w:p w:rsidR="00E5504E" w:rsidRPr="005467AE" w:rsidRDefault="00E5504E" w:rsidP="00E5504E"/>
    <w:p w:rsidR="00E5504E" w:rsidRPr="005467AE" w:rsidRDefault="00E5504E" w:rsidP="00E5504E"/>
    <w:p w:rsidR="00E5504E" w:rsidRPr="005467AE" w:rsidRDefault="00E5504E" w:rsidP="00E5504E"/>
    <w:p w:rsidR="00E5504E" w:rsidRPr="005467AE" w:rsidRDefault="00E5504E" w:rsidP="00E5504E">
      <w:r w:rsidRPr="005467AE">
        <w:t>De Minister van Financiën,</w:t>
      </w:r>
    </w:p>
    <w:p w:rsidR="00E5504E" w:rsidRPr="005467AE" w:rsidRDefault="00E5504E" w:rsidP="00E5504E"/>
    <w:p w:rsidR="00E5504E" w:rsidRPr="005467AE" w:rsidRDefault="00E5504E" w:rsidP="00E5504E"/>
    <w:p w:rsidR="00E5504E" w:rsidRPr="005467AE" w:rsidRDefault="00E5504E" w:rsidP="00E5504E"/>
    <w:p w:rsidR="00E5504E" w:rsidRPr="005467AE" w:rsidRDefault="00E5504E" w:rsidP="00E5504E"/>
    <w:p w:rsidR="00E5504E" w:rsidRPr="005467AE" w:rsidRDefault="00E5504E" w:rsidP="00E5504E"/>
    <w:p w:rsidR="00795396" w:rsidRPr="00795396" w:rsidRDefault="00E5504E" w:rsidP="00E5504E">
      <w:r w:rsidRPr="005467AE">
        <w:t>De Staatssecretaris van Financiën,</w:t>
      </w:r>
    </w:p>
    <w:sectPr w:rsidR="00795396" w:rsidRPr="00795396" w:rsidSect="00B31D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78" w:rsidRDefault="00787B78" w:rsidP="00C36510">
      <w:pPr>
        <w:spacing w:line="240" w:lineRule="auto"/>
      </w:pPr>
      <w:r>
        <w:separator/>
      </w:r>
    </w:p>
  </w:endnote>
  <w:endnote w:type="continuationSeparator" w:id="0">
    <w:p w:rsidR="00787B78" w:rsidRDefault="00787B78" w:rsidP="00C365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E" w:rsidRDefault="00E5504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4781"/>
      <w:docPartObj>
        <w:docPartGallery w:val="Page Numbers (Bottom of Page)"/>
        <w:docPartUnique/>
      </w:docPartObj>
    </w:sdtPr>
    <w:sdtContent>
      <w:p w:rsidR="00A02EAA" w:rsidRDefault="00DE1C5F">
        <w:pPr>
          <w:pStyle w:val="Voettekst"/>
          <w:jc w:val="right"/>
        </w:pPr>
        <w:fldSimple w:instr=" PAGE   \* MERGEFORMAT ">
          <w:r w:rsidR="007265B9">
            <w:rPr>
              <w:noProof/>
            </w:rPr>
            <w:t>1</w:t>
          </w:r>
        </w:fldSimple>
      </w:p>
    </w:sdtContent>
  </w:sdt>
  <w:p w:rsidR="00A02EAA" w:rsidRDefault="00A02EA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E" w:rsidRDefault="00E5504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78" w:rsidRDefault="00787B78" w:rsidP="00C36510">
      <w:pPr>
        <w:spacing w:line="240" w:lineRule="auto"/>
      </w:pPr>
      <w:r>
        <w:separator/>
      </w:r>
    </w:p>
  </w:footnote>
  <w:footnote w:type="continuationSeparator" w:id="0">
    <w:p w:rsidR="00787B78" w:rsidRDefault="00787B78" w:rsidP="00C365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E" w:rsidRDefault="00E5504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E" w:rsidRDefault="00E5504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04E" w:rsidRDefault="00E5504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6510"/>
    <w:rsid w:val="00001060"/>
    <w:rsid w:val="00002183"/>
    <w:rsid w:val="0000579D"/>
    <w:rsid w:val="000113D7"/>
    <w:rsid w:val="00013DCB"/>
    <w:rsid w:val="00016BAA"/>
    <w:rsid w:val="00016F92"/>
    <w:rsid w:val="00021D58"/>
    <w:rsid w:val="00021DD7"/>
    <w:rsid w:val="00025E39"/>
    <w:rsid w:val="00026806"/>
    <w:rsid w:val="00027D8A"/>
    <w:rsid w:val="00034286"/>
    <w:rsid w:val="00034913"/>
    <w:rsid w:val="000353F4"/>
    <w:rsid w:val="00036F07"/>
    <w:rsid w:val="00037560"/>
    <w:rsid w:val="00040B6D"/>
    <w:rsid w:val="00042DC7"/>
    <w:rsid w:val="0004446A"/>
    <w:rsid w:val="0004477D"/>
    <w:rsid w:val="0004539D"/>
    <w:rsid w:val="0005645A"/>
    <w:rsid w:val="00060F53"/>
    <w:rsid w:val="00062EE9"/>
    <w:rsid w:val="000644FA"/>
    <w:rsid w:val="00064DDA"/>
    <w:rsid w:val="00064E7C"/>
    <w:rsid w:val="000676AE"/>
    <w:rsid w:val="00067D94"/>
    <w:rsid w:val="00071F9A"/>
    <w:rsid w:val="00072084"/>
    <w:rsid w:val="0007354B"/>
    <w:rsid w:val="000803BD"/>
    <w:rsid w:val="00086536"/>
    <w:rsid w:val="0008722D"/>
    <w:rsid w:val="000900E1"/>
    <w:rsid w:val="00090AD2"/>
    <w:rsid w:val="000917A6"/>
    <w:rsid w:val="00091ED3"/>
    <w:rsid w:val="00093DF3"/>
    <w:rsid w:val="000A3FC1"/>
    <w:rsid w:val="000A5E1C"/>
    <w:rsid w:val="000B63E5"/>
    <w:rsid w:val="000B7961"/>
    <w:rsid w:val="000C0CCA"/>
    <w:rsid w:val="000C2984"/>
    <w:rsid w:val="000C6511"/>
    <w:rsid w:val="000D052C"/>
    <w:rsid w:val="000D5EB9"/>
    <w:rsid w:val="000D7B9D"/>
    <w:rsid w:val="000E1D36"/>
    <w:rsid w:val="000E201D"/>
    <w:rsid w:val="000E342B"/>
    <w:rsid w:val="000E3A38"/>
    <w:rsid w:val="000E45A1"/>
    <w:rsid w:val="000F0F0C"/>
    <w:rsid w:val="000F2716"/>
    <w:rsid w:val="000F3169"/>
    <w:rsid w:val="000F3701"/>
    <w:rsid w:val="000F52BB"/>
    <w:rsid w:val="000F5CDD"/>
    <w:rsid w:val="000F60DB"/>
    <w:rsid w:val="000F7BC3"/>
    <w:rsid w:val="000F7F5D"/>
    <w:rsid w:val="001030B2"/>
    <w:rsid w:val="00106B48"/>
    <w:rsid w:val="0011063A"/>
    <w:rsid w:val="00111745"/>
    <w:rsid w:val="00112FD7"/>
    <w:rsid w:val="001131A0"/>
    <w:rsid w:val="00114DEB"/>
    <w:rsid w:val="001200BF"/>
    <w:rsid w:val="00122E5E"/>
    <w:rsid w:val="00122F7A"/>
    <w:rsid w:val="00123607"/>
    <w:rsid w:val="001263C5"/>
    <w:rsid w:val="00132D55"/>
    <w:rsid w:val="001379E7"/>
    <w:rsid w:val="0014725E"/>
    <w:rsid w:val="0015303F"/>
    <w:rsid w:val="001562DD"/>
    <w:rsid w:val="00161087"/>
    <w:rsid w:val="001630E5"/>
    <w:rsid w:val="0016746E"/>
    <w:rsid w:val="00170BFB"/>
    <w:rsid w:val="00174617"/>
    <w:rsid w:val="001759BE"/>
    <w:rsid w:val="00176B4C"/>
    <w:rsid w:val="00177F70"/>
    <w:rsid w:val="001845B1"/>
    <w:rsid w:val="001851F8"/>
    <w:rsid w:val="00191A2B"/>
    <w:rsid w:val="0019361F"/>
    <w:rsid w:val="00195AEB"/>
    <w:rsid w:val="001A178D"/>
    <w:rsid w:val="001A1BAD"/>
    <w:rsid w:val="001A34D4"/>
    <w:rsid w:val="001A5CBB"/>
    <w:rsid w:val="001A6866"/>
    <w:rsid w:val="001B12D0"/>
    <w:rsid w:val="001B703D"/>
    <w:rsid w:val="001C0796"/>
    <w:rsid w:val="001C2CFE"/>
    <w:rsid w:val="001C5DF1"/>
    <w:rsid w:val="001D1E06"/>
    <w:rsid w:val="001D1E23"/>
    <w:rsid w:val="001D54F5"/>
    <w:rsid w:val="001D6C8C"/>
    <w:rsid w:val="001D7509"/>
    <w:rsid w:val="001D75CB"/>
    <w:rsid w:val="001E11A6"/>
    <w:rsid w:val="001E5EC5"/>
    <w:rsid w:val="001E760B"/>
    <w:rsid w:val="001F2966"/>
    <w:rsid w:val="001F2E3F"/>
    <w:rsid w:val="001F51A8"/>
    <w:rsid w:val="001F5A2B"/>
    <w:rsid w:val="0020325A"/>
    <w:rsid w:val="00207239"/>
    <w:rsid w:val="00207ACD"/>
    <w:rsid w:val="00207F31"/>
    <w:rsid w:val="002104FC"/>
    <w:rsid w:val="002144FE"/>
    <w:rsid w:val="00217673"/>
    <w:rsid w:val="00220C6F"/>
    <w:rsid w:val="00224AEB"/>
    <w:rsid w:val="00225D22"/>
    <w:rsid w:val="00226927"/>
    <w:rsid w:val="00226B3A"/>
    <w:rsid w:val="002313C3"/>
    <w:rsid w:val="00233B84"/>
    <w:rsid w:val="002341C4"/>
    <w:rsid w:val="0023663A"/>
    <w:rsid w:val="002401F7"/>
    <w:rsid w:val="00243A24"/>
    <w:rsid w:val="002507D8"/>
    <w:rsid w:val="002515A0"/>
    <w:rsid w:val="00253336"/>
    <w:rsid w:val="002552C1"/>
    <w:rsid w:val="002601DC"/>
    <w:rsid w:val="00261090"/>
    <w:rsid w:val="00263CF9"/>
    <w:rsid w:val="00265899"/>
    <w:rsid w:val="00267EFC"/>
    <w:rsid w:val="002718C3"/>
    <w:rsid w:val="002720C7"/>
    <w:rsid w:val="002737D0"/>
    <w:rsid w:val="00275978"/>
    <w:rsid w:val="002775C2"/>
    <w:rsid w:val="00277DB4"/>
    <w:rsid w:val="002804B6"/>
    <w:rsid w:val="00280814"/>
    <w:rsid w:val="002853DB"/>
    <w:rsid w:val="00285E99"/>
    <w:rsid w:val="00285EEC"/>
    <w:rsid w:val="00286552"/>
    <w:rsid w:val="00287AA5"/>
    <w:rsid w:val="002907E2"/>
    <w:rsid w:val="0029601F"/>
    <w:rsid w:val="002A4744"/>
    <w:rsid w:val="002B154E"/>
    <w:rsid w:val="002B2D59"/>
    <w:rsid w:val="002B576B"/>
    <w:rsid w:val="002C0B9B"/>
    <w:rsid w:val="002C0F69"/>
    <w:rsid w:val="002C2049"/>
    <w:rsid w:val="002C443B"/>
    <w:rsid w:val="002C5D42"/>
    <w:rsid w:val="002C6598"/>
    <w:rsid w:val="002D3DD2"/>
    <w:rsid w:val="002E0727"/>
    <w:rsid w:val="002E2D31"/>
    <w:rsid w:val="002F1656"/>
    <w:rsid w:val="002F5403"/>
    <w:rsid w:val="00300D42"/>
    <w:rsid w:val="003063C0"/>
    <w:rsid w:val="00307A8E"/>
    <w:rsid w:val="00311238"/>
    <w:rsid w:val="003119B0"/>
    <w:rsid w:val="003139DE"/>
    <w:rsid w:val="003157F5"/>
    <w:rsid w:val="003167C8"/>
    <w:rsid w:val="003205F8"/>
    <w:rsid w:val="003276A7"/>
    <w:rsid w:val="0033356D"/>
    <w:rsid w:val="00336105"/>
    <w:rsid w:val="00344287"/>
    <w:rsid w:val="003447AD"/>
    <w:rsid w:val="00345C4E"/>
    <w:rsid w:val="0035014B"/>
    <w:rsid w:val="003545CD"/>
    <w:rsid w:val="0036410D"/>
    <w:rsid w:val="00370536"/>
    <w:rsid w:val="0037406C"/>
    <w:rsid w:val="0037506A"/>
    <w:rsid w:val="00385DE5"/>
    <w:rsid w:val="0039004B"/>
    <w:rsid w:val="003919C6"/>
    <w:rsid w:val="0039351C"/>
    <w:rsid w:val="003937E1"/>
    <w:rsid w:val="003A20CB"/>
    <w:rsid w:val="003A317B"/>
    <w:rsid w:val="003A3448"/>
    <w:rsid w:val="003A35AC"/>
    <w:rsid w:val="003A4788"/>
    <w:rsid w:val="003C527E"/>
    <w:rsid w:val="003C7B73"/>
    <w:rsid w:val="003D1293"/>
    <w:rsid w:val="003D6B04"/>
    <w:rsid w:val="003E3CAD"/>
    <w:rsid w:val="003E479C"/>
    <w:rsid w:val="003E6B0A"/>
    <w:rsid w:val="003E7061"/>
    <w:rsid w:val="003F0DED"/>
    <w:rsid w:val="003F54C5"/>
    <w:rsid w:val="003F6E87"/>
    <w:rsid w:val="00410259"/>
    <w:rsid w:val="0041562D"/>
    <w:rsid w:val="0041646D"/>
    <w:rsid w:val="00417CE5"/>
    <w:rsid w:val="0042081E"/>
    <w:rsid w:val="00421A78"/>
    <w:rsid w:val="0042352D"/>
    <w:rsid w:val="00423CD8"/>
    <w:rsid w:val="00424F76"/>
    <w:rsid w:val="0042781C"/>
    <w:rsid w:val="00430CC9"/>
    <w:rsid w:val="004344EB"/>
    <w:rsid w:val="00441FAC"/>
    <w:rsid w:val="00450A2E"/>
    <w:rsid w:val="0045392F"/>
    <w:rsid w:val="00455E21"/>
    <w:rsid w:val="00456A8A"/>
    <w:rsid w:val="004600E6"/>
    <w:rsid w:val="0046037D"/>
    <w:rsid w:val="00462174"/>
    <w:rsid w:val="00466E72"/>
    <w:rsid w:val="00467B1F"/>
    <w:rsid w:val="004714A8"/>
    <w:rsid w:val="0047468A"/>
    <w:rsid w:val="00482C7C"/>
    <w:rsid w:val="0048557A"/>
    <w:rsid w:val="00485AD1"/>
    <w:rsid w:val="00490DCC"/>
    <w:rsid w:val="004914AE"/>
    <w:rsid w:val="00493F5E"/>
    <w:rsid w:val="00495BE6"/>
    <w:rsid w:val="00496268"/>
    <w:rsid w:val="004A0962"/>
    <w:rsid w:val="004A2AE9"/>
    <w:rsid w:val="004B3CF9"/>
    <w:rsid w:val="004B5C69"/>
    <w:rsid w:val="004B5E98"/>
    <w:rsid w:val="004C1C4B"/>
    <w:rsid w:val="004C5D96"/>
    <w:rsid w:val="004C6B9B"/>
    <w:rsid w:val="004C6F21"/>
    <w:rsid w:val="004C7FEF"/>
    <w:rsid w:val="004D180F"/>
    <w:rsid w:val="004D35FF"/>
    <w:rsid w:val="004D5631"/>
    <w:rsid w:val="004D788E"/>
    <w:rsid w:val="004E1F64"/>
    <w:rsid w:val="004E3D77"/>
    <w:rsid w:val="004E4D31"/>
    <w:rsid w:val="004F2C71"/>
    <w:rsid w:val="004F4C27"/>
    <w:rsid w:val="004F5BE8"/>
    <w:rsid w:val="00501634"/>
    <w:rsid w:val="0050173D"/>
    <w:rsid w:val="00505684"/>
    <w:rsid w:val="00510BBA"/>
    <w:rsid w:val="005128A6"/>
    <w:rsid w:val="00513081"/>
    <w:rsid w:val="005234CC"/>
    <w:rsid w:val="00527120"/>
    <w:rsid w:val="005306F1"/>
    <w:rsid w:val="00536E10"/>
    <w:rsid w:val="00543908"/>
    <w:rsid w:val="005440A3"/>
    <w:rsid w:val="00544155"/>
    <w:rsid w:val="005447ED"/>
    <w:rsid w:val="00551210"/>
    <w:rsid w:val="005520E6"/>
    <w:rsid w:val="005560A4"/>
    <w:rsid w:val="005619C6"/>
    <w:rsid w:val="00565113"/>
    <w:rsid w:val="0056512E"/>
    <w:rsid w:val="00567015"/>
    <w:rsid w:val="00567B55"/>
    <w:rsid w:val="0057057F"/>
    <w:rsid w:val="0057355A"/>
    <w:rsid w:val="00574DB0"/>
    <w:rsid w:val="00576A7B"/>
    <w:rsid w:val="00580599"/>
    <w:rsid w:val="0058118F"/>
    <w:rsid w:val="005822D6"/>
    <w:rsid w:val="005835C7"/>
    <w:rsid w:val="00585851"/>
    <w:rsid w:val="0058702F"/>
    <w:rsid w:val="00587ECB"/>
    <w:rsid w:val="00591046"/>
    <w:rsid w:val="00597122"/>
    <w:rsid w:val="00597619"/>
    <w:rsid w:val="005A0317"/>
    <w:rsid w:val="005A03ED"/>
    <w:rsid w:val="005A0B45"/>
    <w:rsid w:val="005A10D0"/>
    <w:rsid w:val="005A1A58"/>
    <w:rsid w:val="005A3204"/>
    <w:rsid w:val="005A378D"/>
    <w:rsid w:val="005B06A4"/>
    <w:rsid w:val="005B0959"/>
    <w:rsid w:val="005C239B"/>
    <w:rsid w:val="005C33B5"/>
    <w:rsid w:val="005C71D1"/>
    <w:rsid w:val="005D262C"/>
    <w:rsid w:val="005D5AC2"/>
    <w:rsid w:val="005D749C"/>
    <w:rsid w:val="005E39C6"/>
    <w:rsid w:val="005E3B1F"/>
    <w:rsid w:val="005F01D4"/>
    <w:rsid w:val="005F3705"/>
    <w:rsid w:val="005F4310"/>
    <w:rsid w:val="005F772C"/>
    <w:rsid w:val="006020A5"/>
    <w:rsid w:val="0060618B"/>
    <w:rsid w:val="006076B0"/>
    <w:rsid w:val="00607AA2"/>
    <w:rsid w:val="00611F96"/>
    <w:rsid w:val="00614E54"/>
    <w:rsid w:val="006152C4"/>
    <w:rsid w:val="00616F94"/>
    <w:rsid w:val="0062099B"/>
    <w:rsid w:val="00622B9D"/>
    <w:rsid w:val="00623731"/>
    <w:rsid w:val="006240F7"/>
    <w:rsid w:val="00624F85"/>
    <w:rsid w:val="00627BEC"/>
    <w:rsid w:val="00631E4F"/>
    <w:rsid w:val="00633046"/>
    <w:rsid w:val="006355E0"/>
    <w:rsid w:val="006363F5"/>
    <w:rsid w:val="00640FCA"/>
    <w:rsid w:val="00643B72"/>
    <w:rsid w:val="0064413A"/>
    <w:rsid w:val="006526CE"/>
    <w:rsid w:val="0065287E"/>
    <w:rsid w:val="00652A9C"/>
    <w:rsid w:val="00652F60"/>
    <w:rsid w:val="0065490A"/>
    <w:rsid w:val="00660232"/>
    <w:rsid w:val="00661E87"/>
    <w:rsid w:val="006625B6"/>
    <w:rsid w:val="0066499F"/>
    <w:rsid w:val="0067071C"/>
    <w:rsid w:val="00671470"/>
    <w:rsid w:val="00671A13"/>
    <w:rsid w:val="00671A92"/>
    <w:rsid w:val="0067413C"/>
    <w:rsid w:val="006750DC"/>
    <w:rsid w:val="00680374"/>
    <w:rsid w:val="00682D92"/>
    <w:rsid w:val="006830BC"/>
    <w:rsid w:val="0068328B"/>
    <w:rsid w:val="00685C24"/>
    <w:rsid w:val="00692216"/>
    <w:rsid w:val="00693AFA"/>
    <w:rsid w:val="006960FE"/>
    <w:rsid w:val="006A1726"/>
    <w:rsid w:val="006A25D5"/>
    <w:rsid w:val="006A780B"/>
    <w:rsid w:val="006B2EBC"/>
    <w:rsid w:val="006B7AE6"/>
    <w:rsid w:val="006C0BAC"/>
    <w:rsid w:val="006C256E"/>
    <w:rsid w:val="006C42F4"/>
    <w:rsid w:val="006C5E88"/>
    <w:rsid w:val="006C603C"/>
    <w:rsid w:val="006D2CE0"/>
    <w:rsid w:val="006D6BBE"/>
    <w:rsid w:val="006E3D15"/>
    <w:rsid w:val="006E65DE"/>
    <w:rsid w:val="006F0E3C"/>
    <w:rsid w:val="006F4A47"/>
    <w:rsid w:val="006F6527"/>
    <w:rsid w:val="006F67DB"/>
    <w:rsid w:val="006F6C39"/>
    <w:rsid w:val="00703869"/>
    <w:rsid w:val="007046D6"/>
    <w:rsid w:val="0070674A"/>
    <w:rsid w:val="00707806"/>
    <w:rsid w:val="00707F78"/>
    <w:rsid w:val="00711CA0"/>
    <w:rsid w:val="00712534"/>
    <w:rsid w:val="00712E74"/>
    <w:rsid w:val="00714AAD"/>
    <w:rsid w:val="007173B5"/>
    <w:rsid w:val="00720785"/>
    <w:rsid w:val="00721D59"/>
    <w:rsid w:val="007237D3"/>
    <w:rsid w:val="00723930"/>
    <w:rsid w:val="00724996"/>
    <w:rsid w:val="00724FC0"/>
    <w:rsid w:val="007265B9"/>
    <w:rsid w:val="00732E15"/>
    <w:rsid w:val="0073600E"/>
    <w:rsid w:val="007429EF"/>
    <w:rsid w:val="00744292"/>
    <w:rsid w:val="00746602"/>
    <w:rsid w:val="00747EEC"/>
    <w:rsid w:val="0075078A"/>
    <w:rsid w:val="00750900"/>
    <w:rsid w:val="00752DCD"/>
    <w:rsid w:val="00755764"/>
    <w:rsid w:val="00757992"/>
    <w:rsid w:val="007628F4"/>
    <w:rsid w:val="00764F1B"/>
    <w:rsid w:val="00767D6B"/>
    <w:rsid w:val="007702A8"/>
    <w:rsid w:val="0077559A"/>
    <w:rsid w:val="00775B4A"/>
    <w:rsid w:val="00775DE0"/>
    <w:rsid w:val="007816C7"/>
    <w:rsid w:val="00784A35"/>
    <w:rsid w:val="00787B78"/>
    <w:rsid w:val="00790B7E"/>
    <w:rsid w:val="00790CE7"/>
    <w:rsid w:val="00792062"/>
    <w:rsid w:val="00795396"/>
    <w:rsid w:val="007961EC"/>
    <w:rsid w:val="00796673"/>
    <w:rsid w:val="0079698F"/>
    <w:rsid w:val="007A1DFB"/>
    <w:rsid w:val="007A67CB"/>
    <w:rsid w:val="007A763C"/>
    <w:rsid w:val="007B5E79"/>
    <w:rsid w:val="007B6044"/>
    <w:rsid w:val="007B6CD8"/>
    <w:rsid w:val="007C1BF2"/>
    <w:rsid w:val="007C21B8"/>
    <w:rsid w:val="007C21E7"/>
    <w:rsid w:val="007C39F4"/>
    <w:rsid w:val="007C40DC"/>
    <w:rsid w:val="007C40F5"/>
    <w:rsid w:val="007C44C4"/>
    <w:rsid w:val="007C4C92"/>
    <w:rsid w:val="007D0A21"/>
    <w:rsid w:val="007D3A24"/>
    <w:rsid w:val="007D5023"/>
    <w:rsid w:val="007D6782"/>
    <w:rsid w:val="007E4C16"/>
    <w:rsid w:val="007E4DD0"/>
    <w:rsid w:val="007E6E14"/>
    <w:rsid w:val="007F010E"/>
    <w:rsid w:val="007F07C2"/>
    <w:rsid w:val="007F5015"/>
    <w:rsid w:val="007F5143"/>
    <w:rsid w:val="007F7EDA"/>
    <w:rsid w:val="008024C2"/>
    <w:rsid w:val="0080300B"/>
    <w:rsid w:val="008130A6"/>
    <w:rsid w:val="00813384"/>
    <w:rsid w:val="00815BEF"/>
    <w:rsid w:val="008163F3"/>
    <w:rsid w:val="00820505"/>
    <w:rsid w:val="00830232"/>
    <w:rsid w:val="008304CB"/>
    <w:rsid w:val="00830D73"/>
    <w:rsid w:val="00830E04"/>
    <w:rsid w:val="00834DE6"/>
    <w:rsid w:val="008411DE"/>
    <w:rsid w:val="008421FF"/>
    <w:rsid w:val="00842297"/>
    <w:rsid w:val="00843864"/>
    <w:rsid w:val="00844E57"/>
    <w:rsid w:val="00846887"/>
    <w:rsid w:val="00854E01"/>
    <w:rsid w:val="00856AFE"/>
    <w:rsid w:val="00862CFE"/>
    <w:rsid w:val="00867DF9"/>
    <w:rsid w:val="0087148C"/>
    <w:rsid w:val="0087408C"/>
    <w:rsid w:val="00882D1E"/>
    <w:rsid w:val="00890E60"/>
    <w:rsid w:val="008940C5"/>
    <w:rsid w:val="00895037"/>
    <w:rsid w:val="00897792"/>
    <w:rsid w:val="008A0A45"/>
    <w:rsid w:val="008A0BEC"/>
    <w:rsid w:val="008B15E9"/>
    <w:rsid w:val="008B44EF"/>
    <w:rsid w:val="008B4E8D"/>
    <w:rsid w:val="008C21CA"/>
    <w:rsid w:val="008C3A4D"/>
    <w:rsid w:val="008C67D2"/>
    <w:rsid w:val="008E01B7"/>
    <w:rsid w:val="008E44E9"/>
    <w:rsid w:val="008E716C"/>
    <w:rsid w:val="008F17C7"/>
    <w:rsid w:val="008F71AB"/>
    <w:rsid w:val="009004A9"/>
    <w:rsid w:val="00900BE0"/>
    <w:rsid w:val="00904CDD"/>
    <w:rsid w:val="00907CB6"/>
    <w:rsid w:val="00910A0F"/>
    <w:rsid w:val="009136AC"/>
    <w:rsid w:val="00914C41"/>
    <w:rsid w:val="00915A3D"/>
    <w:rsid w:val="0091789E"/>
    <w:rsid w:val="00933060"/>
    <w:rsid w:val="00935E9B"/>
    <w:rsid w:val="009443C0"/>
    <w:rsid w:val="00946F09"/>
    <w:rsid w:val="00947D31"/>
    <w:rsid w:val="00954B6E"/>
    <w:rsid w:val="00956991"/>
    <w:rsid w:val="00956BCE"/>
    <w:rsid w:val="00960A6F"/>
    <w:rsid w:val="00965658"/>
    <w:rsid w:val="00971431"/>
    <w:rsid w:val="00973EE3"/>
    <w:rsid w:val="00976B7B"/>
    <w:rsid w:val="00983702"/>
    <w:rsid w:val="00984051"/>
    <w:rsid w:val="00985587"/>
    <w:rsid w:val="0098769D"/>
    <w:rsid w:val="00990ECF"/>
    <w:rsid w:val="00993E32"/>
    <w:rsid w:val="009952DA"/>
    <w:rsid w:val="00996364"/>
    <w:rsid w:val="00996C4F"/>
    <w:rsid w:val="009A0F21"/>
    <w:rsid w:val="009A2376"/>
    <w:rsid w:val="009B1B2A"/>
    <w:rsid w:val="009B2706"/>
    <w:rsid w:val="009B3485"/>
    <w:rsid w:val="009B7BCE"/>
    <w:rsid w:val="009C1C76"/>
    <w:rsid w:val="009C2D71"/>
    <w:rsid w:val="009D0777"/>
    <w:rsid w:val="009D1C1B"/>
    <w:rsid w:val="009E0ADB"/>
    <w:rsid w:val="009E1360"/>
    <w:rsid w:val="009E33D5"/>
    <w:rsid w:val="009E3C0F"/>
    <w:rsid w:val="009E4B18"/>
    <w:rsid w:val="009E4F8D"/>
    <w:rsid w:val="009E5B65"/>
    <w:rsid w:val="009F0635"/>
    <w:rsid w:val="009F0C21"/>
    <w:rsid w:val="009F4263"/>
    <w:rsid w:val="009F544E"/>
    <w:rsid w:val="009F55E8"/>
    <w:rsid w:val="009F7BE4"/>
    <w:rsid w:val="00A02EAA"/>
    <w:rsid w:val="00A0492E"/>
    <w:rsid w:val="00A05B23"/>
    <w:rsid w:val="00A0774B"/>
    <w:rsid w:val="00A11217"/>
    <w:rsid w:val="00A13813"/>
    <w:rsid w:val="00A2067E"/>
    <w:rsid w:val="00A21A8B"/>
    <w:rsid w:val="00A2323E"/>
    <w:rsid w:val="00A233E3"/>
    <w:rsid w:val="00A25509"/>
    <w:rsid w:val="00A30877"/>
    <w:rsid w:val="00A353AB"/>
    <w:rsid w:val="00A353D7"/>
    <w:rsid w:val="00A465F8"/>
    <w:rsid w:val="00A473EF"/>
    <w:rsid w:val="00A53B44"/>
    <w:rsid w:val="00A57ED5"/>
    <w:rsid w:val="00A65604"/>
    <w:rsid w:val="00A661F1"/>
    <w:rsid w:val="00A71C8B"/>
    <w:rsid w:val="00A75024"/>
    <w:rsid w:val="00A76784"/>
    <w:rsid w:val="00A8004A"/>
    <w:rsid w:val="00A82B7E"/>
    <w:rsid w:val="00A90DE1"/>
    <w:rsid w:val="00A944E3"/>
    <w:rsid w:val="00A94640"/>
    <w:rsid w:val="00A96438"/>
    <w:rsid w:val="00AA0648"/>
    <w:rsid w:val="00AA13E5"/>
    <w:rsid w:val="00AA391C"/>
    <w:rsid w:val="00AA62A3"/>
    <w:rsid w:val="00AB0CE3"/>
    <w:rsid w:val="00AB1A04"/>
    <w:rsid w:val="00AB3BC3"/>
    <w:rsid w:val="00AB5A15"/>
    <w:rsid w:val="00AB5F78"/>
    <w:rsid w:val="00AC3247"/>
    <w:rsid w:val="00AC5340"/>
    <w:rsid w:val="00AD0B85"/>
    <w:rsid w:val="00AD2282"/>
    <w:rsid w:val="00AD2DF0"/>
    <w:rsid w:val="00AD4080"/>
    <w:rsid w:val="00AE0BF5"/>
    <w:rsid w:val="00AF0E7A"/>
    <w:rsid w:val="00AF1D52"/>
    <w:rsid w:val="00AF335F"/>
    <w:rsid w:val="00AF5EB4"/>
    <w:rsid w:val="00AF65CB"/>
    <w:rsid w:val="00AF74DE"/>
    <w:rsid w:val="00B000F9"/>
    <w:rsid w:val="00B112FA"/>
    <w:rsid w:val="00B24223"/>
    <w:rsid w:val="00B2739E"/>
    <w:rsid w:val="00B3095F"/>
    <w:rsid w:val="00B31DB6"/>
    <w:rsid w:val="00B32706"/>
    <w:rsid w:val="00B33718"/>
    <w:rsid w:val="00B347CD"/>
    <w:rsid w:val="00B37324"/>
    <w:rsid w:val="00B41366"/>
    <w:rsid w:val="00B41F19"/>
    <w:rsid w:val="00B427FF"/>
    <w:rsid w:val="00B42AAA"/>
    <w:rsid w:val="00B4659D"/>
    <w:rsid w:val="00B50810"/>
    <w:rsid w:val="00B52E09"/>
    <w:rsid w:val="00B53FBD"/>
    <w:rsid w:val="00B55B50"/>
    <w:rsid w:val="00B62A97"/>
    <w:rsid w:val="00B64AD0"/>
    <w:rsid w:val="00B65340"/>
    <w:rsid w:val="00B66F23"/>
    <w:rsid w:val="00B72C56"/>
    <w:rsid w:val="00B73048"/>
    <w:rsid w:val="00B766EF"/>
    <w:rsid w:val="00B76835"/>
    <w:rsid w:val="00B85105"/>
    <w:rsid w:val="00B8639E"/>
    <w:rsid w:val="00B9052A"/>
    <w:rsid w:val="00BA3FF4"/>
    <w:rsid w:val="00BA659D"/>
    <w:rsid w:val="00BB0E19"/>
    <w:rsid w:val="00BB242A"/>
    <w:rsid w:val="00BC22F7"/>
    <w:rsid w:val="00BC5153"/>
    <w:rsid w:val="00BD1F1D"/>
    <w:rsid w:val="00BD3F91"/>
    <w:rsid w:val="00BD3FF5"/>
    <w:rsid w:val="00BD7C55"/>
    <w:rsid w:val="00BE14C4"/>
    <w:rsid w:val="00BE2EC7"/>
    <w:rsid w:val="00BE376D"/>
    <w:rsid w:val="00BE5844"/>
    <w:rsid w:val="00BF27F0"/>
    <w:rsid w:val="00BF3198"/>
    <w:rsid w:val="00BF5988"/>
    <w:rsid w:val="00BF6252"/>
    <w:rsid w:val="00C11490"/>
    <w:rsid w:val="00C128EF"/>
    <w:rsid w:val="00C16A65"/>
    <w:rsid w:val="00C17DFD"/>
    <w:rsid w:val="00C21088"/>
    <w:rsid w:val="00C22A1C"/>
    <w:rsid w:val="00C2417E"/>
    <w:rsid w:val="00C27412"/>
    <w:rsid w:val="00C329EA"/>
    <w:rsid w:val="00C32D79"/>
    <w:rsid w:val="00C34D10"/>
    <w:rsid w:val="00C3566F"/>
    <w:rsid w:val="00C36510"/>
    <w:rsid w:val="00C37C35"/>
    <w:rsid w:val="00C5268F"/>
    <w:rsid w:val="00C550F2"/>
    <w:rsid w:val="00C56D3A"/>
    <w:rsid w:val="00C60ACD"/>
    <w:rsid w:val="00C623D0"/>
    <w:rsid w:val="00C63777"/>
    <w:rsid w:val="00C71FAA"/>
    <w:rsid w:val="00C81429"/>
    <w:rsid w:val="00C8471C"/>
    <w:rsid w:val="00C85282"/>
    <w:rsid w:val="00C87456"/>
    <w:rsid w:val="00C91BA0"/>
    <w:rsid w:val="00C96092"/>
    <w:rsid w:val="00C979D4"/>
    <w:rsid w:val="00CA04D3"/>
    <w:rsid w:val="00CA3C71"/>
    <w:rsid w:val="00CB0011"/>
    <w:rsid w:val="00CC0F0D"/>
    <w:rsid w:val="00CC3543"/>
    <w:rsid w:val="00CD0D84"/>
    <w:rsid w:val="00CD1300"/>
    <w:rsid w:val="00CE25B0"/>
    <w:rsid w:val="00CE702D"/>
    <w:rsid w:val="00CF42AC"/>
    <w:rsid w:val="00CF6375"/>
    <w:rsid w:val="00CF72FC"/>
    <w:rsid w:val="00CF7F2D"/>
    <w:rsid w:val="00D0541C"/>
    <w:rsid w:val="00D05D32"/>
    <w:rsid w:val="00D06DA1"/>
    <w:rsid w:val="00D07311"/>
    <w:rsid w:val="00D141CC"/>
    <w:rsid w:val="00D23003"/>
    <w:rsid w:val="00D24C40"/>
    <w:rsid w:val="00D255BF"/>
    <w:rsid w:val="00D33351"/>
    <w:rsid w:val="00D41429"/>
    <w:rsid w:val="00D42669"/>
    <w:rsid w:val="00D42E24"/>
    <w:rsid w:val="00D44E7F"/>
    <w:rsid w:val="00D4596F"/>
    <w:rsid w:val="00D47820"/>
    <w:rsid w:val="00D5433E"/>
    <w:rsid w:val="00D604BF"/>
    <w:rsid w:val="00D63E65"/>
    <w:rsid w:val="00D6465C"/>
    <w:rsid w:val="00D67642"/>
    <w:rsid w:val="00D67710"/>
    <w:rsid w:val="00D749E4"/>
    <w:rsid w:val="00D74BC7"/>
    <w:rsid w:val="00D81321"/>
    <w:rsid w:val="00D81BEA"/>
    <w:rsid w:val="00D820A8"/>
    <w:rsid w:val="00D869D5"/>
    <w:rsid w:val="00D86BC8"/>
    <w:rsid w:val="00D90F49"/>
    <w:rsid w:val="00DA1DD9"/>
    <w:rsid w:val="00DA1F54"/>
    <w:rsid w:val="00DA2B94"/>
    <w:rsid w:val="00DA4E5C"/>
    <w:rsid w:val="00DB5459"/>
    <w:rsid w:val="00DB73AB"/>
    <w:rsid w:val="00DB7CB2"/>
    <w:rsid w:val="00DC13B2"/>
    <w:rsid w:val="00DC15CF"/>
    <w:rsid w:val="00DC3021"/>
    <w:rsid w:val="00DC3363"/>
    <w:rsid w:val="00DC3D21"/>
    <w:rsid w:val="00DC3DB6"/>
    <w:rsid w:val="00DC4EF1"/>
    <w:rsid w:val="00DC7E2E"/>
    <w:rsid w:val="00DD4A96"/>
    <w:rsid w:val="00DE04A3"/>
    <w:rsid w:val="00DE1618"/>
    <w:rsid w:val="00DE1C5F"/>
    <w:rsid w:val="00DE53DC"/>
    <w:rsid w:val="00DE5AD3"/>
    <w:rsid w:val="00DE6F90"/>
    <w:rsid w:val="00DF1FC8"/>
    <w:rsid w:val="00DF27DE"/>
    <w:rsid w:val="00DF34E3"/>
    <w:rsid w:val="00DF36D7"/>
    <w:rsid w:val="00DF7878"/>
    <w:rsid w:val="00DF792F"/>
    <w:rsid w:val="00E00285"/>
    <w:rsid w:val="00E00C2D"/>
    <w:rsid w:val="00E027F9"/>
    <w:rsid w:val="00E03300"/>
    <w:rsid w:val="00E10444"/>
    <w:rsid w:val="00E127F4"/>
    <w:rsid w:val="00E17B53"/>
    <w:rsid w:val="00E17D96"/>
    <w:rsid w:val="00E2211D"/>
    <w:rsid w:val="00E22DEE"/>
    <w:rsid w:val="00E26ED8"/>
    <w:rsid w:val="00E270DD"/>
    <w:rsid w:val="00E37816"/>
    <w:rsid w:val="00E40EB5"/>
    <w:rsid w:val="00E412D7"/>
    <w:rsid w:val="00E47715"/>
    <w:rsid w:val="00E5504E"/>
    <w:rsid w:val="00E56FC8"/>
    <w:rsid w:val="00E576D9"/>
    <w:rsid w:val="00E578BC"/>
    <w:rsid w:val="00E6012B"/>
    <w:rsid w:val="00E60F86"/>
    <w:rsid w:val="00E638E7"/>
    <w:rsid w:val="00E70A1B"/>
    <w:rsid w:val="00E71B05"/>
    <w:rsid w:val="00E72427"/>
    <w:rsid w:val="00E72743"/>
    <w:rsid w:val="00E73B2A"/>
    <w:rsid w:val="00E74DCE"/>
    <w:rsid w:val="00E770A1"/>
    <w:rsid w:val="00E80B86"/>
    <w:rsid w:val="00E875A1"/>
    <w:rsid w:val="00E97BD9"/>
    <w:rsid w:val="00EA1D9E"/>
    <w:rsid w:val="00EA3EB7"/>
    <w:rsid w:val="00EA3F7C"/>
    <w:rsid w:val="00EA6DF3"/>
    <w:rsid w:val="00EB3322"/>
    <w:rsid w:val="00EB5A05"/>
    <w:rsid w:val="00EC4BBF"/>
    <w:rsid w:val="00EC67ED"/>
    <w:rsid w:val="00ED4129"/>
    <w:rsid w:val="00ED76C7"/>
    <w:rsid w:val="00ED780A"/>
    <w:rsid w:val="00EF1C8C"/>
    <w:rsid w:val="00EF5EED"/>
    <w:rsid w:val="00EF67DA"/>
    <w:rsid w:val="00F02391"/>
    <w:rsid w:val="00F043D5"/>
    <w:rsid w:val="00F052DC"/>
    <w:rsid w:val="00F077DC"/>
    <w:rsid w:val="00F1535B"/>
    <w:rsid w:val="00F1683B"/>
    <w:rsid w:val="00F21833"/>
    <w:rsid w:val="00F221C1"/>
    <w:rsid w:val="00F22828"/>
    <w:rsid w:val="00F27B10"/>
    <w:rsid w:val="00F306FE"/>
    <w:rsid w:val="00F326F8"/>
    <w:rsid w:val="00F355EE"/>
    <w:rsid w:val="00F35B16"/>
    <w:rsid w:val="00F41240"/>
    <w:rsid w:val="00F41B91"/>
    <w:rsid w:val="00F429AC"/>
    <w:rsid w:val="00F50B38"/>
    <w:rsid w:val="00F52F3F"/>
    <w:rsid w:val="00F52FDD"/>
    <w:rsid w:val="00F60E2B"/>
    <w:rsid w:val="00F61333"/>
    <w:rsid w:val="00F62481"/>
    <w:rsid w:val="00F64790"/>
    <w:rsid w:val="00F72EA8"/>
    <w:rsid w:val="00F72EEC"/>
    <w:rsid w:val="00F744F6"/>
    <w:rsid w:val="00F77631"/>
    <w:rsid w:val="00F82B46"/>
    <w:rsid w:val="00F91EF2"/>
    <w:rsid w:val="00F960AA"/>
    <w:rsid w:val="00F9787C"/>
    <w:rsid w:val="00FA05E1"/>
    <w:rsid w:val="00FA0DAA"/>
    <w:rsid w:val="00FA3CC7"/>
    <w:rsid w:val="00FA471B"/>
    <w:rsid w:val="00FA54D7"/>
    <w:rsid w:val="00FA5B37"/>
    <w:rsid w:val="00FA79C7"/>
    <w:rsid w:val="00FB5FD5"/>
    <w:rsid w:val="00FB7F4E"/>
    <w:rsid w:val="00FC14F5"/>
    <w:rsid w:val="00FC28EC"/>
    <w:rsid w:val="00FC361B"/>
    <w:rsid w:val="00FC6883"/>
    <w:rsid w:val="00FD2AC4"/>
    <w:rsid w:val="00FD4191"/>
    <w:rsid w:val="00FD5D1E"/>
    <w:rsid w:val="00FE24AF"/>
    <w:rsid w:val="00FE46AA"/>
    <w:rsid w:val="00FE5BE1"/>
    <w:rsid w:val="00FF361D"/>
    <w:rsid w:val="00FF60C1"/>
    <w:rsid w:val="00FF6A2B"/>
    <w:rsid w:val="00FF7A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C3651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C36510"/>
    <w:rPr>
      <w:rFonts w:ascii="Verdana" w:hAnsi="Verdana"/>
      <w:sz w:val="18"/>
    </w:rPr>
  </w:style>
  <w:style w:type="paragraph" w:styleId="Voettekst">
    <w:name w:val="footer"/>
    <w:basedOn w:val="Standaard"/>
    <w:link w:val="VoettekstChar"/>
    <w:uiPriority w:val="99"/>
    <w:unhideWhenUsed/>
    <w:rsid w:val="00C3651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6510"/>
    <w:rPr>
      <w:rFonts w:ascii="Verdana" w:hAnsi="Verdana"/>
      <w:sz w:val="18"/>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261090"/>
    <w:pPr>
      <w:spacing w:line="240" w:lineRule="auto"/>
      <w:ind w:firstLine="0"/>
    </w:pPr>
    <w:rPr>
      <w:rFonts w:eastAsiaTheme="minorHAnsi" w:cstheme="minorBidi"/>
      <w:sz w:val="13"/>
      <w:lang w:eastAsia="en-US"/>
    </w:rPr>
  </w:style>
  <w:style w:type="character" w:customStyle="1" w:styleId="VoetnoottekstChar">
    <w:name w:val="Voetnoottekst Char"/>
    <w:aliases w:val="Voetnoottekst Char1 Char1,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261090"/>
    <w:rPr>
      <w:rFonts w:ascii="Verdana" w:eastAsiaTheme="minorHAnsi" w:hAnsi="Verdana" w:cstheme="minorBidi"/>
      <w:sz w:val="13"/>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3276A7"/>
    <w:rPr>
      <w:vertAlign w:val="superscript"/>
    </w:rPr>
  </w:style>
  <w:style w:type="character" w:styleId="Hyperlink">
    <w:name w:val="Hyperlink"/>
    <w:basedOn w:val="Standaardalinea-lettertype"/>
    <w:uiPriority w:val="99"/>
    <w:unhideWhenUsed/>
    <w:rsid w:val="00E638E7"/>
    <w:rPr>
      <w:color w:val="0000FF" w:themeColor="hyperlink"/>
      <w:u w:val="single"/>
    </w:rPr>
  </w:style>
  <w:style w:type="paragraph" w:styleId="Ballontekst">
    <w:name w:val="Balloon Text"/>
    <w:basedOn w:val="Standaard"/>
    <w:link w:val="BallontekstChar"/>
    <w:uiPriority w:val="99"/>
    <w:semiHidden/>
    <w:unhideWhenUsed/>
    <w:rsid w:val="001263C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3C5"/>
    <w:rPr>
      <w:rFonts w:ascii="Tahoma" w:hAnsi="Tahoma" w:cs="Tahoma"/>
      <w:sz w:val="16"/>
      <w:szCs w:val="16"/>
    </w:rPr>
  </w:style>
  <w:style w:type="paragraph" w:styleId="Lijstalinea">
    <w:name w:val="List Paragraph"/>
    <w:basedOn w:val="Standaard"/>
    <w:uiPriority w:val="34"/>
    <w:qFormat/>
    <w:rsid w:val="00462174"/>
    <w:pPr>
      <w:ind w:left="720"/>
      <w:contextualSpacing/>
    </w:pPr>
  </w:style>
  <w:style w:type="character" w:customStyle="1" w:styleId="outputecli">
    <w:name w:val="outputecli"/>
    <w:basedOn w:val="Standaardalinea-lettertype"/>
    <w:rsid w:val="002C5D42"/>
  </w:style>
  <w:style w:type="character" w:styleId="Verwijzingopmerking">
    <w:name w:val="annotation reference"/>
    <w:basedOn w:val="Standaardalinea-lettertype"/>
    <w:uiPriority w:val="99"/>
    <w:semiHidden/>
    <w:unhideWhenUsed/>
    <w:rsid w:val="006F67DB"/>
    <w:rPr>
      <w:sz w:val="16"/>
      <w:szCs w:val="16"/>
    </w:rPr>
  </w:style>
  <w:style w:type="paragraph" w:styleId="Tekstopmerking">
    <w:name w:val="annotation text"/>
    <w:basedOn w:val="Standaard"/>
    <w:link w:val="TekstopmerkingChar"/>
    <w:uiPriority w:val="99"/>
    <w:unhideWhenUsed/>
    <w:rsid w:val="006F67DB"/>
    <w:pPr>
      <w:spacing w:line="240" w:lineRule="auto"/>
    </w:pPr>
    <w:rPr>
      <w:sz w:val="20"/>
    </w:rPr>
  </w:style>
  <w:style w:type="character" w:customStyle="1" w:styleId="TekstopmerkingChar">
    <w:name w:val="Tekst opmerking Char"/>
    <w:basedOn w:val="Standaardalinea-lettertype"/>
    <w:link w:val="Tekstopmerking"/>
    <w:uiPriority w:val="99"/>
    <w:semiHidden/>
    <w:rsid w:val="006F67DB"/>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ES\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72FC395055446BC4C19153448D79A" ma:contentTypeVersion="0" ma:contentTypeDescription="Een nieuw document maken." ma:contentTypeScope="" ma:versionID="25a93a30a0b4db26d3d8113504e7e5e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4F6A4-CE25-49F1-9549-D3D93156D277}"/>
</file>

<file path=customXml/itemProps2.xml><?xml version="1.0" encoding="utf-8"?>
<ds:datastoreItem xmlns:ds="http://schemas.openxmlformats.org/officeDocument/2006/customXml" ds:itemID="{D473A30D-DBB9-4B76-BCFA-36E522C63AE5}"/>
</file>

<file path=customXml/itemProps3.xml><?xml version="1.0" encoding="utf-8"?>
<ds:datastoreItem xmlns:ds="http://schemas.openxmlformats.org/officeDocument/2006/customXml" ds:itemID="{412A94D3-FE77-49F4-ACD3-C75CB95762C0}"/>
</file>

<file path=docProps/app.xml><?xml version="1.0" encoding="utf-8"?>
<Properties xmlns="http://schemas.openxmlformats.org/officeDocument/2006/extended-properties" xmlns:vt="http://schemas.openxmlformats.org/officeDocument/2006/docPropsVTypes">
  <Template>Wetgevingssjabloon</Template>
  <TotalTime>2</TotalTime>
  <Pages>20</Pages>
  <Words>7603</Words>
  <Characters>40765</Characters>
  <Application>Microsoft Office Word</Application>
  <DocSecurity>0</DocSecurity>
  <Lines>339</Lines>
  <Paragraphs>96</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48272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Benjamin Rietveld</cp:lastModifiedBy>
  <cp:revision>5</cp:revision>
  <cp:lastPrinted>2016-09-16T13:44:00Z</cp:lastPrinted>
  <dcterms:created xsi:type="dcterms:W3CDTF">2016-09-16T13:38:00Z</dcterms:created>
  <dcterms:modified xsi:type="dcterms:W3CDTF">2016-09-20T09:55:00Z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