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495" w:rsidRPr="009B6ADE" w:rsidRDefault="008E1495" w:rsidP="009B6ADE">
      <w:pPr>
        <w:spacing w:after="160" w:line="259" w:lineRule="auto"/>
      </w:pPr>
      <w:bookmarkStart w:id="0" w:name="_GoBack"/>
      <w:bookmarkEnd w:id="0"/>
      <w:r w:rsidRPr="009B6ADE">
        <w:rPr>
          <w:b/>
          <w:szCs w:val="18"/>
        </w:rPr>
        <w:t xml:space="preserve">Wijziging van </w:t>
      </w:r>
      <w:r w:rsidR="003E3A50" w:rsidRPr="009B6ADE">
        <w:rPr>
          <w:b/>
          <w:szCs w:val="18"/>
        </w:rPr>
        <w:t xml:space="preserve">Wet op </w:t>
      </w:r>
      <w:r w:rsidRPr="009B6ADE">
        <w:rPr>
          <w:b/>
          <w:szCs w:val="18"/>
        </w:rPr>
        <w:t>belastingen van rechtsverkeer (Wet differentiatie overdrachtsbelasting)</w:t>
      </w:r>
    </w:p>
    <w:p w:rsidR="008E1495" w:rsidRPr="009B6ADE" w:rsidRDefault="008E1495" w:rsidP="009B6ADE">
      <w:pPr>
        <w:pStyle w:val="Kopvaninhoudsopgave"/>
        <w:spacing w:before="0" w:line="360" w:lineRule="auto"/>
        <w:contextualSpacing/>
        <w:mirrorIndents/>
        <w:rPr>
          <w:rFonts w:ascii="Verdana" w:hAnsi="Verdana"/>
          <w:b/>
          <w:color w:val="auto"/>
          <w:sz w:val="18"/>
          <w:szCs w:val="18"/>
        </w:rPr>
      </w:pPr>
    </w:p>
    <w:p w:rsidR="008E1495" w:rsidRDefault="008E1495" w:rsidP="009B6ADE">
      <w:pPr>
        <w:pStyle w:val="Kopvaninhoudsopgave"/>
        <w:spacing w:before="0" w:line="360" w:lineRule="auto"/>
        <w:contextualSpacing/>
        <w:mirrorIndents/>
        <w:rPr>
          <w:rFonts w:ascii="Verdana" w:hAnsi="Verdana"/>
          <w:b/>
          <w:color w:val="auto"/>
          <w:sz w:val="18"/>
          <w:szCs w:val="18"/>
        </w:rPr>
      </w:pPr>
      <w:r w:rsidRPr="009B6ADE">
        <w:rPr>
          <w:rFonts w:ascii="Verdana" w:hAnsi="Verdana"/>
          <w:b/>
          <w:color w:val="auto"/>
          <w:sz w:val="18"/>
          <w:szCs w:val="18"/>
        </w:rPr>
        <w:t>Memorie van toelichti</w:t>
      </w:r>
      <w:r w:rsidR="009B6ADE">
        <w:rPr>
          <w:rFonts w:ascii="Verdana" w:hAnsi="Verdana"/>
          <w:b/>
          <w:color w:val="auto"/>
          <w:sz w:val="18"/>
          <w:szCs w:val="18"/>
        </w:rPr>
        <w:t>ng</w:t>
      </w:r>
    </w:p>
    <w:p w:rsidR="009B6ADE" w:rsidRPr="009B6ADE" w:rsidRDefault="009B6ADE" w:rsidP="009B6ADE">
      <w:pPr>
        <w:rPr>
          <w:lang w:eastAsia="nl-NL"/>
        </w:rPr>
      </w:pPr>
    </w:p>
    <w:p w:rsidR="008E1495" w:rsidRDefault="008E1495" w:rsidP="009B6ADE">
      <w:pPr>
        <w:pStyle w:val="Kopvaninhoudsopgave"/>
        <w:spacing w:before="0" w:line="360" w:lineRule="auto"/>
        <w:contextualSpacing/>
        <w:mirrorIndents/>
        <w:rPr>
          <w:rFonts w:ascii="Verdana" w:hAnsi="Verdana"/>
          <w:b/>
          <w:color w:val="auto"/>
          <w:sz w:val="18"/>
          <w:szCs w:val="18"/>
        </w:rPr>
      </w:pPr>
      <w:r w:rsidRPr="009B6ADE">
        <w:rPr>
          <w:rFonts w:ascii="Verdana" w:hAnsi="Verdana"/>
          <w:b/>
          <w:color w:val="auto"/>
          <w:sz w:val="18"/>
          <w:szCs w:val="18"/>
        </w:rPr>
        <w:t>Inhoudsopgave</w:t>
      </w:r>
    </w:p>
    <w:p w:rsidR="009B6ADE" w:rsidRPr="009B6ADE" w:rsidRDefault="009B6ADE" w:rsidP="009B6ADE">
      <w:pPr>
        <w:rPr>
          <w:lang w:eastAsia="nl-NL"/>
        </w:rPr>
      </w:pPr>
    </w:p>
    <w:p w:rsidR="000A477C" w:rsidRDefault="008E1495">
      <w:pPr>
        <w:pStyle w:val="Inhopg1"/>
        <w:rPr>
          <w:rFonts w:asciiTheme="minorHAnsi" w:eastAsiaTheme="minorEastAsia" w:hAnsiTheme="minorHAnsi" w:cstheme="minorBidi"/>
          <w:noProof/>
          <w:sz w:val="22"/>
          <w:szCs w:val="22"/>
        </w:rPr>
      </w:pPr>
      <w:r w:rsidRPr="00773A13">
        <w:rPr>
          <w:b/>
        </w:rPr>
        <w:fldChar w:fldCharType="begin"/>
      </w:r>
      <w:r w:rsidRPr="00773A13">
        <w:rPr>
          <w:b/>
        </w:rPr>
        <w:instrText xml:space="preserve"> TOC \o "1-3" \h \z \u </w:instrText>
      </w:r>
      <w:r w:rsidRPr="00773A13">
        <w:rPr>
          <w:b/>
        </w:rPr>
        <w:fldChar w:fldCharType="separate"/>
      </w:r>
      <w:hyperlink w:anchor="_Toc50568488" w:history="1">
        <w:r w:rsidR="000A477C" w:rsidRPr="00037156">
          <w:rPr>
            <w:rStyle w:val="Hyperlink"/>
            <w:noProof/>
          </w:rPr>
          <w:t>I. ALGEMEEN</w:t>
        </w:r>
        <w:r w:rsidR="000A477C">
          <w:rPr>
            <w:noProof/>
            <w:webHidden/>
          </w:rPr>
          <w:tab/>
        </w:r>
        <w:r w:rsidR="000A477C">
          <w:rPr>
            <w:noProof/>
            <w:webHidden/>
          </w:rPr>
          <w:fldChar w:fldCharType="begin"/>
        </w:r>
        <w:r w:rsidR="000A477C">
          <w:rPr>
            <w:noProof/>
            <w:webHidden/>
          </w:rPr>
          <w:instrText xml:space="preserve"> PAGEREF _Toc50568488 \h </w:instrText>
        </w:r>
        <w:r w:rsidR="000A477C">
          <w:rPr>
            <w:noProof/>
            <w:webHidden/>
          </w:rPr>
        </w:r>
        <w:r w:rsidR="000A477C">
          <w:rPr>
            <w:noProof/>
            <w:webHidden/>
          </w:rPr>
          <w:fldChar w:fldCharType="separate"/>
        </w:r>
        <w:r w:rsidR="000A477C">
          <w:rPr>
            <w:noProof/>
            <w:webHidden/>
          </w:rPr>
          <w:t>2</w:t>
        </w:r>
        <w:r w:rsidR="000A477C">
          <w:rPr>
            <w:noProof/>
            <w:webHidden/>
          </w:rPr>
          <w:fldChar w:fldCharType="end"/>
        </w:r>
      </w:hyperlink>
    </w:p>
    <w:p w:rsidR="000A477C" w:rsidRDefault="0017340B">
      <w:pPr>
        <w:pStyle w:val="Inhopg1"/>
        <w:rPr>
          <w:rFonts w:asciiTheme="minorHAnsi" w:eastAsiaTheme="minorEastAsia" w:hAnsiTheme="minorHAnsi" w:cstheme="minorBidi"/>
          <w:noProof/>
          <w:sz w:val="22"/>
          <w:szCs w:val="22"/>
        </w:rPr>
      </w:pPr>
      <w:hyperlink w:anchor="_Toc50568489" w:history="1">
        <w:r w:rsidR="000A477C" w:rsidRPr="00037156">
          <w:rPr>
            <w:rStyle w:val="Hyperlink"/>
            <w:i/>
            <w:noProof/>
          </w:rPr>
          <w:t>1.</w:t>
        </w:r>
        <w:r w:rsidR="000A477C">
          <w:rPr>
            <w:rFonts w:asciiTheme="minorHAnsi" w:eastAsiaTheme="minorEastAsia" w:hAnsiTheme="minorHAnsi" w:cstheme="minorBidi"/>
            <w:noProof/>
            <w:sz w:val="22"/>
            <w:szCs w:val="22"/>
          </w:rPr>
          <w:tab/>
        </w:r>
        <w:r w:rsidR="000A477C" w:rsidRPr="00037156">
          <w:rPr>
            <w:rStyle w:val="Hyperlink"/>
            <w:i/>
            <w:noProof/>
          </w:rPr>
          <w:t>Inleiding</w:t>
        </w:r>
        <w:r w:rsidR="000A477C">
          <w:rPr>
            <w:noProof/>
            <w:webHidden/>
          </w:rPr>
          <w:tab/>
        </w:r>
        <w:r w:rsidR="000A477C">
          <w:rPr>
            <w:noProof/>
            <w:webHidden/>
          </w:rPr>
          <w:fldChar w:fldCharType="begin"/>
        </w:r>
        <w:r w:rsidR="000A477C">
          <w:rPr>
            <w:noProof/>
            <w:webHidden/>
          </w:rPr>
          <w:instrText xml:space="preserve"> PAGEREF _Toc50568489 \h </w:instrText>
        </w:r>
        <w:r w:rsidR="000A477C">
          <w:rPr>
            <w:noProof/>
            <w:webHidden/>
          </w:rPr>
        </w:r>
        <w:r w:rsidR="000A477C">
          <w:rPr>
            <w:noProof/>
            <w:webHidden/>
          </w:rPr>
          <w:fldChar w:fldCharType="separate"/>
        </w:r>
        <w:r w:rsidR="000A477C">
          <w:rPr>
            <w:noProof/>
            <w:webHidden/>
          </w:rPr>
          <w:t>2</w:t>
        </w:r>
        <w:r w:rsidR="000A477C">
          <w:rPr>
            <w:noProof/>
            <w:webHidden/>
          </w:rPr>
          <w:fldChar w:fldCharType="end"/>
        </w:r>
      </w:hyperlink>
    </w:p>
    <w:p w:rsidR="000A477C" w:rsidRDefault="0017340B">
      <w:pPr>
        <w:pStyle w:val="Inhopg1"/>
        <w:rPr>
          <w:rFonts w:asciiTheme="minorHAnsi" w:eastAsiaTheme="minorEastAsia" w:hAnsiTheme="minorHAnsi" w:cstheme="minorBidi"/>
          <w:noProof/>
          <w:sz w:val="22"/>
          <w:szCs w:val="22"/>
        </w:rPr>
      </w:pPr>
      <w:hyperlink w:anchor="_Toc50568490" w:history="1">
        <w:r w:rsidR="000A477C" w:rsidRPr="00037156">
          <w:rPr>
            <w:rStyle w:val="Hyperlink"/>
            <w:i/>
            <w:noProof/>
          </w:rPr>
          <w:t>2.</w:t>
        </w:r>
        <w:r w:rsidR="000A477C">
          <w:rPr>
            <w:rFonts w:asciiTheme="minorHAnsi" w:eastAsiaTheme="minorEastAsia" w:hAnsiTheme="minorHAnsi" w:cstheme="minorBidi"/>
            <w:noProof/>
            <w:sz w:val="22"/>
            <w:szCs w:val="22"/>
          </w:rPr>
          <w:tab/>
        </w:r>
        <w:r w:rsidR="000A477C" w:rsidRPr="00037156">
          <w:rPr>
            <w:rStyle w:val="Hyperlink"/>
            <w:i/>
            <w:noProof/>
          </w:rPr>
          <w:t>Hoofdlijnen van het voorstel</w:t>
        </w:r>
        <w:r w:rsidR="000A477C">
          <w:rPr>
            <w:noProof/>
            <w:webHidden/>
          </w:rPr>
          <w:tab/>
        </w:r>
        <w:r w:rsidR="000A477C">
          <w:rPr>
            <w:noProof/>
            <w:webHidden/>
          </w:rPr>
          <w:fldChar w:fldCharType="begin"/>
        </w:r>
        <w:r w:rsidR="000A477C">
          <w:rPr>
            <w:noProof/>
            <w:webHidden/>
          </w:rPr>
          <w:instrText xml:space="preserve"> PAGEREF _Toc50568490 \h </w:instrText>
        </w:r>
        <w:r w:rsidR="000A477C">
          <w:rPr>
            <w:noProof/>
            <w:webHidden/>
          </w:rPr>
        </w:r>
        <w:r w:rsidR="000A477C">
          <w:rPr>
            <w:noProof/>
            <w:webHidden/>
          </w:rPr>
          <w:fldChar w:fldCharType="separate"/>
        </w:r>
        <w:r w:rsidR="000A477C">
          <w:rPr>
            <w:noProof/>
            <w:webHidden/>
          </w:rPr>
          <w:t>6</w:t>
        </w:r>
        <w:r w:rsidR="000A477C">
          <w:rPr>
            <w:noProof/>
            <w:webHidden/>
          </w:rPr>
          <w:fldChar w:fldCharType="end"/>
        </w:r>
      </w:hyperlink>
    </w:p>
    <w:p w:rsidR="000A477C" w:rsidRDefault="0017340B">
      <w:pPr>
        <w:pStyle w:val="Inhopg1"/>
        <w:rPr>
          <w:rFonts w:asciiTheme="minorHAnsi" w:eastAsiaTheme="minorEastAsia" w:hAnsiTheme="minorHAnsi" w:cstheme="minorBidi"/>
          <w:noProof/>
          <w:sz w:val="22"/>
          <w:szCs w:val="22"/>
        </w:rPr>
      </w:pPr>
      <w:hyperlink w:anchor="_Toc50568491" w:history="1">
        <w:r w:rsidR="000A477C" w:rsidRPr="00037156">
          <w:rPr>
            <w:rStyle w:val="Hyperlink"/>
            <w:i/>
            <w:noProof/>
          </w:rPr>
          <w:t xml:space="preserve">2.1 </w:t>
        </w:r>
        <w:r w:rsidR="000A477C">
          <w:rPr>
            <w:rFonts w:asciiTheme="minorHAnsi" w:eastAsiaTheme="minorEastAsia" w:hAnsiTheme="minorHAnsi" w:cstheme="minorBidi"/>
            <w:noProof/>
            <w:sz w:val="22"/>
            <w:szCs w:val="22"/>
          </w:rPr>
          <w:tab/>
        </w:r>
        <w:r w:rsidR="000A477C" w:rsidRPr="00037156">
          <w:rPr>
            <w:rStyle w:val="Hyperlink"/>
            <w:i/>
            <w:noProof/>
          </w:rPr>
          <w:t>Startersvrijstelling</w:t>
        </w:r>
        <w:r w:rsidR="000A477C">
          <w:rPr>
            <w:noProof/>
            <w:webHidden/>
          </w:rPr>
          <w:tab/>
        </w:r>
        <w:r w:rsidR="000A477C">
          <w:rPr>
            <w:noProof/>
            <w:webHidden/>
          </w:rPr>
          <w:fldChar w:fldCharType="begin"/>
        </w:r>
        <w:r w:rsidR="000A477C">
          <w:rPr>
            <w:noProof/>
            <w:webHidden/>
          </w:rPr>
          <w:instrText xml:space="preserve"> PAGEREF _Toc50568491 \h </w:instrText>
        </w:r>
        <w:r w:rsidR="000A477C">
          <w:rPr>
            <w:noProof/>
            <w:webHidden/>
          </w:rPr>
        </w:r>
        <w:r w:rsidR="000A477C">
          <w:rPr>
            <w:noProof/>
            <w:webHidden/>
          </w:rPr>
          <w:fldChar w:fldCharType="separate"/>
        </w:r>
        <w:r w:rsidR="000A477C">
          <w:rPr>
            <w:noProof/>
            <w:webHidden/>
          </w:rPr>
          <w:t>8</w:t>
        </w:r>
        <w:r w:rsidR="000A477C">
          <w:rPr>
            <w:noProof/>
            <w:webHidden/>
          </w:rPr>
          <w:fldChar w:fldCharType="end"/>
        </w:r>
      </w:hyperlink>
    </w:p>
    <w:p w:rsidR="000A477C" w:rsidRDefault="0017340B">
      <w:pPr>
        <w:pStyle w:val="Inhopg1"/>
        <w:rPr>
          <w:rFonts w:asciiTheme="minorHAnsi" w:eastAsiaTheme="minorEastAsia" w:hAnsiTheme="minorHAnsi" w:cstheme="minorBidi"/>
          <w:noProof/>
          <w:sz w:val="22"/>
          <w:szCs w:val="22"/>
        </w:rPr>
      </w:pPr>
      <w:hyperlink w:anchor="_Toc50568492" w:history="1">
        <w:r w:rsidR="000A477C" w:rsidRPr="00037156">
          <w:rPr>
            <w:rStyle w:val="Hyperlink"/>
            <w:i/>
            <w:noProof/>
          </w:rPr>
          <w:t xml:space="preserve">2.2 </w:t>
        </w:r>
        <w:r w:rsidR="000A477C">
          <w:rPr>
            <w:rFonts w:asciiTheme="minorHAnsi" w:eastAsiaTheme="minorEastAsia" w:hAnsiTheme="minorHAnsi" w:cstheme="minorBidi"/>
            <w:noProof/>
            <w:sz w:val="22"/>
            <w:szCs w:val="22"/>
          </w:rPr>
          <w:tab/>
        </w:r>
        <w:r w:rsidR="000A477C" w:rsidRPr="00037156">
          <w:rPr>
            <w:rStyle w:val="Hyperlink"/>
            <w:i/>
            <w:noProof/>
          </w:rPr>
          <w:t>Hoofdverblijfcriterium voor verlaagde tarief en startersvrijstelling</w:t>
        </w:r>
        <w:r w:rsidR="000A477C">
          <w:rPr>
            <w:noProof/>
            <w:webHidden/>
          </w:rPr>
          <w:tab/>
        </w:r>
        <w:r w:rsidR="000A477C">
          <w:rPr>
            <w:noProof/>
            <w:webHidden/>
          </w:rPr>
          <w:fldChar w:fldCharType="begin"/>
        </w:r>
        <w:r w:rsidR="000A477C">
          <w:rPr>
            <w:noProof/>
            <w:webHidden/>
          </w:rPr>
          <w:instrText xml:space="preserve"> PAGEREF _Toc50568492 \h </w:instrText>
        </w:r>
        <w:r w:rsidR="000A477C">
          <w:rPr>
            <w:noProof/>
            <w:webHidden/>
          </w:rPr>
        </w:r>
        <w:r w:rsidR="000A477C">
          <w:rPr>
            <w:noProof/>
            <w:webHidden/>
          </w:rPr>
          <w:fldChar w:fldCharType="separate"/>
        </w:r>
        <w:r w:rsidR="000A477C">
          <w:rPr>
            <w:noProof/>
            <w:webHidden/>
          </w:rPr>
          <w:t>11</w:t>
        </w:r>
        <w:r w:rsidR="000A477C">
          <w:rPr>
            <w:noProof/>
            <w:webHidden/>
          </w:rPr>
          <w:fldChar w:fldCharType="end"/>
        </w:r>
      </w:hyperlink>
    </w:p>
    <w:p w:rsidR="000A477C" w:rsidRDefault="0017340B">
      <w:pPr>
        <w:pStyle w:val="Inhopg1"/>
        <w:rPr>
          <w:rFonts w:asciiTheme="minorHAnsi" w:eastAsiaTheme="minorEastAsia" w:hAnsiTheme="minorHAnsi" w:cstheme="minorBidi"/>
          <w:noProof/>
          <w:sz w:val="22"/>
          <w:szCs w:val="22"/>
        </w:rPr>
      </w:pPr>
      <w:hyperlink w:anchor="_Toc50568493" w:history="1">
        <w:r w:rsidR="000A477C" w:rsidRPr="00037156">
          <w:rPr>
            <w:rStyle w:val="Hyperlink"/>
            <w:i/>
            <w:noProof/>
          </w:rPr>
          <w:t xml:space="preserve">2.3 </w:t>
        </w:r>
        <w:r w:rsidR="000A477C">
          <w:rPr>
            <w:rFonts w:asciiTheme="minorHAnsi" w:eastAsiaTheme="minorEastAsia" w:hAnsiTheme="minorHAnsi" w:cstheme="minorBidi"/>
            <w:noProof/>
            <w:sz w:val="22"/>
            <w:szCs w:val="22"/>
          </w:rPr>
          <w:tab/>
        </w:r>
        <w:r w:rsidR="000A477C" w:rsidRPr="00037156">
          <w:rPr>
            <w:rStyle w:val="Hyperlink"/>
            <w:i/>
            <w:noProof/>
          </w:rPr>
          <w:t>Uitzondering bepaalde fictieve onroerende zaken en de economische eigendom</w:t>
        </w:r>
        <w:r w:rsidR="000A477C">
          <w:rPr>
            <w:noProof/>
            <w:webHidden/>
          </w:rPr>
          <w:tab/>
        </w:r>
        <w:r w:rsidR="000A477C">
          <w:rPr>
            <w:noProof/>
            <w:webHidden/>
          </w:rPr>
          <w:fldChar w:fldCharType="begin"/>
        </w:r>
        <w:r w:rsidR="000A477C">
          <w:rPr>
            <w:noProof/>
            <w:webHidden/>
          </w:rPr>
          <w:instrText xml:space="preserve"> PAGEREF _Toc50568493 \h </w:instrText>
        </w:r>
        <w:r w:rsidR="000A477C">
          <w:rPr>
            <w:noProof/>
            <w:webHidden/>
          </w:rPr>
        </w:r>
        <w:r w:rsidR="000A477C">
          <w:rPr>
            <w:noProof/>
            <w:webHidden/>
          </w:rPr>
          <w:fldChar w:fldCharType="separate"/>
        </w:r>
        <w:r w:rsidR="000A477C">
          <w:rPr>
            <w:noProof/>
            <w:webHidden/>
          </w:rPr>
          <w:t>14</w:t>
        </w:r>
        <w:r w:rsidR="000A477C">
          <w:rPr>
            <w:noProof/>
            <w:webHidden/>
          </w:rPr>
          <w:fldChar w:fldCharType="end"/>
        </w:r>
      </w:hyperlink>
    </w:p>
    <w:p w:rsidR="000A477C" w:rsidRDefault="0017340B">
      <w:pPr>
        <w:pStyle w:val="Inhopg1"/>
        <w:rPr>
          <w:rFonts w:asciiTheme="minorHAnsi" w:eastAsiaTheme="minorEastAsia" w:hAnsiTheme="minorHAnsi" w:cstheme="minorBidi"/>
          <w:noProof/>
          <w:sz w:val="22"/>
          <w:szCs w:val="22"/>
        </w:rPr>
      </w:pPr>
      <w:hyperlink w:anchor="_Toc50568494" w:history="1">
        <w:r w:rsidR="000A477C" w:rsidRPr="00037156">
          <w:rPr>
            <w:rStyle w:val="Hyperlink"/>
            <w:i/>
            <w:noProof/>
          </w:rPr>
          <w:t xml:space="preserve">2.4 </w:t>
        </w:r>
        <w:r w:rsidR="000A477C">
          <w:rPr>
            <w:rFonts w:asciiTheme="minorHAnsi" w:eastAsiaTheme="minorEastAsia" w:hAnsiTheme="minorHAnsi" w:cstheme="minorBidi"/>
            <w:noProof/>
            <w:sz w:val="22"/>
            <w:szCs w:val="22"/>
          </w:rPr>
          <w:tab/>
        </w:r>
        <w:r w:rsidR="000A477C" w:rsidRPr="00037156">
          <w:rPr>
            <w:rStyle w:val="Hyperlink"/>
            <w:i/>
            <w:noProof/>
          </w:rPr>
          <w:t>Verhoging algemene tarief</w:t>
        </w:r>
        <w:r w:rsidR="000A477C">
          <w:rPr>
            <w:noProof/>
            <w:webHidden/>
          </w:rPr>
          <w:tab/>
        </w:r>
        <w:r w:rsidR="000A477C">
          <w:rPr>
            <w:noProof/>
            <w:webHidden/>
          </w:rPr>
          <w:fldChar w:fldCharType="begin"/>
        </w:r>
        <w:r w:rsidR="000A477C">
          <w:rPr>
            <w:noProof/>
            <w:webHidden/>
          </w:rPr>
          <w:instrText xml:space="preserve"> PAGEREF _Toc50568494 \h </w:instrText>
        </w:r>
        <w:r w:rsidR="000A477C">
          <w:rPr>
            <w:noProof/>
            <w:webHidden/>
          </w:rPr>
        </w:r>
        <w:r w:rsidR="000A477C">
          <w:rPr>
            <w:noProof/>
            <w:webHidden/>
          </w:rPr>
          <w:fldChar w:fldCharType="separate"/>
        </w:r>
        <w:r w:rsidR="000A477C">
          <w:rPr>
            <w:noProof/>
            <w:webHidden/>
          </w:rPr>
          <w:t>15</w:t>
        </w:r>
        <w:r w:rsidR="000A477C">
          <w:rPr>
            <w:noProof/>
            <w:webHidden/>
          </w:rPr>
          <w:fldChar w:fldCharType="end"/>
        </w:r>
      </w:hyperlink>
    </w:p>
    <w:p w:rsidR="000A477C" w:rsidRDefault="0017340B">
      <w:pPr>
        <w:pStyle w:val="Inhopg1"/>
        <w:rPr>
          <w:rFonts w:asciiTheme="minorHAnsi" w:eastAsiaTheme="minorEastAsia" w:hAnsiTheme="minorHAnsi" w:cstheme="minorBidi"/>
          <w:noProof/>
          <w:sz w:val="22"/>
          <w:szCs w:val="22"/>
        </w:rPr>
      </w:pPr>
      <w:hyperlink w:anchor="_Toc50568495" w:history="1">
        <w:r w:rsidR="000A477C" w:rsidRPr="00037156">
          <w:rPr>
            <w:rStyle w:val="Hyperlink"/>
            <w:i/>
            <w:noProof/>
          </w:rPr>
          <w:t xml:space="preserve">2.5 </w:t>
        </w:r>
        <w:r w:rsidR="000A477C">
          <w:rPr>
            <w:rFonts w:asciiTheme="minorHAnsi" w:eastAsiaTheme="minorEastAsia" w:hAnsiTheme="minorHAnsi" w:cstheme="minorBidi"/>
            <w:noProof/>
            <w:sz w:val="22"/>
            <w:szCs w:val="22"/>
          </w:rPr>
          <w:tab/>
        </w:r>
        <w:r w:rsidR="000A477C" w:rsidRPr="00037156">
          <w:rPr>
            <w:rStyle w:val="Hyperlink"/>
            <w:i/>
            <w:noProof/>
          </w:rPr>
          <w:t>Aangifteplicht bij toepassing van een vrijstelling</w:t>
        </w:r>
        <w:r w:rsidR="000A477C">
          <w:rPr>
            <w:noProof/>
            <w:webHidden/>
          </w:rPr>
          <w:tab/>
        </w:r>
        <w:r w:rsidR="000A477C">
          <w:rPr>
            <w:noProof/>
            <w:webHidden/>
          </w:rPr>
          <w:fldChar w:fldCharType="begin"/>
        </w:r>
        <w:r w:rsidR="000A477C">
          <w:rPr>
            <w:noProof/>
            <w:webHidden/>
          </w:rPr>
          <w:instrText xml:space="preserve"> PAGEREF _Toc50568495 \h </w:instrText>
        </w:r>
        <w:r w:rsidR="000A477C">
          <w:rPr>
            <w:noProof/>
            <w:webHidden/>
          </w:rPr>
        </w:r>
        <w:r w:rsidR="000A477C">
          <w:rPr>
            <w:noProof/>
            <w:webHidden/>
          </w:rPr>
          <w:fldChar w:fldCharType="separate"/>
        </w:r>
        <w:r w:rsidR="000A477C">
          <w:rPr>
            <w:noProof/>
            <w:webHidden/>
          </w:rPr>
          <w:t>15</w:t>
        </w:r>
        <w:r w:rsidR="000A477C">
          <w:rPr>
            <w:noProof/>
            <w:webHidden/>
          </w:rPr>
          <w:fldChar w:fldCharType="end"/>
        </w:r>
      </w:hyperlink>
    </w:p>
    <w:p w:rsidR="000A477C" w:rsidRDefault="0017340B">
      <w:pPr>
        <w:pStyle w:val="Inhopg1"/>
        <w:rPr>
          <w:rFonts w:asciiTheme="minorHAnsi" w:eastAsiaTheme="minorEastAsia" w:hAnsiTheme="minorHAnsi" w:cstheme="minorBidi"/>
          <w:noProof/>
          <w:sz w:val="22"/>
          <w:szCs w:val="22"/>
        </w:rPr>
      </w:pPr>
      <w:hyperlink w:anchor="_Toc50568496" w:history="1">
        <w:r w:rsidR="000A477C" w:rsidRPr="00037156">
          <w:rPr>
            <w:rStyle w:val="Hyperlink"/>
            <w:i/>
            <w:noProof/>
          </w:rPr>
          <w:t>3.</w:t>
        </w:r>
        <w:r w:rsidR="000A477C">
          <w:rPr>
            <w:rFonts w:asciiTheme="minorHAnsi" w:eastAsiaTheme="minorEastAsia" w:hAnsiTheme="minorHAnsi" w:cstheme="minorBidi"/>
            <w:noProof/>
            <w:sz w:val="22"/>
            <w:szCs w:val="22"/>
          </w:rPr>
          <w:tab/>
        </w:r>
        <w:r w:rsidR="000A477C" w:rsidRPr="00037156">
          <w:rPr>
            <w:rStyle w:val="Hyperlink"/>
            <w:i/>
            <w:noProof/>
          </w:rPr>
          <w:t>Budgettaire aspecten</w:t>
        </w:r>
        <w:r w:rsidR="000A477C">
          <w:rPr>
            <w:noProof/>
            <w:webHidden/>
          </w:rPr>
          <w:tab/>
        </w:r>
        <w:r w:rsidR="000A477C">
          <w:rPr>
            <w:noProof/>
            <w:webHidden/>
          </w:rPr>
          <w:fldChar w:fldCharType="begin"/>
        </w:r>
        <w:r w:rsidR="000A477C">
          <w:rPr>
            <w:noProof/>
            <w:webHidden/>
          </w:rPr>
          <w:instrText xml:space="preserve"> PAGEREF _Toc50568496 \h </w:instrText>
        </w:r>
        <w:r w:rsidR="000A477C">
          <w:rPr>
            <w:noProof/>
            <w:webHidden/>
          </w:rPr>
        </w:r>
        <w:r w:rsidR="000A477C">
          <w:rPr>
            <w:noProof/>
            <w:webHidden/>
          </w:rPr>
          <w:fldChar w:fldCharType="separate"/>
        </w:r>
        <w:r w:rsidR="000A477C">
          <w:rPr>
            <w:noProof/>
            <w:webHidden/>
          </w:rPr>
          <w:t>15</w:t>
        </w:r>
        <w:r w:rsidR="000A477C">
          <w:rPr>
            <w:noProof/>
            <w:webHidden/>
          </w:rPr>
          <w:fldChar w:fldCharType="end"/>
        </w:r>
      </w:hyperlink>
    </w:p>
    <w:p w:rsidR="000A477C" w:rsidRDefault="0017340B">
      <w:pPr>
        <w:pStyle w:val="Inhopg1"/>
        <w:rPr>
          <w:rFonts w:asciiTheme="minorHAnsi" w:eastAsiaTheme="minorEastAsia" w:hAnsiTheme="minorHAnsi" w:cstheme="minorBidi"/>
          <w:noProof/>
          <w:sz w:val="22"/>
          <w:szCs w:val="22"/>
        </w:rPr>
      </w:pPr>
      <w:hyperlink w:anchor="_Toc50568497" w:history="1">
        <w:r w:rsidR="000A477C" w:rsidRPr="00037156">
          <w:rPr>
            <w:rStyle w:val="Hyperlink"/>
            <w:i/>
            <w:noProof/>
          </w:rPr>
          <w:t>4.</w:t>
        </w:r>
        <w:r w:rsidR="000A477C">
          <w:rPr>
            <w:rFonts w:asciiTheme="minorHAnsi" w:eastAsiaTheme="minorEastAsia" w:hAnsiTheme="minorHAnsi" w:cstheme="minorBidi"/>
            <w:noProof/>
            <w:sz w:val="22"/>
            <w:szCs w:val="22"/>
          </w:rPr>
          <w:tab/>
        </w:r>
        <w:r w:rsidR="000A477C" w:rsidRPr="00037156">
          <w:rPr>
            <w:rStyle w:val="Hyperlink"/>
            <w:i/>
            <w:noProof/>
          </w:rPr>
          <w:t>Evaluatie en horizonbepaling</w:t>
        </w:r>
        <w:r w:rsidR="000A477C">
          <w:rPr>
            <w:noProof/>
            <w:webHidden/>
          </w:rPr>
          <w:tab/>
        </w:r>
        <w:r w:rsidR="000A477C">
          <w:rPr>
            <w:noProof/>
            <w:webHidden/>
          </w:rPr>
          <w:fldChar w:fldCharType="begin"/>
        </w:r>
        <w:r w:rsidR="000A477C">
          <w:rPr>
            <w:noProof/>
            <w:webHidden/>
          </w:rPr>
          <w:instrText xml:space="preserve"> PAGEREF _Toc50568497 \h </w:instrText>
        </w:r>
        <w:r w:rsidR="000A477C">
          <w:rPr>
            <w:noProof/>
            <w:webHidden/>
          </w:rPr>
        </w:r>
        <w:r w:rsidR="000A477C">
          <w:rPr>
            <w:noProof/>
            <w:webHidden/>
          </w:rPr>
          <w:fldChar w:fldCharType="separate"/>
        </w:r>
        <w:r w:rsidR="000A477C">
          <w:rPr>
            <w:noProof/>
            <w:webHidden/>
          </w:rPr>
          <w:t>16</w:t>
        </w:r>
        <w:r w:rsidR="000A477C">
          <w:rPr>
            <w:noProof/>
            <w:webHidden/>
          </w:rPr>
          <w:fldChar w:fldCharType="end"/>
        </w:r>
      </w:hyperlink>
    </w:p>
    <w:p w:rsidR="000A477C" w:rsidRDefault="0017340B">
      <w:pPr>
        <w:pStyle w:val="Inhopg1"/>
        <w:rPr>
          <w:rFonts w:asciiTheme="minorHAnsi" w:eastAsiaTheme="minorEastAsia" w:hAnsiTheme="minorHAnsi" w:cstheme="minorBidi"/>
          <w:noProof/>
          <w:sz w:val="22"/>
          <w:szCs w:val="22"/>
        </w:rPr>
      </w:pPr>
      <w:hyperlink w:anchor="_Toc50568498" w:history="1">
        <w:r w:rsidR="000A477C" w:rsidRPr="00037156">
          <w:rPr>
            <w:rStyle w:val="Hyperlink"/>
            <w:i/>
            <w:noProof/>
          </w:rPr>
          <w:t>5.</w:t>
        </w:r>
        <w:r w:rsidR="000A477C">
          <w:rPr>
            <w:rFonts w:asciiTheme="minorHAnsi" w:eastAsiaTheme="minorEastAsia" w:hAnsiTheme="minorHAnsi" w:cstheme="minorBidi"/>
            <w:noProof/>
            <w:sz w:val="22"/>
            <w:szCs w:val="22"/>
          </w:rPr>
          <w:tab/>
        </w:r>
        <w:r w:rsidR="000A477C" w:rsidRPr="00037156">
          <w:rPr>
            <w:rStyle w:val="Hyperlink"/>
            <w:i/>
            <w:noProof/>
          </w:rPr>
          <w:t>Uitvoerings- en handhavingsaspecten</w:t>
        </w:r>
        <w:r w:rsidR="000A477C">
          <w:rPr>
            <w:noProof/>
            <w:webHidden/>
          </w:rPr>
          <w:tab/>
        </w:r>
        <w:r w:rsidR="000A477C">
          <w:rPr>
            <w:noProof/>
            <w:webHidden/>
          </w:rPr>
          <w:fldChar w:fldCharType="begin"/>
        </w:r>
        <w:r w:rsidR="000A477C">
          <w:rPr>
            <w:noProof/>
            <w:webHidden/>
          </w:rPr>
          <w:instrText xml:space="preserve"> PAGEREF _Toc50568498 \h </w:instrText>
        </w:r>
        <w:r w:rsidR="000A477C">
          <w:rPr>
            <w:noProof/>
            <w:webHidden/>
          </w:rPr>
        </w:r>
        <w:r w:rsidR="000A477C">
          <w:rPr>
            <w:noProof/>
            <w:webHidden/>
          </w:rPr>
          <w:fldChar w:fldCharType="separate"/>
        </w:r>
        <w:r w:rsidR="000A477C">
          <w:rPr>
            <w:noProof/>
            <w:webHidden/>
          </w:rPr>
          <w:t>17</w:t>
        </w:r>
        <w:r w:rsidR="000A477C">
          <w:rPr>
            <w:noProof/>
            <w:webHidden/>
          </w:rPr>
          <w:fldChar w:fldCharType="end"/>
        </w:r>
      </w:hyperlink>
    </w:p>
    <w:p w:rsidR="000A477C" w:rsidRDefault="0017340B">
      <w:pPr>
        <w:pStyle w:val="Inhopg1"/>
        <w:rPr>
          <w:rFonts w:asciiTheme="minorHAnsi" w:eastAsiaTheme="minorEastAsia" w:hAnsiTheme="minorHAnsi" w:cstheme="minorBidi"/>
          <w:noProof/>
          <w:sz w:val="22"/>
          <w:szCs w:val="22"/>
        </w:rPr>
      </w:pPr>
      <w:hyperlink w:anchor="_Toc50568499" w:history="1">
        <w:r w:rsidR="000A477C" w:rsidRPr="00037156">
          <w:rPr>
            <w:rStyle w:val="Hyperlink"/>
            <w:i/>
            <w:noProof/>
          </w:rPr>
          <w:t>6.</w:t>
        </w:r>
        <w:r w:rsidR="000A477C">
          <w:rPr>
            <w:rFonts w:asciiTheme="minorHAnsi" w:eastAsiaTheme="minorEastAsia" w:hAnsiTheme="minorHAnsi" w:cstheme="minorBidi"/>
            <w:noProof/>
            <w:sz w:val="22"/>
            <w:szCs w:val="22"/>
          </w:rPr>
          <w:tab/>
        </w:r>
        <w:r w:rsidR="000A477C" w:rsidRPr="00037156">
          <w:rPr>
            <w:rStyle w:val="Hyperlink"/>
            <w:i/>
            <w:noProof/>
          </w:rPr>
          <w:t>Advies en consultatie</w:t>
        </w:r>
        <w:r w:rsidR="000A477C">
          <w:rPr>
            <w:noProof/>
            <w:webHidden/>
          </w:rPr>
          <w:tab/>
        </w:r>
        <w:r w:rsidR="000A477C">
          <w:rPr>
            <w:noProof/>
            <w:webHidden/>
          </w:rPr>
          <w:fldChar w:fldCharType="begin"/>
        </w:r>
        <w:r w:rsidR="000A477C">
          <w:rPr>
            <w:noProof/>
            <w:webHidden/>
          </w:rPr>
          <w:instrText xml:space="preserve"> PAGEREF _Toc50568499 \h </w:instrText>
        </w:r>
        <w:r w:rsidR="000A477C">
          <w:rPr>
            <w:noProof/>
            <w:webHidden/>
          </w:rPr>
        </w:r>
        <w:r w:rsidR="000A477C">
          <w:rPr>
            <w:noProof/>
            <w:webHidden/>
          </w:rPr>
          <w:fldChar w:fldCharType="separate"/>
        </w:r>
        <w:r w:rsidR="000A477C">
          <w:rPr>
            <w:noProof/>
            <w:webHidden/>
          </w:rPr>
          <w:t>18</w:t>
        </w:r>
        <w:r w:rsidR="000A477C">
          <w:rPr>
            <w:noProof/>
            <w:webHidden/>
          </w:rPr>
          <w:fldChar w:fldCharType="end"/>
        </w:r>
      </w:hyperlink>
    </w:p>
    <w:p w:rsidR="000A477C" w:rsidRDefault="0017340B">
      <w:pPr>
        <w:pStyle w:val="Inhopg1"/>
        <w:rPr>
          <w:rFonts w:asciiTheme="minorHAnsi" w:eastAsiaTheme="minorEastAsia" w:hAnsiTheme="minorHAnsi" w:cstheme="minorBidi"/>
          <w:noProof/>
          <w:sz w:val="22"/>
          <w:szCs w:val="22"/>
        </w:rPr>
      </w:pPr>
      <w:hyperlink w:anchor="_Toc50568500" w:history="1">
        <w:r w:rsidR="000A477C" w:rsidRPr="00037156">
          <w:rPr>
            <w:rStyle w:val="Hyperlink"/>
            <w:i/>
            <w:noProof/>
          </w:rPr>
          <w:t>7.</w:t>
        </w:r>
        <w:r w:rsidR="000A477C">
          <w:rPr>
            <w:rFonts w:asciiTheme="minorHAnsi" w:eastAsiaTheme="minorEastAsia" w:hAnsiTheme="minorHAnsi" w:cstheme="minorBidi"/>
            <w:noProof/>
            <w:sz w:val="22"/>
            <w:szCs w:val="22"/>
          </w:rPr>
          <w:tab/>
        </w:r>
        <w:r w:rsidR="000A477C" w:rsidRPr="00037156">
          <w:rPr>
            <w:rStyle w:val="Hyperlink"/>
            <w:i/>
            <w:noProof/>
          </w:rPr>
          <w:t>Administratieve lasten</w:t>
        </w:r>
        <w:r w:rsidR="000A477C">
          <w:rPr>
            <w:noProof/>
            <w:webHidden/>
          </w:rPr>
          <w:tab/>
        </w:r>
        <w:r w:rsidR="000A477C">
          <w:rPr>
            <w:noProof/>
            <w:webHidden/>
          </w:rPr>
          <w:fldChar w:fldCharType="begin"/>
        </w:r>
        <w:r w:rsidR="000A477C">
          <w:rPr>
            <w:noProof/>
            <w:webHidden/>
          </w:rPr>
          <w:instrText xml:space="preserve"> PAGEREF _Toc50568500 \h </w:instrText>
        </w:r>
        <w:r w:rsidR="000A477C">
          <w:rPr>
            <w:noProof/>
            <w:webHidden/>
          </w:rPr>
        </w:r>
        <w:r w:rsidR="000A477C">
          <w:rPr>
            <w:noProof/>
            <w:webHidden/>
          </w:rPr>
          <w:fldChar w:fldCharType="separate"/>
        </w:r>
        <w:r w:rsidR="000A477C">
          <w:rPr>
            <w:noProof/>
            <w:webHidden/>
          </w:rPr>
          <w:t>19</w:t>
        </w:r>
        <w:r w:rsidR="000A477C">
          <w:rPr>
            <w:noProof/>
            <w:webHidden/>
          </w:rPr>
          <w:fldChar w:fldCharType="end"/>
        </w:r>
      </w:hyperlink>
    </w:p>
    <w:p w:rsidR="000A477C" w:rsidRDefault="0017340B">
      <w:pPr>
        <w:pStyle w:val="Inhopg1"/>
        <w:rPr>
          <w:rFonts w:asciiTheme="minorHAnsi" w:eastAsiaTheme="minorEastAsia" w:hAnsiTheme="minorHAnsi" w:cstheme="minorBidi"/>
          <w:noProof/>
          <w:sz w:val="22"/>
          <w:szCs w:val="22"/>
        </w:rPr>
      </w:pPr>
      <w:hyperlink w:anchor="_Toc50568501" w:history="1">
        <w:r w:rsidR="000A477C" w:rsidRPr="00037156">
          <w:rPr>
            <w:rStyle w:val="Hyperlink"/>
            <w:i/>
            <w:noProof/>
          </w:rPr>
          <w:t>8.</w:t>
        </w:r>
        <w:r w:rsidR="000A477C">
          <w:rPr>
            <w:rFonts w:asciiTheme="minorHAnsi" w:eastAsiaTheme="minorEastAsia" w:hAnsiTheme="minorHAnsi" w:cstheme="minorBidi"/>
            <w:noProof/>
            <w:sz w:val="22"/>
            <w:szCs w:val="22"/>
          </w:rPr>
          <w:tab/>
        </w:r>
        <w:r w:rsidR="000A477C" w:rsidRPr="00037156">
          <w:rPr>
            <w:rStyle w:val="Hyperlink"/>
            <w:i/>
            <w:noProof/>
          </w:rPr>
          <w:t>Inwerkingtreding</w:t>
        </w:r>
        <w:r w:rsidR="000A477C">
          <w:rPr>
            <w:noProof/>
            <w:webHidden/>
          </w:rPr>
          <w:tab/>
        </w:r>
        <w:r w:rsidR="000A477C">
          <w:rPr>
            <w:noProof/>
            <w:webHidden/>
          </w:rPr>
          <w:fldChar w:fldCharType="begin"/>
        </w:r>
        <w:r w:rsidR="000A477C">
          <w:rPr>
            <w:noProof/>
            <w:webHidden/>
          </w:rPr>
          <w:instrText xml:space="preserve"> PAGEREF _Toc50568501 \h </w:instrText>
        </w:r>
        <w:r w:rsidR="000A477C">
          <w:rPr>
            <w:noProof/>
            <w:webHidden/>
          </w:rPr>
        </w:r>
        <w:r w:rsidR="000A477C">
          <w:rPr>
            <w:noProof/>
            <w:webHidden/>
          </w:rPr>
          <w:fldChar w:fldCharType="separate"/>
        </w:r>
        <w:r w:rsidR="000A477C">
          <w:rPr>
            <w:noProof/>
            <w:webHidden/>
          </w:rPr>
          <w:t>21</w:t>
        </w:r>
        <w:r w:rsidR="000A477C">
          <w:rPr>
            <w:noProof/>
            <w:webHidden/>
          </w:rPr>
          <w:fldChar w:fldCharType="end"/>
        </w:r>
      </w:hyperlink>
    </w:p>
    <w:p w:rsidR="000A477C" w:rsidRDefault="0017340B">
      <w:pPr>
        <w:pStyle w:val="Inhopg1"/>
        <w:rPr>
          <w:rFonts w:asciiTheme="minorHAnsi" w:eastAsiaTheme="minorEastAsia" w:hAnsiTheme="minorHAnsi" w:cstheme="minorBidi"/>
          <w:noProof/>
          <w:sz w:val="22"/>
          <w:szCs w:val="22"/>
        </w:rPr>
      </w:pPr>
      <w:hyperlink w:anchor="_Toc50568502" w:history="1">
        <w:r w:rsidR="000A477C" w:rsidRPr="00037156">
          <w:rPr>
            <w:rStyle w:val="Hyperlink"/>
            <w:noProof/>
          </w:rPr>
          <w:t>II. ARTIKELSGEWIJZE TOELICHTING</w:t>
        </w:r>
        <w:r w:rsidR="000A477C">
          <w:rPr>
            <w:noProof/>
            <w:webHidden/>
          </w:rPr>
          <w:tab/>
        </w:r>
        <w:r w:rsidR="000A477C">
          <w:rPr>
            <w:noProof/>
            <w:webHidden/>
          </w:rPr>
          <w:fldChar w:fldCharType="begin"/>
        </w:r>
        <w:r w:rsidR="000A477C">
          <w:rPr>
            <w:noProof/>
            <w:webHidden/>
          </w:rPr>
          <w:instrText xml:space="preserve"> PAGEREF _Toc50568502 \h </w:instrText>
        </w:r>
        <w:r w:rsidR="000A477C">
          <w:rPr>
            <w:noProof/>
            <w:webHidden/>
          </w:rPr>
        </w:r>
        <w:r w:rsidR="000A477C">
          <w:rPr>
            <w:noProof/>
            <w:webHidden/>
          </w:rPr>
          <w:fldChar w:fldCharType="separate"/>
        </w:r>
        <w:r w:rsidR="000A477C">
          <w:rPr>
            <w:noProof/>
            <w:webHidden/>
          </w:rPr>
          <w:t>21</w:t>
        </w:r>
        <w:r w:rsidR="000A477C">
          <w:rPr>
            <w:noProof/>
            <w:webHidden/>
          </w:rPr>
          <w:fldChar w:fldCharType="end"/>
        </w:r>
      </w:hyperlink>
    </w:p>
    <w:p w:rsidR="008E1495" w:rsidRPr="00773A13" w:rsidRDefault="008E1495" w:rsidP="008A26B8">
      <w:pPr>
        <w:pStyle w:val="Inhopg1"/>
      </w:pPr>
      <w:r w:rsidRPr="00773A13">
        <w:fldChar w:fldCharType="end"/>
      </w:r>
    </w:p>
    <w:p w:rsidR="00B73046" w:rsidRPr="00773A13" w:rsidRDefault="008E1495" w:rsidP="009D6FC4">
      <w:pPr>
        <w:pStyle w:val="Kop1"/>
        <w:ind w:firstLine="0"/>
        <w:rPr>
          <w:rFonts w:ascii="Verdana" w:hAnsi="Verdana"/>
          <w:color w:val="auto"/>
          <w:sz w:val="32"/>
          <w:szCs w:val="32"/>
        </w:rPr>
      </w:pPr>
      <w:r w:rsidRPr="00773A13">
        <w:rPr>
          <w:color w:val="auto"/>
        </w:rPr>
        <w:br w:type="page"/>
      </w:r>
      <w:bookmarkStart w:id="1" w:name="_Toc46407546"/>
      <w:bookmarkStart w:id="2" w:name="_Toc49418727"/>
      <w:bookmarkStart w:id="3" w:name="_Toc50568488"/>
      <w:r w:rsidRPr="00773A13">
        <w:rPr>
          <w:rFonts w:ascii="Verdana" w:hAnsi="Verdana"/>
          <w:color w:val="auto"/>
          <w:sz w:val="32"/>
          <w:szCs w:val="32"/>
        </w:rPr>
        <w:lastRenderedPageBreak/>
        <w:t>I. ALGEMEEN</w:t>
      </w:r>
      <w:bookmarkEnd w:id="1"/>
      <w:bookmarkEnd w:id="2"/>
      <w:bookmarkEnd w:id="3"/>
    </w:p>
    <w:p w:rsidR="008E1495" w:rsidRPr="00773A13" w:rsidRDefault="008E1495" w:rsidP="009D6FC4">
      <w:pPr>
        <w:pStyle w:val="Kop1"/>
        <w:numPr>
          <w:ilvl w:val="0"/>
          <w:numId w:val="23"/>
        </w:numPr>
        <w:rPr>
          <w:rFonts w:ascii="Verdana" w:hAnsi="Verdana"/>
          <w:i/>
          <w:color w:val="auto"/>
          <w:sz w:val="18"/>
        </w:rPr>
      </w:pPr>
      <w:bookmarkStart w:id="4" w:name="_Toc509217268"/>
      <w:bookmarkStart w:id="5" w:name="_Toc509324728"/>
      <w:bookmarkStart w:id="6" w:name="_Toc520885971"/>
      <w:bookmarkStart w:id="7" w:name="_Toc515974565"/>
      <w:bookmarkStart w:id="8" w:name="_Toc524638716"/>
      <w:bookmarkStart w:id="9" w:name="_Toc46407547"/>
      <w:bookmarkStart w:id="10" w:name="_Toc49418728"/>
      <w:bookmarkStart w:id="11" w:name="_Toc50568489"/>
      <w:r w:rsidRPr="00773A13">
        <w:rPr>
          <w:rFonts w:ascii="Verdana" w:hAnsi="Verdana"/>
          <w:i/>
          <w:color w:val="auto"/>
          <w:sz w:val="18"/>
        </w:rPr>
        <w:t>Inleiding</w:t>
      </w:r>
      <w:bookmarkEnd w:id="4"/>
      <w:bookmarkEnd w:id="5"/>
      <w:bookmarkEnd w:id="6"/>
      <w:bookmarkEnd w:id="7"/>
      <w:bookmarkEnd w:id="8"/>
      <w:bookmarkEnd w:id="9"/>
      <w:bookmarkEnd w:id="10"/>
      <w:bookmarkEnd w:id="11"/>
    </w:p>
    <w:p w:rsidR="00E734CC" w:rsidRPr="00773A13" w:rsidRDefault="00E734CC" w:rsidP="009D6FC4">
      <w:pPr>
        <w:spacing w:line="360" w:lineRule="auto"/>
        <w:rPr>
          <w:lang w:eastAsia="nl-NL"/>
        </w:rPr>
      </w:pPr>
    </w:p>
    <w:p w:rsidR="00E734CC" w:rsidRPr="00773A13" w:rsidRDefault="00E734CC" w:rsidP="009D6FC4">
      <w:pPr>
        <w:spacing w:after="0" w:line="360" w:lineRule="auto"/>
        <w:rPr>
          <w:i/>
        </w:rPr>
      </w:pPr>
      <w:r w:rsidRPr="00773A13">
        <w:rPr>
          <w:i/>
        </w:rPr>
        <w:t>Motie Dik-Faber</w:t>
      </w:r>
      <w:r w:rsidR="00AC5D96" w:rsidRPr="00773A13">
        <w:rPr>
          <w:i/>
        </w:rPr>
        <w:t xml:space="preserve"> en </w:t>
      </w:r>
      <w:r w:rsidRPr="00773A13">
        <w:rPr>
          <w:i/>
        </w:rPr>
        <w:t>Ronnes</w:t>
      </w:r>
    </w:p>
    <w:p w:rsidR="00E734CC" w:rsidRPr="00773A13" w:rsidRDefault="00E734CC" w:rsidP="009D6FC4">
      <w:pPr>
        <w:spacing w:after="0" w:line="360" w:lineRule="auto"/>
      </w:pPr>
      <w:r w:rsidRPr="00773A13">
        <w:t>De Tweede Kamer</w:t>
      </w:r>
      <w:r w:rsidR="00933E34" w:rsidRPr="00773A13">
        <w:t xml:space="preserve"> </w:t>
      </w:r>
      <w:r w:rsidRPr="00773A13">
        <w:t>heeft de regering bij de unaniem aangenomen motie Dik-Faber</w:t>
      </w:r>
      <w:r w:rsidR="00AC5D96" w:rsidRPr="00773A13">
        <w:t xml:space="preserve"> en </w:t>
      </w:r>
      <w:r w:rsidRPr="00773A13">
        <w:t>Ronnes verzocht een verkenning uit te voeren naar een gedifferentieerde overdrachtsbelasting, waarbij starters vrijgesteld worden van overdrachtsbelasting en beleggers vanaf de derde woning met een hoger tarief te maken krijgen.</w:t>
      </w:r>
      <w:r w:rsidR="00933E34" w:rsidRPr="00773A13">
        <w:rPr>
          <w:vertAlign w:val="superscript"/>
        </w:rPr>
        <w:footnoteReference w:id="2"/>
      </w:r>
      <w:r w:rsidRPr="00773A13">
        <w:t xml:space="preserve"> </w:t>
      </w:r>
      <w:r w:rsidR="00933E34" w:rsidRPr="00773A13">
        <w:t>Het d</w:t>
      </w:r>
      <w:r w:rsidRPr="00773A13">
        <w:t xml:space="preserve">oel van de motie is het verbeteren van de positie van starters op de woningmarkt ten opzichte van beleggers, omdat beleggers starters </w:t>
      </w:r>
      <w:r w:rsidR="00C31CC9">
        <w:t xml:space="preserve">vooral in </w:t>
      </w:r>
      <w:r w:rsidR="008276B6">
        <w:t>(</w:t>
      </w:r>
      <w:r w:rsidR="00C31CC9">
        <w:t>grotere</w:t>
      </w:r>
      <w:r w:rsidR="008276B6">
        <w:t>)</w:t>
      </w:r>
      <w:r w:rsidR="00C31CC9">
        <w:t xml:space="preserve"> steden </w:t>
      </w:r>
      <w:r w:rsidRPr="00773A13">
        <w:t xml:space="preserve">vaak te vlug af zijn. Daardoor is het voor starters steeds moeilijker om een </w:t>
      </w:r>
      <w:r w:rsidR="00933E34" w:rsidRPr="00773A13">
        <w:t xml:space="preserve">woning </w:t>
      </w:r>
      <w:r w:rsidRPr="00773A13">
        <w:t xml:space="preserve">te kopen. </w:t>
      </w:r>
    </w:p>
    <w:p w:rsidR="00E734CC" w:rsidRPr="00773A13" w:rsidRDefault="00E734CC" w:rsidP="009D6FC4">
      <w:pPr>
        <w:spacing w:after="0" w:line="360" w:lineRule="auto"/>
      </w:pPr>
    </w:p>
    <w:p w:rsidR="00E734CC" w:rsidRPr="00773A13" w:rsidRDefault="00E734CC" w:rsidP="009D6FC4">
      <w:pPr>
        <w:spacing w:after="0" w:line="360" w:lineRule="auto"/>
      </w:pPr>
      <w:r w:rsidRPr="00773A13">
        <w:t xml:space="preserve">Naar aanleiding van de motie heeft het kabinet opdracht gegeven aan het onderzoeksbureau Dialogic om te onderzoeken of een differentiatie van de overdrachtsbelasting voor starters en voor beleggers op een doelmatige, doeltreffende en uitvoerbare wijze mogelijk is. Deze rapporten zijn op 17 juni </w:t>
      </w:r>
      <w:r w:rsidR="00AC5D96" w:rsidRPr="00773A13">
        <w:t xml:space="preserve">2020 </w:t>
      </w:r>
      <w:r w:rsidRPr="00773A13">
        <w:t>aan uw Kamer toegestuurd.</w:t>
      </w:r>
      <w:r w:rsidRPr="00773A13">
        <w:rPr>
          <w:vertAlign w:val="superscript"/>
        </w:rPr>
        <w:footnoteReference w:id="3"/>
      </w:r>
      <w:r w:rsidRPr="00773A13">
        <w:t xml:space="preserve"> Uit de rapporten blijkt dat een differentiatie in de overdrachtsbelasting voor starters en beleggers niet eenvoudig is te realiseren. Dit geldt met name als bij de startersvrijstelling </w:t>
      </w:r>
      <w:r w:rsidR="001E01EB" w:rsidRPr="00773A13">
        <w:t xml:space="preserve">het </w:t>
      </w:r>
      <w:r w:rsidRPr="00773A13">
        <w:t xml:space="preserve">uitgangspunt is dat de verkrijger zich feitelijk voor het eerst op de koopwoningmarkt begeeft </w:t>
      </w:r>
      <w:r w:rsidR="001E01EB" w:rsidRPr="00773A13">
        <w:t xml:space="preserve">en nooit eerder een woning heeft verkregen </w:t>
      </w:r>
      <w:r w:rsidRPr="00773A13">
        <w:t xml:space="preserve">en als voor de beleggersdefinitie </w:t>
      </w:r>
      <w:r w:rsidR="00AD2D39" w:rsidRPr="00773A13">
        <w:t>wordt</w:t>
      </w:r>
      <w:r w:rsidRPr="00773A13">
        <w:t xml:space="preserve"> aangesloten bij het </w:t>
      </w:r>
      <w:r w:rsidR="001E01EB" w:rsidRPr="00773A13">
        <w:t xml:space="preserve">bestaande </w:t>
      </w:r>
      <w:r w:rsidRPr="00773A13">
        <w:t>woningbezit van de verkrijger</w:t>
      </w:r>
      <w:r w:rsidR="001E01EB" w:rsidRPr="00773A13">
        <w:t xml:space="preserve"> op het moment van verkrijging van de nieuwe woning</w:t>
      </w:r>
      <w:r w:rsidRPr="00773A13">
        <w:t xml:space="preserve">. </w:t>
      </w:r>
      <w:r w:rsidR="00A13BE7">
        <w:t>Redenen hiervoor zijn dat het Kadaster niet met zekerheid uit de systemen kan halen wat het woningbezit van een persoon is of in het verleden is geweest. Bovendien bleken de variant</w:t>
      </w:r>
      <w:r w:rsidR="00D12F86">
        <w:t>en</w:t>
      </w:r>
      <w:r w:rsidR="00A13BE7">
        <w:t xml:space="preserve"> die </w:t>
      </w:r>
      <w:r w:rsidR="00D3003F">
        <w:t xml:space="preserve">onderzoeksbureau </w:t>
      </w:r>
      <w:r w:rsidR="00A13BE7">
        <w:t>Dialogic onde</w:t>
      </w:r>
      <w:r w:rsidR="009604C4">
        <w:t>rzocht voor beleggers</w:t>
      </w:r>
      <w:r w:rsidR="00A13BE7">
        <w:t xml:space="preserve"> redelijk eenvoudi</w:t>
      </w:r>
      <w:r w:rsidR="009604C4">
        <w:t xml:space="preserve">g </w:t>
      </w:r>
      <w:r w:rsidR="00A13BE7">
        <w:t xml:space="preserve">te ontgaan via constructies. </w:t>
      </w:r>
      <w:r w:rsidR="00531480">
        <w:t>Dit leidt tot de conclusie dat een differentiatie in de overdrachtsbelasting die gekoppeld is aan het woningbezit van een persoon geen begaanbare route is.</w:t>
      </w:r>
      <w:r w:rsidR="00A13BE7">
        <w:t xml:space="preserve"> </w:t>
      </w:r>
    </w:p>
    <w:p w:rsidR="00E734CC" w:rsidRPr="00773A13" w:rsidRDefault="00E734CC" w:rsidP="009D6FC4">
      <w:pPr>
        <w:spacing w:after="0" w:line="360" w:lineRule="auto"/>
      </w:pPr>
    </w:p>
    <w:p w:rsidR="00E734CC" w:rsidRPr="00773A13" w:rsidRDefault="00E734CC" w:rsidP="009D6FC4">
      <w:pPr>
        <w:spacing w:after="0" w:line="360" w:lineRule="auto"/>
      </w:pPr>
      <w:r w:rsidRPr="00773A13">
        <w:t xml:space="preserve">Tegelijkertijd deelt het kabinet de mening van de Kamer dat </w:t>
      </w:r>
      <w:r w:rsidR="00933E34" w:rsidRPr="00773A13">
        <w:t xml:space="preserve">het </w:t>
      </w:r>
      <w:r w:rsidRPr="00773A13">
        <w:t xml:space="preserve">wenselijk is </w:t>
      </w:r>
      <w:r w:rsidR="00933E34" w:rsidRPr="00773A13">
        <w:t xml:space="preserve">om </w:t>
      </w:r>
      <w:r w:rsidRPr="00773A13">
        <w:t xml:space="preserve">de positie van starters en doorstromers te verstevigen ten opzichte van </w:t>
      </w:r>
      <w:r w:rsidR="00933E34" w:rsidRPr="00773A13">
        <w:t xml:space="preserve">andere kopers, zoals </w:t>
      </w:r>
      <w:r w:rsidRPr="00773A13">
        <w:t>beleggers, zodat zij meer kans maken op een koopwoning.</w:t>
      </w:r>
      <w:r w:rsidR="00C31CC9">
        <w:rPr>
          <w:rStyle w:val="Voetnootmarkering"/>
        </w:rPr>
        <w:footnoteReference w:id="4"/>
      </w:r>
    </w:p>
    <w:p w:rsidR="00E734CC" w:rsidRPr="001834C2" w:rsidRDefault="00E734CC" w:rsidP="009D6FC4">
      <w:pPr>
        <w:spacing w:after="0" w:line="360" w:lineRule="auto"/>
        <w:rPr>
          <w:i/>
        </w:rPr>
      </w:pPr>
    </w:p>
    <w:p w:rsidR="00E734CC" w:rsidRPr="00773A13" w:rsidRDefault="00E734CC" w:rsidP="009D6FC4">
      <w:pPr>
        <w:spacing w:after="0" w:line="360" w:lineRule="auto"/>
        <w:rPr>
          <w:i/>
        </w:rPr>
      </w:pPr>
      <w:r w:rsidRPr="00773A13">
        <w:rPr>
          <w:i/>
        </w:rPr>
        <w:t xml:space="preserve">Economische wenselijkheid van een differentiatie in de overdrachtsbelasting </w:t>
      </w:r>
    </w:p>
    <w:p w:rsidR="00E734CC" w:rsidRPr="00773A13" w:rsidRDefault="00E734CC" w:rsidP="009D6FC4">
      <w:pPr>
        <w:spacing w:line="360" w:lineRule="auto"/>
      </w:pPr>
      <w:r w:rsidRPr="00773A13">
        <w:t xml:space="preserve">Een differentiatie van de overdrachtsbelasting werkt tweeledig. </w:t>
      </w:r>
      <w:r w:rsidR="00933E34" w:rsidRPr="00773A13">
        <w:t>Enerzijds,</w:t>
      </w:r>
      <w:r w:rsidRPr="00773A13">
        <w:t xml:space="preserve"> zorgt een vrijstelling van de overdrachtsbelasting </w:t>
      </w:r>
      <w:r w:rsidR="0048059A" w:rsidRPr="00773A13">
        <w:t>ervoor</w:t>
      </w:r>
      <w:r w:rsidRPr="00773A13">
        <w:t xml:space="preserve"> dat </w:t>
      </w:r>
      <w:r w:rsidR="00546A42">
        <w:t>“</w:t>
      </w:r>
      <w:r w:rsidRPr="00773A13">
        <w:t>starters</w:t>
      </w:r>
      <w:r w:rsidR="00546A42">
        <w:t>”</w:t>
      </w:r>
      <w:r w:rsidRPr="00773A13">
        <w:t xml:space="preserve"> minder lang hoeven te sparen voor hun kosten koper. </w:t>
      </w:r>
      <w:r w:rsidR="00933E34" w:rsidRPr="00773A13">
        <w:t>Anderzijds</w:t>
      </w:r>
      <w:r w:rsidRPr="00773A13">
        <w:t xml:space="preserve"> zorgt een beperking van </w:t>
      </w:r>
      <w:r w:rsidR="00933E34" w:rsidRPr="00773A13">
        <w:t xml:space="preserve">de reikwijdte </w:t>
      </w:r>
      <w:r w:rsidRPr="00773A13">
        <w:t xml:space="preserve">van het verlaagde tarief van 2% voor de </w:t>
      </w:r>
      <w:r w:rsidRPr="00773A13">
        <w:lastRenderedPageBreak/>
        <w:t xml:space="preserve">overdrachtsbelasting dat de positie van </w:t>
      </w:r>
      <w:r w:rsidR="00546A42">
        <w:t>koop</w:t>
      </w:r>
      <w:r w:rsidRPr="00773A13">
        <w:t>starters ten opzichte van andere kopers</w:t>
      </w:r>
      <w:r w:rsidR="00933E34" w:rsidRPr="00773A13">
        <w:t>, zoals beleggers,</w:t>
      </w:r>
      <w:r w:rsidRPr="00773A13">
        <w:t xml:space="preserve"> wordt verbeterd.</w:t>
      </w:r>
      <w:r w:rsidR="00E40DE8">
        <w:t xml:space="preserve"> </w:t>
      </w:r>
    </w:p>
    <w:p w:rsidR="00E734CC" w:rsidRPr="00773A13" w:rsidRDefault="00E734CC" w:rsidP="009D6FC4">
      <w:pPr>
        <w:spacing w:line="360" w:lineRule="auto"/>
      </w:pPr>
      <w:r w:rsidRPr="00773A13">
        <w:t>1. Verlagen kosten koper en verbeteren concurrentiepositie van starters</w:t>
      </w:r>
      <w:r w:rsidRPr="00773A13">
        <w:br/>
      </w:r>
      <w:r w:rsidR="003A0D47">
        <w:t>D</w:t>
      </w:r>
      <w:r w:rsidR="003A0D47" w:rsidRPr="00773A13">
        <w:t xml:space="preserve">e woningprijzen </w:t>
      </w:r>
      <w:r w:rsidR="003A0D47">
        <w:t xml:space="preserve">zijn </w:t>
      </w:r>
      <w:r w:rsidR="003A0D47" w:rsidRPr="00773A13">
        <w:t xml:space="preserve">fors </w:t>
      </w:r>
      <w:r w:rsidR="003A0D47">
        <w:t>gestegen</w:t>
      </w:r>
      <w:r w:rsidR="003A0D47" w:rsidRPr="00773A13">
        <w:t xml:space="preserve">: tussen 2016 en 2019 </w:t>
      </w:r>
      <w:r w:rsidR="003A0D47">
        <w:t>steeg de Prijsindex Bestaande koopwoningen van het Kadaster/CBS gemiddeld met bijna</w:t>
      </w:r>
      <w:r w:rsidR="003A0D47" w:rsidRPr="00773A13">
        <w:t xml:space="preserve"> </w:t>
      </w:r>
      <w:r w:rsidR="003A0D47">
        <w:t>8</w:t>
      </w:r>
      <w:r w:rsidR="003A0D47" w:rsidRPr="00773A13">
        <w:t xml:space="preserve">% per jaar. </w:t>
      </w:r>
      <w:r w:rsidR="003A0D47">
        <w:t>Volgens het Kadaster waren er in 2018 circa 52</w:t>
      </w:r>
      <w:r w:rsidR="003A0D47" w:rsidRPr="00773A13">
        <w:t xml:space="preserve">.000 </w:t>
      </w:r>
      <w:r w:rsidR="003A0D47">
        <w:t>koopstarters in de leeftijd van achttien tot en met vierendertig die nog nooit eerder een woning in bezit hebben gehad.</w:t>
      </w:r>
    </w:p>
    <w:p w:rsidR="00E734CC" w:rsidRPr="00773A13" w:rsidRDefault="00E734CC" w:rsidP="009D6FC4">
      <w:pPr>
        <w:spacing w:line="360" w:lineRule="auto"/>
      </w:pPr>
      <w:r w:rsidRPr="00773A13">
        <w:t xml:space="preserve">De kosten koper bedragen gemiddeld </w:t>
      </w:r>
      <w:r w:rsidR="00702B16">
        <w:t xml:space="preserve">circa </w:t>
      </w:r>
      <w:r w:rsidRPr="00773A13">
        <w:t>6% van de koopsom, ofwel €</w:t>
      </w:r>
      <w:r w:rsidR="007E3079" w:rsidRPr="00773A13">
        <w:t xml:space="preserve"> </w:t>
      </w:r>
      <w:r w:rsidRPr="00773A13">
        <w:t>18.600 bij een gemiddelde hypotheeksom van €</w:t>
      </w:r>
      <w:r w:rsidR="007E3079" w:rsidRPr="00773A13">
        <w:t xml:space="preserve"> </w:t>
      </w:r>
      <w:r w:rsidRPr="00773A13">
        <w:t>310.000</w:t>
      </w:r>
      <w:r w:rsidR="00546A42">
        <w:t>.</w:t>
      </w:r>
      <w:r w:rsidR="008276B6">
        <w:rPr>
          <w:rStyle w:val="Voetnootmarkering"/>
        </w:rPr>
        <w:footnoteReference w:id="5"/>
      </w:r>
      <w:r w:rsidRPr="00773A13">
        <w:t xml:space="preserve"> De overdrachtsbelasting (2% van de koopsom) maakt daar een </w:t>
      </w:r>
      <w:r w:rsidR="009A79EE">
        <w:t>aanzienlijk</w:t>
      </w:r>
      <w:r w:rsidRPr="00773A13">
        <w:t xml:space="preserve"> deel van uit</w:t>
      </w:r>
      <w:r w:rsidR="009C66DD" w:rsidRPr="00773A13">
        <w:t xml:space="preserve"> (</w:t>
      </w:r>
      <w:r w:rsidRPr="00773A13">
        <w:t>€</w:t>
      </w:r>
      <w:r w:rsidR="007E3079" w:rsidRPr="00773A13">
        <w:t xml:space="preserve"> </w:t>
      </w:r>
      <w:r w:rsidRPr="00773A13">
        <w:t>6.200</w:t>
      </w:r>
      <w:r w:rsidR="00576899">
        <w:t xml:space="preserve"> bij een koopsom van € 310.000</w:t>
      </w:r>
      <w:r w:rsidR="009C66DD" w:rsidRPr="00773A13">
        <w:t>)</w:t>
      </w:r>
      <w:r w:rsidRPr="00773A13">
        <w:t>. Overige kosten zijn o</w:t>
      </w:r>
      <w:r w:rsidR="00546A42">
        <w:t>nder andere</w:t>
      </w:r>
      <w:r w:rsidRPr="00773A13">
        <w:t xml:space="preserve"> advies</w:t>
      </w:r>
      <w:r w:rsidR="00576899">
        <w:t>- en bemiddelings</w:t>
      </w:r>
      <w:r w:rsidRPr="00773A13">
        <w:t>kosten, taxatiekosten</w:t>
      </w:r>
      <w:r w:rsidR="008276B6">
        <w:t>,</w:t>
      </w:r>
      <w:r w:rsidRPr="00773A13">
        <w:t xml:space="preserve"> notariskosten</w:t>
      </w:r>
      <w:r w:rsidR="00576899">
        <w:t xml:space="preserve">, eventuele kosten voor een bouwtechnische keuring, </w:t>
      </w:r>
      <w:r w:rsidR="008276B6">
        <w:t>makelaarskosten</w:t>
      </w:r>
      <w:r w:rsidR="00576899">
        <w:t xml:space="preserve"> en kosten voor de afgifte van een bankgarantie</w:t>
      </w:r>
      <w:r w:rsidRPr="00773A13">
        <w:t xml:space="preserve">. Door bijvoorbeeld hoge huurprijzen in het </w:t>
      </w:r>
      <w:r w:rsidR="00016D8A">
        <w:t>geliber</w:t>
      </w:r>
      <w:r w:rsidR="00546A42">
        <w:t>a</w:t>
      </w:r>
      <w:r w:rsidR="00016D8A">
        <w:t>liseerde</w:t>
      </w:r>
      <w:r w:rsidR="00016D8A" w:rsidRPr="00773A13">
        <w:t xml:space="preserve"> </w:t>
      </w:r>
      <w:r w:rsidR="00546A42">
        <w:t>huur</w:t>
      </w:r>
      <w:r w:rsidRPr="00773A13">
        <w:t xml:space="preserve">segment is het voor veel </w:t>
      </w:r>
      <w:r w:rsidR="00AD2D39" w:rsidRPr="00773A13">
        <w:t>jongvolwassenen</w:t>
      </w:r>
      <w:r w:rsidR="000751C1" w:rsidRPr="00773A13">
        <w:t xml:space="preserve"> </w:t>
      </w:r>
      <w:r w:rsidRPr="00773A13">
        <w:t xml:space="preserve">lastig om te sparen voor de kosten koper. </w:t>
      </w:r>
      <w:r w:rsidR="000B2F23" w:rsidRPr="00D32F81">
        <w:t>Uit onderzoek</w:t>
      </w:r>
      <w:r w:rsidRPr="00D32F81">
        <w:rPr>
          <w:rFonts w:cstheme="minorHAnsi"/>
          <w:szCs w:val="18"/>
        </w:rPr>
        <w:t xml:space="preserve"> van de </w:t>
      </w:r>
      <w:r w:rsidR="000B2F23" w:rsidRPr="00D32F81">
        <w:t>Autoriteit Financiële Markten (</w:t>
      </w:r>
      <w:r w:rsidR="00EF1CDB" w:rsidRPr="00D32F81">
        <w:t>AFM</w:t>
      </w:r>
      <w:r w:rsidR="000B2F23" w:rsidRPr="00D32F81">
        <w:t>)</w:t>
      </w:r>
      <w:r w:rsidR="00EF1CDB" w:rsidRPr="00D32F81">
        <w:t xml:space="preserve"> blijkt</w:t>
      </w:r>
      <w:r w:rsidRPr="00D32F81">
        <w:rPr>
          <w:rFonts w:cstheme="minorHAnsi"/>
          <w:szCs w:val="18"/>
        </w:rPr>
        <w:t xml:space="preserve"> dat </w:t>
      </w:r>
      <w:r w:rsidR="00EF1CDB" w:rsidRPr="00D32F81">
        <w:t xml:space="preserve">de liquide buffer </w:t>
      </w:r>
      <w:r w:rsidR="00E426A3">
        <w:t>naar leeftijd van de kostwinnaar</w:t>
      </w:r>
      <w:r w:rsidR="00E426A3" w:rsidRPr="00D32F81">
        <w:t xml:space="preserve"> </w:t>
      </w:r>
      <w:r w:rsidR="00E426A3">
        <w:t xml:space="preserve">bij de leeftijdsgroepen </w:t>
      </w:r>
      <w:r w:rsidR="00D32F81">
        <w:t>tot vijfendertig jaar</w:t>
      </w:r>
      <w:r w:rsidR="00D32F81" w:rsidRPr="00D32F81">
        <w:t xml:space="preserve"> </w:t>
      </w:r>
      <w:r w:rsidR="00EF1CDB" w:rsidRPr="00D32F81">
        <w:t>het laagst is</w:t>
      </w:r>
      <w:r w:rsidRPr="00D32F81">
        <w:rPr>
          <w:rFonts w:cstheme="minorHAnsi"/>
          <w:szCs w:val="18"/>
        </w:rPr>
        <w:t>.</w:t>
      </w:r>
      <w:r w:rsidR="000751C1" w:rsidRPr="00D32F81">
        <w:rPr>
          <w:rStyle w:val="Voetnootmarkering"/>
          <w:rFonts w:cstheme="minorHAnsi"/>
          <w:szCs w:val="18"/>
        </w:rPr>
        <w:footnoteReference w:id="6"/>
      </w:r>
    </w:p>
    <w:p w:rsidR="00E734CC" w:rsidRPr="00773A13" w:rsidRDefault="00E734CC" w:rsidP="009D6FC4">
      <w:pPr>
        <w:spacing w:line="360" w:lineRule="auto"/>
      </w:pPr>
      <w:r w:rsidRPr="00773A13">
        <w:t xml:space="preserve">Om de drempel voor </w:t>
      </w:r>
      <w:r w:rsidR="009A79EE">
        <w:t xml:space="preserve">jongvolwassenen bij </w:t>
      </w:r>
      <w:r w:rsidRPr="00773A13">
        <w:t>het</w:t>
      </w:r>
      <w:r w:rsidR="006E2723" w:rsidRPr="00773A13">
        <w:t xml:space="preserve"> voor het eerst</w:t>
      </w:r>
      <w:r w:rsidRPr="00773A13">
        <w:t xml:space="preserve"> kopen van een woning</w:t>
      </w:r>
      <w:r w:rsidR="000751C1" w:rsidRPr="00773A13">
        <w:t xml:space="preserve"> </w:t>
      </w:r>
      <w:r w:rsidRPr="00773A13">
        <w:t xml:space="preserve">te verlagen, wil het kabinet de overdrachtsbelasting voor </w:t>
      </w:r>
      <w:r w:rsidR="000751C1" w:rsidRPr="00773A13">
        <w:t xml:space="preserve">deze groep </w:t>
      </w:r>
      <w:r w:rsidRPr="00773A13">
        <w:t xml:space="preserve">afschaffen. Hierdoor hoeven ze minder lang te sparen voor hun kosten koper en verbetert hun positie op de woningmarkt, zonder de financiële en </w:t>
      </w:r>
      <w:r w:rsidR="001031E2" w:rsidRPr="00773A13">
        <w:t>macro-economische</w:t>
      </w:r>
      <w:r w:rsidRPr="00773A13">
        <w:t xml:space="preserve"> risico’s te vergroten. Het kabinet zet er daarnaast op in </w:t>
      </w:r>
      <w:r w:rsidR="000751C1" w:rsidRPr="00773A13">
        <w:t xml:space="preserve">om </w:t>
      </w:r>
      <w:r w:rsidRPr="00773A13">
        <w:t>de positie van starters te verstevigen ten opzichte van kopers</w:t>
      </w:r>
      <w:r w:rsidR="00087D15">
        <w:t>,</w:t>
      </w:r>
      <w:r w:rsidRPr="00773A13">
        <w:t xml:space="preserve"> die niet primair tot doel hebben de woning zelf te bewonen</w:t>
      </w:r>
      <w:r w:rsidR="000751C1" w:rsidRPr="00773A13">
        <w:t>, zoals beleggers</w:t>
      </w:r>
      <w:r w:rsidRPr="00773A13">
        <w:t>.</w:t>
      </w:r>
      <w:r w:rsidR="000751C1" w:rsidRPr="00773A13">
        <w:t xml:space="preserve"> </w:t>
      </w:r>
      <w:r w:rsidRPr="00773A13">
        <w:t xml:space="preserve">Om in aanmerking te blijven komen voor het verlaagde tarief van 2% wordt </w:t>
      </w:r>
      <w:r w:rsidR="006E2723" w:rsidRPr="00773A13">
        <w:t xml:space="preserve">voorgesteld om </w:t>
      </w:r>
      <w:r w:rsidRPr="00773A13">
        <w:t>een hoofdverblijfcriterium op</w:t>
      </w:r>
      <w:r w:rsidR="006E2723" w:rsidRPr="00773A13">
        <w:t xml:space="preserve"> te </w:t>
      </w:r>
      <w:r w:rsidRPr="00773A13">
        <w:t>n</w:t>
      </w:r>
      <w:r w:rsidR="006E2723" w:rsidRPr="00773A13">
        <w:t>e</w:t>
      </w:r>
      <w:r w:rsidRPr="00773A13">
        <w:t xml:space="preserve">men in de overdrachtsbelasting. </w:t>
      </w:r>
      <w:r w:rsidR="00C4363F" w:rsidRPr="00C4363F">
        <w:t>Op deze wijze wordt het aankopen van een woning die niet be</w:t>
      </w:r>
      <w:r w:rsidR="0080278E">
        <w:t>stemd</w:t>
      </w:r>
      <w:r w:rsidR="00C4363F" w:rsidRPr="00C4363F">
        <w:t xml:space="preserve"> is voor eigen gebruik minder aantrekkelijk.</w:t>
      </w:r>
    </w:p>
    <w:p w:rsidR="00E734CC" w:rsidRPr="00773A13" w:rsidRDefault="00E734CC" w:rsidP="009D6FC4">
      <w:pPr>
        <w:spacing w:line="360" w:lineRule="auto"/>
      </w:pPr>
      <w:r w:rsidRPr="00773A13">
        <w:t>2. Effecten op aantallen en betaalbaarheid starters en omvang huurmarkt</w:t>
      </w:r>
      <w:r w:rsidRPr="00773A13">
        <w:br/>
        <w:t xml:space="preserve">De differentiatie </w:t>
      </w:r>
      <w:r w:rsidR="000751C1" w:rsidRPr="00773A13">
        <w:t xml:space="preserve">in </w:t>
      </w:r>
      <w:r w:rsidRPr="00773A13">
        <w:t xml:space="preserve">de overdrachtsbelasting vergroot het aantal </w:t>
      </w:r>
      <w:r w:rsidR="00546A42">
        <w:t>potentiële</w:t>
      </w:r>
      <w:r w:rsidR="00546A42" w:rsidRPr="00773A13">
        <w:t xml:space="preserve"> </w:t>
      </w:r>
      <w:r w:rsidR="00546A42">
        <w:t>koop</w:t>
      </w:r>
      <w:r w:rsidRPr="00773A13">
        <w:t xml:space="preserve">starters dat de koopwoningmarkt kan betreden. Het verlagen van de </w:t>
      </w:r>
      <w:r w:rsidR="00260F87">
        <w:t>overdrachtsbelasting</w:t>
      </w:r>
      <w:r w:rsidRPr="00773A13">
        <w:t xml:space="preserve"> </w:t>
      </w:r>
      <w:r w:rsidR="00421DFA">
        <w:t>van 2% naar 0% (vrijstelling)</w:t>
      </w:r>
      <w:r w:rsidRPr="00773A13">
        <w:t xml:space="preserve"> voor starters leidt op zichzelf </w:t>
      </w:r>
      <w:r w:rsidR="00546A42">
        <w:t>naar schatting</w:t>
      </w:r>
      <w:r w:rsidRPr="00773A13">
        <w:t xml:space="preserve"> tot </w:t>
      </w:r>
      <w:r w:rsidR="00546A42">
        <w:t xml:space="preserve">circa </w:t>
      </w:r>
      <w:r w:rsidR="00B47269">
        <w:t>1 tot 2%</w:t>
      </w:r>
      <w:r w:rsidR="00E426A3">
        <w:t xml:space="preserve"> </w:t>
      </w:r>
      <w:r w:rsidRPr="00773A13">
        <w:t xml:space="preserve">meer </w:t>
      </w:r>
      <w:r w:rsidR="00E426A3">
        <w:t xml:space="preserve">woningtransacties door </w:t>
      </w:r>
      <w:r w:rsidRPr="00773A13">
        <w:t xml:space="preserve">koopstarters volgens </w:t>
      </w:r>
      <w:r w:rsidR="00546A42">
        <w:t>onderzoeksbureau</w:t>
      </w:r>
      <w:r w:rsidR="00546A42" w:rsidRPr="00773A13">
        <w:t xml:space="preserve"> </w:t>
      </w:r>
      <w:r w:rsidRPr="00773A13">
        <w:t>Dialogic. Doordat bovendien de positie ten opzichte van beleggers wordt verbeterd, kan het total</w:t>
      </w:r>
      <w:r w:rsidR="0048059A">
        <w:t>e</w:t>
      </w:r>
      <w:r w:rsidRPr="00773A13">
        <w:t xml:space="preserve"> aantal starters </w:t>
      </w:r>
      <w:r w:rsidR="000751C1" w:rsidRPr="00773A13">
        <w:t xml:space="preserve">dat de koopwoningmarkt betreedt </w:t>
      </w:r>
      <w:r w:rsidR="000044B7">
        <w:t>naar schatting</w:t>
      </w:r>
      <w:r w:rsidRPr="00773A13">
        <w:t xml:space="preserve"> stijgen</w:t>
      </w:r>
      <w:r w:rsidR="000044B7">
        <w:t xml:space="preserve"> met circa</w:t>
      </w:r>
      <w:r w:rsidR="000044B7" w:rsidRPr="00773A13">
        <w:t xml:space="preserve"> </w:t>
      </w:r>
      <w:r w:rsidRPr="00773A13">
        <w:t>2</w:t>
      </w:r>
      <w:r w:rsidR="000044B7">
        <w:t xml:space="preserve"> tot </w:t>
      </w:r>
      <w:r w:rsidRPr="00773A13">
        <w:t>10%. De definities van dit wetsvoorstel wijken iets af van de door Dialogic onderzochte variant</w:t>
      </w:r>
      <w:r w:rsidR="000044B7">
        <w:t xml:space="preserve">, dat </w:t>
      </w:r>
      <w:r w:rsidR="00E426A3">
        <w:t xml:space="preserve">hierna </w:t>
      </w:r>
      <w:r w:rsidR="000044B7">
        <w:t xml:space="preserve">nader wordt toegelicht in </w:t>
      </w:r>
      <w:r w:rsidR="00E426A3">
        <w:t xml:space="preserve">de </w:t>
      </w:r>
      <w:r w:rsidR="000044B7">
        <w:t>passage ‘Alternatieve definitie starter en belegger’)</w:t>
      </w:r>
      <w:r w:rsidR="000751C1" w:rsidRPr="00773A13">
        <w:t xml:space="preserve">. Het effect op het aantal starters is naar verwachting </w:t>
      </w:r>
      <w:r w:rsidR="00332523">
        <w:t xml:space="preserve">dan ook </w:t>
      </w:r>
      <w:r w:rsidR="000751C1" w:rsidRPr="00773A13">
        <w:t xml:space="preserve">groter, doordat in de </w:t>
      </w:r>
      <w:r w:rsidR="009A79EE">
        <w:t>voorgestelde</w:t>
      </w:r>
      <w:r w:rsidRPr="00773A13">
        <w:t xml:space="preserve"> variant minder aanspraak </w:t>
      </w:r>
      <w:r w:rsidR="000751C1" w:rsidRPr="00773A13">
        <w:lastRenderedPageBreak/>
        <w:t xml:space="preserve">kan worden </w:t>
      </w:r>
      <w:r w:rsidRPr="00773A13">
        <w:t xml:space="preserve">gemaakt op </w:t>
      </w:r>
      <w:r w:rsidR="000751C1" w:rsidRPr="00773A13">
        <w:t>het verlaagde tarief van 2%</w:t>
      </w:r>
      <w:r w:rsidR="000044B7">
        <w:t xml:space="preserve"> door </w:t>
      </w:r>
      <w:r w:rsidR="00A170F4">
        <w:t xml:space="preserve">andere kopers, zoals </w:t>
      </w:r>
      <w:r w:rsidR="000044B7">
        <w:t>doorstromers en beleggers</w:t>
      </w:r>
      <w:r w:rsidRPr="00773A13">
        <w:t>.</w:t>
      </w:r>
    </w:p>
    <w:p w:rsidR="001B1C1C" w:rsidRDefault="00AD35F9" w:rsidP="009D6FC4">
      <w:pPr>
        <w:spacing w:line="360" w:lineRule="auto"/>
        <w:rPr>
          <w:szCs w:val="18"/>
        </w:rPr>
      </w:pPr>
      <w:r w:rsidRPr="00067DEF">
        <w:t xml:space="preserve">Het netto-prijseffect van de differentiatie van de overdrachtsbelasting is lastig </w:t>
      </w:r>
      <w:r w:rsidR="00A61B98">
        <w:t xml:space="preserve">op voorhand </w:t>
      </w:r>
      <w:r w:rsidRPr="00067DEF">
        <w:t xml:space="preserve">in te schatten. De verhoging voor beleggers kan een drukkend effect hebben op de prijs, terwijl </w:t>
      </w:r>
      <w:r w:rsidR="00332523" w:rsidRPr="00421DFA">
        <w:t>a</w:t>
      </w:r>
      <w:r w:rsidR="00E734CC" w:rsidRPr="00421DFA">
        <w:t>ls</w:t>
      </w:r>
      <w:r w:rsidR="00E734CC" w:rsidRPr="00773A13">
        <w:t xml:space="preserve"> gevolg van het afschaffen van de </w:t>
      </w:r>
      <w:r w:rsidR="000751C1" w:rsidRPr="00773A13">
        <w:t xml:space="preserve">overdrachtsbelasting </w:t>
      </w:r>
      <w:r w:rsidR="00E734CC" w:rsidRPr="00773A13">
        <w:t xml:space="preserve">voor starters de woningprijzen in het starterssegment </w:t>
      </w:r>
      <w:r w:rsidR="00332523" w:rsidRPr="00421DFA">
        <w:t xml:space="preserve">kunnen </w:t>
      </w:r>
      <w:r w:rsidR="00E734CC" w:rsidRPr="00773A13">
        <w:t>stijgen.</w:t>
      </w:r>
      <w:r w:rsidR="008128D5" w:rsidRPr="00773A13">
        <w:rPr>
          <w:vertAlign w:val="superscript"/>
        </w:rPr>
        <w:footnoteReference w:id="7"/>
      </w:r>
      <w:r w:rsidR="00E734CC" w:rsidRPr="00773A13">
        <w:t xml:space="preserve"> </w:t>
      </w:r>
      <w:r w:rsidR="003A0D47">
        <w:t>Immers als het aanbod van woningen niet toeneemt, kan een lagere overdrachtsbelasting deels in de prijs verdisconteerd worden.</w:t>
      </w:r>
      <w:r w:rsidR="00332523" w:rsidRPr="00421DFA">
        <w:t xml:space="preserve"> Het CP</w:t>
      </w:r>
      <w:r w:rsidR="00332523" w:rsidRPr="00067DEF">
        <w:t>B heeft geraamd dat b</w:t>
      </w:r>
      <w:r w:rsidR="00E734CC" w:rsidRPr="00067DEF">
        <w:t>ij</w:t>
      </w:r>
      <w:r w:rsidR="00E734CC" w:rsidRPr="00773A13">
        <w:t xml:space="preserve"> volledige afschaffing van de overdrachtsbelasting </w:t>
      </w:r>
      <w:r w:rsidR="00332523" w:rsidRPr="00067DEF">
        <w:t>er</w:t>
      </w:r>
      <w:r w:rsidR="00E734CC" w:rsidRPr="00773A13">
        <w:t xml:space="preserve"> een opwaarts effect op woningprijzen van 2,4</w:t>
      </w:r>
      <w:r w:rsidR="00E734CC" w:rsidRPr="00067DEF">
        <w:t>%</w:t>
      </w:r>
      <w:r w:rsidR="00332523" w:rsidRPr="00067DEF">
        <w:t xml:space="preserve"> zou kunnen zijn</w:t>
      </w:r>
      <w:r w:rsidR="00E734CC" w:rsidRPr="00067DEF">
        <w:t>.</w:t>
      </w:r>
      <w:r w:rsidR="000751C1" w:rsidRPr="00067DEF">
        <w:rPr>
          <w:vertAlign w:val="superscript"/>
        </w:rPr>
        <w:footnoteReference w:id="8"/>
      </w:r>
      <w:r w:rsidR="00E734CC" w:rsidRPr="00067DEF">
        <w:t xml:space="preserve"> </w:t>
      </w:r>
      <w:r w:rsidR="00332523" w:rsidRPr="00067DEF">
        <w:t>D</w:t>
      </w:r>
      <w:r w:rsidR="00603ACB">
        <w:t xml:space="preserve">it wetsvoorstel schaft het verlaagde tarief voor doorstromers niet af </w:t>
      </w:r>
      <w:r w:rsidR="00AB3B5B" w:rsidRPr="00067DEF">
        <w:t xml:space="preserve">en verhoogt </w:t>
      </w:r>
      <w:r w:rsidR="003A0D47">
        <w:t xml:space="preserve">het tarief </w:t>
      </w:r>
      <w:r w:rsidR="00AB3B5B" w:rsidRPr="00067DEF">
        <w:t xml:space="preserve">voor beleggers, </w:t>
      </w:r>
      <w:r w:rsidR="00332523" w:rsidRPr="00421DFA">
        <w:t xml:space="preserve">waardoor de verwachting is dat het opwaarts effect op de woningprijzen lager dan deze 2,4% zal zijn. </w:t>
      </w:r>
      <w:r w:rsidRPr="00067DEF">
        <w:t xml:space="preserve">Voor het neerwaartse </w:t>
      </w:r>
      <w:r w:rsidR="008521A1">
        <w:t>prijs</w:t>
      </w:r>
      <w:r w:rsidRPr="00067DEF">
        <w:t xml:space="preserve">effect van de verhoging voor beleggers zijn door het </w:t>
      </w:r>
      <w:r w:rsidR="008128D5">
        <w:t>CPB geen inschattingen gemaakt.</w:t>
      </w:r>
      <w:r w:rsidR="003A0D47">
        <w:t xml:space="preserve"> Het kabinet zet ook in op een verhoging van het woningaanbod, wat weer een drukkend effect op de prijzen kan hebben.</w:t>
      </w:r>
    </w:p>
    <w:p w:rsidR="00E734CC" w:rsidRPr="00773A13" w:rsidRDefault="00E734CC" w:rsidP="009D6FC4">
      <w:pPr>
        <w:spacing w:line="360" w:lineRule="auto"/>
      </w:pPr>
      <w:r w:rsidRPr="00773A13">
        <w:t>Het effect van de betaalbaarheid voor starters bij een stijgende woningprijs is afhankelijk van de</w:t>
      </w:r>
      <w:r w:rsidR="00135F3D" w:rsidRPr="00773A13">
        <w:t xml:space="preserve"> maximale hoogte van de hypothecaire lening in verhouding tot het inkomen (de </w:t>
      </w:r>
      <w:r w:rsidR="007E3079" w:rsidRPr="00773A13">
        <w:t>‘</w:t>
      </w:r>
      <w:r w:rsidR="00135F3D" w:rsidRPr="00773A13">
        <w:t>loan-to-income</w:t>
      </w:r>
      <w:r w:rsidR="007E3079" w:rsidRPr="00773A13">
        <w:t>’</w:t>
      </w:r>
      <w:r w:rsidR="00135F3D" w:rsidRPr="00773A13">
        <w:t xml:space="preserve">, hierna: LTI) </w:t>
      </w:r>
      <w:r w:rsidRPr="00773A13">
        <w:t>of de LTV. Als de LTI knellend is, is het positieve effect op de betaalbaarheid beperkt</w:t>
      </w:r>
      <w:r w:rsidR="00B47269">
        <w:t xml:space="preserve"> of</w:t>
      </w:r>
      <w:r w:rsidRPr="00773A13">
        <w:t xml:space="preserve"> kortstondig. Als de LTV knellend is, </w:t>
      </w:r>
      <w:r w:rsidR="004D7109" w:rsidRPr="00773A13">
        <w:t>verbeter</w:t>
      </w:r>
      <w:r w:rsidR="004D7109">
        <w:t>t</w:t>
      </w:r>
      <w:r w:rsidR="000044B7">
        <w:t xml:space="preserve"> de maatregel</w:t>
      </w:r>
      <w:r w:rsidRPr="00773A13">
        <w:t xml:space="preserve"> ook bij een stijgende woningprijs</w:t>
      </w:r>
      <w:r w:rsidR="00A170F4">
        <w:t xml:space="preserve"> </w:t>
      </w:r>
      <w:r w:rsidR="00A170F4" w:rsidRPr="00773A13">
        <w:t xml:space="preserve">de </w:t>
      </w:r>
      <w:r w:rsidR="00A170F4">
        <w:t>toegankelijkheid voor koopstarters op de woningmarkt</w:t>
      </w:r>
      <w:r w:rsidRPr="00773A13">
        <w:t>.</w:t>
      </w:r>
    </w:p>
    <w:p w:rsidR="00E734CC" w:rsidRPr="00773A13" w:rsidRDefault="00E734CC" w:rsidP="009D6FC4">
      <w:pPr>
        <w:spacing w:line="360" w:lineRule="auto"/>
      </w:pPr>
      <w:r w:rsidRPr="00773A13">
        <w:t xml:space="preserve">Een differentiatie van de </w:t>
      </w:r>
      <w:r w:rsidR="00104EDC" w:rsidRPr="00773A13">
        <w:t xml:space="preserve">overdrachtsbelasting </w:t>
      </w:r>
      <w:r w:rsidR="00332523">
        <w:t>zou kunnen</w:t>
      </w:r>
      <w:r w:rsidRPr="00773A13">
        <w:t xml:space="preserve"> leiden tot een kleiner aanbod in de </w:t>
      </w:r>
      <w:r w:rsidR="00B47269">
        <w:t>(</w:t>
      </w:r>
      <w:r w:rsidRPr="00773A13">
        <w:t>vrije</w:t>
      </w:r>
      <w:r w:rsidR="00B47269">
        <w:t>)</w:t>
      </w:r>
      <w:r w:rsidRPr="00773A13">
        <w:t xml:space="preserve"> </w:t>
      </w:r>
      <w:r w:rsidR="00104EDC" w:rsidRPr="00773A13">
        <w:t>huursector</w:t>
      </w:r>
      <w:r w:rsidR="00F7567E">
        <w:t xml:space="preserve">, </w:t>
      </w:r>
      <w:r w:rsidR="00332523">
        <w:t>indien</w:t>
      </w:r>
      <w:r w:rsidR="00F7567E">
        <w:t xml:space="preserve"> beleggers vanwege het hogere tarief kiezen voor een andere beleggingsvorm</w:t>
      </w:r>
      <w:r w:rsidRPr="00773A13">
        <w:t xml:space="preserve">. </w:t>
      </w:r>
      <w:r w:rsidR="007E3079" w:rsidRPr="00773A13">
        <w:t>Immers</w:t>
      </w:r>
      <w:r w:rsidR="00B44576">
        <w:t>,</w:t>
      </w:r>
      <w:r w:rsidR="007E3079" w:rsidRPr="00773A13">
        <w:t xml:space="preserve"> e</w:t>
      </w:r>
      <w:r w:rsidRPr="00773A13">
        <w:t xml:space="preserve">en vrijstelling van de overdrachtsbelasting maakt het kopen van een woning voor starters aantrekkelijker dan huren, waardoor de vraag naar koopwoningen toeneemt en </w:t>
      </w:r>
      <w:r w:rsidR="00104EDC" w:rsidRPr="00773A13">
        <w:t xml:space="preserve">de vraag </w:t>
      </w:r>
      <w:r w:rsidRPr="00773A13">
        <w:t>naar huurwoningen in het vrije segment daalt</w:t>
      </w:r>
      <w:r w:rsidR="00104EDC" w:rsidRPr="00773A13">
        <w:t xml:space="preserve">. Verder maakt een beperking van de reikwijdte van het verlaagde tarief het kopen van woningen, om deze vervolgens te verhuren, minder aantrekkelijk. Hierdoor </w:t>
      </w:r>
      <w:r w:rsidR="008521A1">
        <w:t>zou</w:t>
      </w:r>
      <w:r w:rsidR="00104EDC" w:rsidRPr="00773A13">
        <w:t xml:space="preserve"> </w:t>
      </w:r>
      <w:r w:rsidR="007E3079" w:rsidRPr="00773A13">
        <w:t xml:space="preserve">eveneens </w:t>
      </w:r>
      <w:r w:rsidR="00104EDC" w:rsidRPr="00773A13">
        <w:t xml:space="preserve">het aanbod van </w:t>
      </w:r>
      <w:r w:rsidR="007F31BF">
        <w:t>huur</w:t>
      </w:r>
      <w:r w:rsidR="00E426A3">
        <w:t>woningen in de vrije sector</w:t>
      </w:r>
      <w:r w:rsidR="00104EDC" w:rsidRPr="00773A13">
        <w:t xml:space="preserve"> </w:t>
      </w:r>
      <w:r w:rsidR="008521A1">
        <w:t xml:space="preserve">kunnen </w:t>
      </w:r>
      <w:r w:rsidR="00104EDC" w:rsidRPr="00773A13">
        <w:t>afnemen</w:t>
      </w:r>
      <w:r w:rsidR="003A0D47">
        <w:t>, waar dan tegenover zal staan dat meer woningen beschikbaar zijn voor kopers (starters en doorstromers)</w:t>
      </w:r>
      <w:r w:rsidR="00104EDC" w:rsidRPr="00773A13">
        <w:t xml:space="preserve">. </w:t>
      </w:r>
    </w:p>
    <w:p w:rsidR="00E734CC" w:rsidRPr="00773A13" w:rsidRDefault="00E734CC" w:rsidP="009D6FC4">
      <w:pPr>
        <w:spacing w:after="0" w:line="360" w:lineRule="auto"/>
      </w:pPr>
      <w:r w:rsidRPr="00773A13">
        <w:t xml:space="preserve">Een differentiatie in de overdrachtsbelasting </w:t>
      </w:r>
      <w:r w:rsidR="009A79EE">
        <w:t xml:space="preserve">naar gebruik van de woning </w:t>
      </w:r>
      <w:r w:rsidR="004C0E1D">
        <w:t xml:space="preserve">anders dan tijdelijk </w:t>
      </w:r>
      <w:r w:rsidR="009A79EE">
        <w:t xml:space="preserve">als hoofdverblijf, met een aanvullende vrijstelling </w:t>
      </w:r>
      <w:r w:rsidRPr="00773A13">
        <w:t>voor starters is vanzelfsprekend niet de oplossing voor alle structurele problemen op de woningmarkt</w:t>
      </w:r>
      <w:r w:rsidR="009A79EE">
        <w:t>.</w:t>
      </w:r>
      <w:r w:rsidR="009A79EE">
        <w:rPr>
          <w:rFonts w:eastAsia="PMingLiU" w:cs="Times New Roman"/>
          <w:szCs w:val="18"/>
          <w:lang w:eastAsia="zh-TW"/>
        </w:rPr>
        <w:t xml:space="preserve"> Z</w:t>
      </w:r>
      <w:r w:rsidR="00493EE8" w:rsidRPr="00D47363">
        <w:rPr>
          <w:rFonts w:eastAsia="PMingLiU" w:cs="Times New Roman"/>
          <w:szCs w:val="18"/>
          <w:lang w:eastAsia="zh-TW"/>
        </w:rPr>
        <w:t xml:space="preserve">o </w:t>
      </w:r>
      <w:r w:rsidR="000A43AF">
        <w:t>vergroot de maatregel niet het aanbod van woningen.</w:t>
      </w:r>
      <w:r w:rsidR="00493EE8" w:rsidRPr="00D47363">
        <w:rPr>
          <w:rFonts w:eastAsia="PMingLiU" w:cs="Times New Roman"/>
          <w:szCs w:val="18"/>
          <w:lang w:eastAsia="zh-TW"/>
        </w:rPr>
        <w:t xml:space="preserve"> </w:t>
      </w:r>
      <w:r w:rsidR="005E6DB5" w:rsidRPr="001F75F1">
        <w:rPr>
          <w:rFonts w:eastAsia="PMingLiU" w:cs="Times New Roman"/>
          <w:szCs w:val="18"/>
          <w:lang w:eastAsia="zh-TW"/>
        </w:rPr>
        <w:t>Dergelijke structurele problemen worden onder andere geadresseerd met de woningbouwimpuls</w:t>
      </w:r>
      <w:r w:rsidR="005E6DB5">
        <w:rPr>
          <w:rFonts w:eastAsia="PMingLiU" w:cs="Times New Roman"/>
          <w:szCs w:val="18"/>
          <w:lang w:eastAsia="zh-TW"/>
        </w:rPr>
        <w:t>.</w:t>
      </w:r>
      <w:r w:rsidR="005E6DB5">
        <w:rPr>
          <w:rStyle w:val="Voetnootmarkering"/>
          <w:rFonts w:eastAsia="PMingLiU" w:cs="Times New Roman"/>
          <w:szCs w:val="18"/>
          <w:lang w:eastAsia="zh-TW"/>
        </w:rPr>
        <w:footnoteReference w:id="9"/>
      </w:r>
      <w:r w:rsidRPr="00773A13">
        <w:t xml:space="preserve"> Tegelijkertijd verwacht het kabinet </w:t>
      </w:r>
      <w:r w:rsidR="00603ACB">
        <w:t xml:space="preserve">– </w:t>
      </w:r>
      <w:r w:rsidR="00332523">
        <w:t>alles overziend</w:t>
      </w:r>
      <w:r w:rsidR="00603ACB">
        <w:t xml:space="preserve"> –</w:t>
      </w:r>
      <w:r w:rsidRPr="00773A13">
        <w:t xml:space="preserve"> dat deze maatregel </w:t>
      </w:r>
      <w:r w:rsidR="00493EE8" w:rsidRPr="00D47363">
        <w:rPr>
          <w:rFonts w:eastAsia="PMingLiU" w:cs="Times New Roman"/>
          <w:szCs w:val="18"/>
          <w:lang w:eastAsia="zh-TW"/>
        </w:rPr>
        <w:t>de toegankelijkheid en betaalbaarheid van een koopwoning voor</w:t>
      </w:r>
      <w:r w:rsidR="000A43AF">
        <w:rPr>
          <w:rFonts w:eastAsia="PMingLiU" w:cs="Times New Roman"/>
          <w:szCs w:val="18"/>
          <w:lang w:eastAsia="zh-TW"/>
        </w:rPr>
        <w:t xml:space="preserve"> starters </w:t>
      </w:r>
      <w:r w:rsidR="00332523">
        <w:rPr>
          <w:rFonts w:eastAsia="PMingLiU" w:cs="Times New Roman"/>
          <w:szCs w:val="18"/>
          <w:lang w:eastAsia="zh-TW"/>
        </w:rPr>
        <w:t xml:space="preserve">zal </w:t>
      </w:r>
      <w:r w:rsidR="000A43AF">
        <w:rPr>
          <w:rFonts w:eastAsia="PMingLiU" w:cs="Times New Roman"/>
          <w:szCs w:val="18"/>
          <w:lang w:eastAsia="zh-TW"/>
        </w:rPr>
        <w:t>verbeter</w:t>
      </w:r>
      <w:r w:rsidR="00332523">
        <w:rPr>
          <w:rFonts w:eastAsia="PMingLiU" w:cs="Times New Roman"/>
          <w:szCs w:val="18"/>
          <w:lang w:eastAsia="zh-TW"/>
        </w:rPr>
        <w:t>en</w:t>
      </w:r>
      <w:r w:rsidR="00603ACB">
        <w:rPr>
          <w:rFonts w:eastAsia="PMingLiU" w:cs="Times New Roman"/>
          <w:szCs w:val="18"/>
          <w:lang w:eastAsia="zh-TW"/>
        </w:rPr>
        <w:t>, omdat de verwachting is dat het mogelijke prijsopdrijvende effect van de startersmaatregel wordt ingehaald door het prijsdrukkende effect van de maatregel voor beleggers</w:t>
      </w:r>
      <w:r w:rsidR="00332523">
        <w:rPr>
          <w:rFonts w:eastAsia="PMingLiU" w:cs="Times New Roman"/>
          <w:szCs w:val="18"/>
          <w:lang w:eastAsia="zh-TW"/>
        </w:rPr>
        <w:t xml:space="preserve">. </w:t>
      </w:r>
      <w:r w:rsidR="00603ACB">
        <w:rPr>
          <w:rFonts w:eastAsia="PMingLiU" w:cs="Times New Roman"/>
          <w:szCs w:val="18"/>
          <w:lang w:eastAsia="zh-TW"/>
        </w:rPr>
        <w:t xml:space="preserve">Daardoor zal </w:t>
      </w:r>
      <w:r w:rsidR="009C789F">
        <w:rPr>
          <w:rFonts w:eastAsia="PMingLiU" w:cs="Times New Roman"/>
          <w:szCs w:val="18"/>
          <w:lang w:eastAsia="zh-TW"/>
        </w:rPr>
        <w:t xml:space="preserve">de </w:t>
      </w:r>
      <w:r w:rsidR="00C074BE">
        <w:rPr>
          <w:rFonts w:eastAsia="PMingLiU" w:cs="Times New Roman"/>
          <w:szCs w:val="18"/>
          <w:lang w:eastAsia="zh-TW"/>
        </w:rPr>
        <w:t>besparing van de kosten koper een voordeel voor de starter opleveren</w:t>
      </w:r>
      <w:r w:rsidR="00603ACB">
        <w:rPr>
          <w:rFonts w:eastAsia="PMingLiU" w:cs="Times New Roman"/>
          <w:szCs w:val="18"/>
          <w:lang w:eastAsia="zh-TW"/>
        </w:rPr>
        <w:t>.</w:t>
      </w:r>
      <w:r w:rsidRPr="00773A13">
        <w:t xml:space="preserve"> </w:t>
      </w:r>
    </w:p>
    <w:p w:rsidR="00E734CC" w:rsidRPr="00773A13" w:rsidRDefault="00E734CC" w:rsidP="009D6FC4">
      <w:pPr>
        <w:spacing w:after="0" w:line="360" w:lineRule="auto"/>
      </w:pPr>
    </w:p>
    <w:p w:rsidR="00E734CC" w:rsidRPr="00773A13" w:rsidRDefault="00E734CC" w:rsidP="009D6FC4">
      <w:pPr>
        <w:spacing w:after="0" w:line="360" w:lineRule="auto"/>
        <w:rPr>
          <w:i/>
        </w:rPr>
      </w:pPr>
      <w:r w:rsidRPr="00773A13">
        <w:rPr>
          <w:i/>
        </w:rPr>
        <w:lastRenderedPageBreak/>
        <w:t>Alternatieve definitie starter en belegger</w:t>
      </w:r>
    </w:p>
    <w:p w:rsidR="00B04587" w:rsidRDefault="00E734CC" w:rsidP="009D6FC4">
      <w:pPr>
        <w:spacing w:after="0" w:line="360" w:lineRule="auto"/>
      </w:pPr>
      <w:r w:rsidRPr="00773A13">
        <w:t xml:space="preserve">Gelet op het voorgaande acht het kabinet </w:t>
      </w:r>
      <w:r w:rsidR="007E3079" w:rsidRPr="00773A13">
        <w:t xml:space="preserve">het </w:t>
      </w:r>
      <w:r w:rsidRPr="00773A13">
        <w:t>wenselijk dat via een differentiatie in de overdrachtsbelasting de positie van starters en doorstromers wordt verstevigd ten opzichte van beleggers, zodat zij meer kans maken</w:t>
      </w:r>
      <w:r w:rsidR="000A43AF">
        <w:t xml:space="preserve"> op een koopwoning</w:t>
      </w:r>
      <w:r w:rsidRPr="00773A13">
        <w:t xml:space="preserve">. </w:t>
      </w:r>
      <w:r w:rsidR="006216FC">
        <w:rPr>
          <w:rFonts w:eastAsia="PMingLiU" w:cstheme="minorHAnsi"/>
          <w:szCs w:val="18"/>
          <w:lang w:eastAsia="zh-TW"/>
        </w:rPr>
        <w:t xml:space="preserve">Daarbij </w:t>
      </w:r>
      <w:r w:rsidR="006216FC" w:rsidRPr="00EA6AFA">
        <w:rPr>
          <w:rFonts w:eastAsia="PMingLiU" w:cstheme="minorHAnsi"/>
          <w:szCs w:val="18"/>
          <w:lang w:eastAsia="zh-TW"/>
        </w:rPr>
        <w:t xml:space="preserve">zijn verschillende </w:t>
      </w:r>
      <w:r w:rsidR="006216FC">
        <w:rPr>
          <w:rFonts w:eastAsia="PMingLiU" w:cstheme="minorHAnsi"/>
          <w:szCs w:val="18"/>
          <w:lang w:eastAsia="zh-TW"/>
        </w:rPr>
        <w:t>alternatieven</w:t>
      </w:r>
      <w:r w:rsidR="006216FC" w:rsidRPr="00EA6AFA">
        <w:rPr>
          <w:rFonts w:eastAsia="PMingLiU" w:cstheme="minorHAnsi"/>
          <w:szCs w:val="18"/>
          <w:lang w:eastAsia="zh-TW"/>
        </w:rPr>
        <w:t xml:space="preserve"> </w:t>
      </w:r>
      <w:r w:rsidR="006216FC">
        <w:rPr>
          <w:rFonts w:eastAsia="PMingLiU" w:cstheme="minorHAnsi"/>
          <w:szCs w:val="18"/>
          <w:lang w:eastAsia="zh-TW"/>
        </w:rPr>
        <w:t>afgewogen op uitvoerbaarheid, doeltreffendheid en doelmatigheid</w:t>
      </w:r>
      <w:r w:rsidR="006216FC" w:rsidRPr="00EA6AFA">
        <w:rPr>
          <w:rFonts w:eastAsia="PMingLiU" w:cstheme="minorHAnsi"/>
          <w:szCs w:val="18"/>
          <w:lang w:eastAsia="zh-TW"/>
        </w:rPr>
        <w:t xml:space="preserve">, waaronder een definitie op basis van spraakgebruik, </w:t>
      </w:r>
      <w:r w:rsidR="006216FC">
        <w:rPr>
          <w:rFonts w:eastAsia="PMingLiU" w:cstheme="minorHAnsi"/>
          <w:szCs w:val="18"/>
          <w:lang w:eastAsia="zh-TW"/>
        </w:rPr>
        <w:t xml:space="preserve">het wel of </w:t>
      </w:r>
      <w:r w:rsidR="006216FC" w:rsidRPr="00EA6AFA">
        <w:rPr>
          <w:rFonts w:eastAsia="PMingLiU" w:cstheme="minorHAnsi"/>
          <w:szCs w:val="18"/>
          <w:lang w:eastAsia="zh-TW"/>
        </w:rPr>
        <w:t xml:space="preserve">niet zijn van </w:t>
      </w:r>
      <w:r w:rsidR="006216FC">
        <w:rPr>
          <w:rFonts w:eastAsia="PMingLiU" w:cstheme="minorHAnsi"/>
          <w:szCs w:val="18"/>
          <w:lang w:eastAsia="zh-TW"/>
        </w:rPr>
        <w:t xml:space="preserve">een </w:t>
      </w:r>
      <w:r w:rsidR="006216FC" w:rsidRPr="00EA6AFA">
        <w:rPr>
          <w:rFonts w:eastAsia="PMingLiU" w:cstheme="minorHAnsi"/>
          <w:szCs w:val="18"/>
          <w:lang w:eastAsia="zh-TW"/>
        </w:rPr>
        <w:t xml:space="preserve">natuurlijk persoon, </w:t>
      </w:r>
      <w:r w:rsidR="006216FC">
        <w:rPr>
          <w:rFonts w:eastAsia="PMingLiU" w:cstheme="minorHAnsi"/>
          <w:szCs w:val="18"/>
          <w:lang w:eastAsia="zh-TW"/>
        </w:rPr>
        <w:t xml:space="preserve">woningbezit/eigendom </w:t>
      </w:r>
      <w:r w:rsidR="006216FC" w:rsidRPr="00EA6AFA">
        <w:rPr>
          <w:rFonts w:eastAsia="PMingLiU" w:cstheme="minorHAnsi"/>
          <w:szCs w:val="18"/>
          <w:lang w:eastAsia="zh-TW"/>
        </w:rPr>
        <w:t>uit gegevens van Kadaster, leeftijd</w:t>
      </w:r>
      <w:r w:rsidR="006216FC">
        <w:rPr>
          <w:rFonts w:eastAsia="PMingLiU" w:cstheme="minorHAnsi"/>
          <w:szCs w:val="18"/>
          <w:lang w:eastAsia="zh-TW"/>
        </w:rPr>
        <w:t xml:space="preserve"> van de verkrijger</w:t>
      </w:r>
      <w:r w:rsidR="006216FC" w:rsidRPr="00EA6AFA">
        <w:rPr>
          <w:rFonts w:eastAsia="PMingLiU" w:cstheme="minorHAnsi"/>
          <w:szCs w:val="18"/>
          <w:lang w:eastAsia="zh-TW"/>
        </w:rPr>
        <w:t xml:space="preserve">, </w:t>
      </w:r>
      <w:r w:rsidR="006216FC" w:rsidRPr="00EA6AFA">
        <w:rPr>
          <w:szCs w:val="18"/>
        </w:rPr>
        <w:t xml:space="preserve">omvang </w:t>
      </w:r>
      <w:r w:rsidR="006216FC">
        <w:rPr>
          <w:szCs w:val="18"/>
        </w:rPr>
        <w:t xml:space="preserve">van de </w:t>
      </w:r>
      <w:r w:rsidR="006216FC" w:rsidRPr="00EA6AFA">
        <w:rPr>
          <w:szCs w:val="18"/>
        </w:rPr>
        <w:t>koopsom</w:t>
      </w:r>
      <w:r w:rsidR="006216FC">
        <w:rPr>
          <w:szCs w:val="18"/>
        </w:rPr>
        <w:t xml:space="preserve"> van de woning</w:t>
      </w:r>
      <w:r w:rsidR="00B04587">
        <w:rPr>
          <w:rFonts w:eastAsia="PMingLiU" w:cstheme="minorHAnsi"/>
          <w:szCs w:val="18"/>
          <w:lang w:eastAsia="zh-TW"/>
        </w:rPr>
        <w:t>,</w:t>
      </w:r>
      <w:r w:rsidR="006216FC" w:rsidRPr="00EA6AFA">
        <w:rPr>
          <w:rFonts w:eastAsia="PMingLiU" w:cstheme="minorHAnsi"/>
          <w:szCs w:val="18"/>
          <w:lang w:eastAsia="zh-TW"/>
        </w:rPr>
        <w:t xml:space="preserve"> </w:t>
      </w:r>
      <w:r w:rsidR="006216FC">
        <w:rPr>
          <w:rFonts w:eastAsia="PMingLiU" w:cstheme="minorHAnsi"/>
          <w:szCs w:val="18"/>
          <w:lang w:eastAsia="zh-TW"/>
        </w:rPr>
        <w:t xml:space="preserve">een </w:t>
      </w:r>
      <w:r w:rsidR="006216FC" w:rsidRPr="00EA6AFA">
        <w:rPr>
          <w:rFonts w:eastAsia="PMingLiU" w:cstheme="minorHAnsi"/>
          <w:szCs w:val="18"/>
          <w:lang w:eastAsia="zh-TW"/>
        </w:rPr>
        <w:t>zelfbewoning</w:t>
      </w:r>
      <w:r w:rsidR="006216FC">
        <w:rPr>
          <w:rFonts w:eastAsia="PMingLiU" w:cstheme="minorHAnsi"/>
          <w:szCs w:val="18"/>
          <w:lang w:eastAsia="zh-TW"/>
        </w:rPr>
        <w:t>splicht</w:t>
      </w:r>
      <w:r w:rsidR="006216FC" w:rsidRPr="00EA6AFA">
        <w:rPr>
          <w:rFonts w:eastAsia="PMingLiU" w:cstheme="minorHAnsi"/>
          <w:szCs w:val="18"/>
          <w:lang w:eastAsia="zh-TW"/>
        </w:rPr>
        <w:t>,</w:t>
      </w:r>
      <w:r w:rsidR="006216FC">
        <w:rPr>
          <w:rFonts w:eastAsia="PMingLiU" w:cstheme="minorHAnsi"/>
          <w:szCs w:val="18"/>
          <w:lang w:eastAsia="zh-TW"/>
        </w:rPr>
        <w:t xml:space="preserve"> een koppeling aan de </w:t>
      </w:r>
      <w:r w:rsidR="006216FC" w:rsidRPr="00EA6AFA">
        <w:rPr>
          <w:rFonts w:eastAsia="PMingLiU" w:cstheme="minorHAnsi"/>
          <w:szCs w:val="18"/>
          <w:lang w:eastAsia="zh-TW"/>
        </w:rPr>
        <w:t>NHG-garantie,</w:t>
      </w:r>
      <w:r w:rsidR="006216FC">
        <w:rPr>
          <w:rFonts w:eastAsia="PMingLiU" w:cstheme="minorHAnsi"/>
          <w:szCs w:val="18"/>
          <w:lang w:eastAsia="zh-TW"/>
        </w:rPr>
        <w:t xml:space="preserve"> </w:t>
      </w:r>
      <w:r w:rsidR="00B04587">
        <w:rPr>
          <w:rFonts w:eastAsia="PMingLiU" w:cstheme="minorHAnsi"/>
          <w:szCs w:val="18"/>
          <w:lang w:eastAsia="zh-TW"/>
        </w:rPr>
        <w:t xml:space="preserve">het nog niet eerder verschuldigd zijn geweest van overdrachtsbelasting, de </w:t>
      </w:r>
      <w:r w:rsidR="00B04587" w:rsidRPr="00EA6AFA">
        <w:rPr>
          <w:rFonts w:eastAsia="PMingLiU" w:cstheme="minorHAnsi"/>
          <w:szCs w:val="18"/>
          <w:lang w:eastAsia="zh-TW"/>
        </w:rPr>
        <w:t xml:space="preserve">aanvraag van </w:t>
      </w:r>
      <w:r w:rsidR="00B04587">
        <w:rPr>
          <w:rFonts w:eastAsia="PMingLiU" w:cstheme="minorHAnsi"/>
          <w:szCs w:val="18"/>
          <w:lang w:eastAsia="zh-TW"/>
        </w:rPr>
        <w:t xml:space="preserve">een starterslening of </w:t>
      </w:r>
      <w:r w:rsidR="006216FC">
        <w:rPr>
          <w:rFonts w:eastAsia="PMingLiU" w:cstheme="minorHAnsi"/>
          <w:szCs w:val="18"/>
          <w:lang w:eastAsia="zh-TW"/>
        </w:rPr>
        <w:t>een koppeling aan</w:t>
      </w:r>
      <w:r w:rsidR="006216FC" w:rsidRPr="00EA6AFA">
        <w:rPr>
          <w:rFonts w:eastAsia="PMingLiU" w:cstheme="minorHAnsi"/>
          <w:szCs w:val="18"/>
          <w:lang w:eastAsia="zh-TW"/>
        </w:rPr>
        <w:t xml:space="preserve"> faciliteiten in de </w:t>
      </w:r>
      <w:r w:rsidR="006216FC">
        <w:rPr>
          <w:rFonts w:eastAsia="PMingLiU" w:cstheme="minorHAnsi"/>
          <w:szCs w:val="18"/>
          <w:lang w:eastAsia="zh-TW"/>
        </w:rPr>
        <w:t xml:space="preserve">inkomstenbelasting, zoals </w:t>
      </w:r>
      <w:r w:rsidR="006216FC" w:rsidRPr="00EA6AFA">
        <w:rPr>
          <w:rFonts w:eastAsia="PMingLiU" w:cstheme="minorHAnsi"/>
          <w:szCs w:val="18"/>
          <w:lang w:eastAsia="zh-TW"/>
        </w:rPr>
        <w:t>eigen woningfaciliteit</w:t>
      </w:r>
      <w:r w:rsidR="006216FC">
        <w:rPr>
          <w:rFonts w:eastAsia="PMingLiU" w:cstheme="minorHAnsi"/>
          <w:szCs w:val="18"/>
          <w:lang w:eastAsia="zh-TW"/>
        </w:rPr>
        <w:t xml:space="preserve"> of hypotheekrenteaftre</w:t>
      </w:r>
      <w:r w:rsidR="00B04587">
        <w:rPr>
          <w:rFonts w:eastAsia="PMingLiU" w:cstheme="minorHAnsi"/>
          <w:szCs w:val="18"/>
          <w:lang w:eastAsia="zh-TW"/>
        </w:rPr>
        <w:t>k</w:t>
      </w:r>
      <w:r w:rsidR="006216FC" w:rsidRPr="00EA6AFA">
        <w:rPr>
          <w:rFonts w:eastAsia="PMingLiU" w:cstheme="minorHAnsi"/>
          <w:szCs w:val="18"/>
          <w:lang w:eastAsia="zh-TW"/>
        </w:rPr>
        <w:t xml:space="preserve">. </w:t>
      </w:r>
      <w:r w:rsidR="006216FC">
        <w:rPr>
          <w:rFonts w:eastAsia="PMingLiU" w:cstheme="minorHAnsi"/>
          <w:szCs w:val="18"/>
          <w:lang w:eastAsia="zh-TW"/>
        </w:rPr>
        <w:t xml:space="preserve">Veel van deze alternatieven bleken op voorhand niet uitvoerbaar of doeltreffend. Redenen hiervoor zijn dat de </w:t>
      </w:r>
      <w:r w:rsidR="00B04587">
        <w:rPr>
          <w:rFonts w:eastAsia="PMingLiU" w:cstheme="minorHAnsi"/>
          <w:szCs w:val="18"/>
          <w:lang w:eastAsia="zh-TW"/>
        </w:rPr>
        <w:t>koppeling pas later kan plaatsvinden dan</w:t>
      </w:r>
      <w:r w:rsidR="006216FC">
        <w:rPr>
          <w:rFonts w:eastAsia="PMingLiU" w:cstheme="minorHAnsi"/>
          <w:szCs w:val="18"/>
          <w:lang w:eastAsia="zh-TW"/>
        </w:rPr>
        <w:t xml:space="preserve"> dat de overdracht van een woning plaatsvindt (koppeling aan inkomstenbelasting), </w:t>
      </w:r>
      <w:r w:rsidR="00B04587" w:rsidRPr="00EA6AFA">
        <w:rPr>
          <w:rFonts w:eastAsia="PMingLiU" w:cs="Times New Roman"/>
          <w:szCs w:val="18"/>
          <w:lang w:eastAsia="zh-TW"/>
        </w:rPr>
        <w:t>de Belastingdienst in de huidige situatie geen gegevens bijhoudt van de verkrijger (</w:t>
      </w:r>
      <w:r w:rsidR="00B04587">
        <w:rPr>
          <w:rFonts w:eastAsia="PMingLiU" w:cs="Times New Roman"/>
          <w:szCs w:val="18"/>
          <w:lang w:eastAsia="zh-TW"/>
        </w:rPr>
        <w:t>nooit eerder overdrachtsbelasting is verschuldigd</w:t>
      </w:r>
      <w:r w:rsidR="00B04587" w:rsidRPr="00EA6AFA">
        <w:rPr>
          <w:rFonts w:eastAsia="PMingLiU" w:cs="Times New Roman"/>
          <w:szCs w:val="18"/>
          <w:lang w:eastAsia="zh-TW"/>
        </w:rPr>
        <w:t>)</w:t>
      </w:r>
      <w:r w:rsidR="00B04587">
        <w:rPr>
          <w:rFonts w:eastAsia="PMingLiU" w:cs="Times New Roman"/>
          <w:szCs w:val="18"/>
          <w:lang w:eastAsia="zh-TW"/>
        </w:rPr>
        <w:t xml:space="preserve">, </w:t>
      </w:r>
      <w:r w:rsidR="00B04587">
        <w:rPr>
          <w:rFonts w:eastAsia="PMingLiU" w:cstheme="minorHAnsi"/>
          <w:szCs w:val="18"/>
          <w:lang w:eastAsia="zh-TW"/>
        </w:rPr>
        <w:t>het niet objectiveerbaar is (spraakgebruik), of te beperkt de beoogde doelgroep treft (NHG-garantie en starterslening)</w:t>
      </w:r>
      <w:r w:rsidR="006216FC">
        <w:rPr>
          <w:rFonts w:eastAsia="PMingLiU" w:cstheme="minorHAnsi"/>
          <w:szCs w:val="18"/>
          <w:lang w:eastAsia="zh-TW"/>
        </w:rPr>
        <w:t xml:space="preserve">. </w:t>
      </w:r>
      <w:r w:rsidR="006216FC" w:rsidRPr="00EA6AFA">
        <w:rPr>
          <w:rFonts w:eastAsia="PMingLiU" w:cstheme="minorHAnsi"/>
          <w:szCs w:val="18"/>
          <w:lang w:eastAsia="zh-TW"/>
        </w:rPr>
        <w:t>Daaruit werd geconcludeerd dat het woningbezit, de leeftijdsgren</w:t>
      </w:r>
      <w:r w:rsidR="00D32F81">
        <w:rPr>
          <w:rFonts w:eastAsia="PMingLiU" w:cstheme="minorHAnsi"/>
          <w:szCs w:val="18"/>
          <w:lang w:eastAsia="zh-TW"/>
        </w:rPr>
        <w:t>zen</w:t>
      </w:r>
      <w:r w:rsidR="006216FC" w:rsidRPr="00EA6AFA">
        <w:rPr>
          <w:rFonts w:eastAsia="PMingLiU" w:cstheme="minorHAnsi"/>
          <w:szCs w:val="18"/>
          <w:lang w:eastAsia="zh-TW"/>
        </w:rPr>
        <w:t xml:space="preserve"> en de woningwaarde het verdere onderzoeken waard waren. Dit is door </w:t>
      </w:r>
      <w:r w:rsidR="00B04587">
        <w:rPr>
          <w:rFonts w:eastAsia="PMingLiU" w:cstheme="minorHAnsi"/>
          <w:szCs w:val="18"/>
          <w:lang w:eastAsia="zh-TW"/>
        </w:rPr>
        <w:t xml:space="preserve">onderzoeksbureau </w:t>
      </w:r>
      <w:r w:rsidR="006216FC" w:rsidRPr="00EA6AFA">
        <w:rPr>
          <w:rFonts w:eastAsia="PMingLiU" w:cstheme="minorHAnsi"/>
          <w:szCs w:val="18"/>
          <w:lang w:eastAsia="zh-TW"/>
        </w:rPr>
        <w:t xml:space="preserve">Dialogic verder verkend. Uit de onderzoeken van Dialogic blijkt dat een toetsing op basis van woningbezit </w:t>
      </w:r>
      <w:r w:rsidR="00B04587">
        <w:rPr>
          <w:rFonts w:eastAsia="PMingLiU" w:cstheme="minorHAnsi"/>
          <w:szCs w:val="18"/>
          <w:lang w:eastAsia="zh-TW"/>
        </w:rPr>
        <w:t xml:space="preserve">ook </w:t>
      </w:r>
      <w:r w:rsidR="006216FC" w:rsidRPr="00EA6AFA">
        <w:rPr>
          <w:rFonts w:eastAsia="PMingLiU" w:cstheme="minorHAnsi"/>
          <w:szCs w:val="18"/>
          <w:lang w:eastAsia="zh-TW"/>
        </w:rPr>
        <w:t xml:space="preserve">niet uitvoerbaar is voor de uitvoeringspartijen. </w:t>
      </w:r>
      <w:r w:rsidRPr="00773A13">
        <w:t xml:space="preserve">Gegeven de uitkomsten van </w:t>
      </w:r>
      <w:r w:rsidR="000751C1" w:rsidRPr="00773A13">
        <w:t>het rapport en addendum</w:t>
      </w:r>
      <w:r w:rsidRPr="00773A13">
        <w:t xml:space="preserve"> van Dialogic was </w:t>
      </w:r>
      <w:r w:rsidR="00F7567E">
        <w:t xml:space="preserve">het </w:t>
      </w:r>
      <w:r w:rsidRPr="00773A13">
        <w:t xml:space="preserve">wel nodig te zoeken naar een alternatieve invulling van de begrippen </w:t>
      </w:r>
      <w:r w:rsidR="00104EDC" w:rsidRPr="00773A13">
        <w:t>“</w:t>
      </w:r>
      <w:r w:rsidRPr="00773A13">
        <w:t>starter</w:t>
      </w:r>
      <w:r w:rsidR="00104EDC" w:rsidRPr="00773A13">
        <w:t>”</w:t>
      </w:r>
      <w:r w:rsidRPr="00773A13">
        <w:t xml:space="preserve"> en </w:t>
      </w:r>
      <w:r w:rsidR="00104EDC" w:rsidRPr="00773A13">
        <w:t>“</w:t>
      </w:r>
      <w:r w:rsidRPr="00773A13">
        <w:t>belegger</w:t>
      </w:r>
      <w:r w:rsidR="00104EDC" w:rsidRPr="00773A13">
        <w:t>”</w:t>
      </w:r>
      <w:r w:rsidRPr="00773A13">
        <w:t xml:space="preserve"> om te komen tot een uitvoerbare regeling. </w:t>
      </w:r>
      <w:r w:rsidR="00531480">
        <w:t>In dit voorstel wordt</w:t>
      </w:r>
      <w:r w:rsidR="00E40DE8">
        <w:t xml:space="preserve"> </w:t>
      </w:r>
      <w:r w:rsidR="009604C4">
        <w:t xml:space="preserve">de invulling van het begrip starter en belegger losgelaten en is </w:t>
      </w:r>
      <w:r w:rsidR="00B04587">
        <w:t xml:space="preserve">nogmaals </w:t>
      </w:r>
      <w:r w:rsidR="009604C4">
        <w:t>gekeken naar alternatieven om hetzelfde doel te bereiken: h</w:t>
      </w:r>
      <w:r w:rsidR="009604C4" w:rsidRPr="00773A13">
        <w:t>et verbeteren van de positie van starters op de woningmarkt ten opzichte van beleggers</w:t>
      </w:r>
      <w:r w:rsidR="009604C4">
        <w:t xml:space="preserve">. Daarbij is gekozen voor een </w:t>
      </w:r>
      <w:r w:rsidR="00717D0A">
        <w:t xml:space="preserve">maatregel die indirect starters helpt en indirect beleggers treft. </w:t>
      </w:r>
    </w:p>
    <w:p w:rsidR="0061617E" w:rsidRDefault="0061617E" w:rsidP="009D6FC4">
      <w:pPr>
        <w:spacing w:after="0" w:line="360" w:lineRule="auto"/>
      </w:pPr>
    </w:p>
    <w:p w:rsidR="00E734CC" w:rsidRPr="008A26B8" w:rsidRDefault="00717D0A" w:rsidP="009D6FC4">
      <w:pPr>
        <w:spacing w:after="0" w:line="360" w:lineRule="auto"/>
        <w:rPr>
          <w:rFonts w:eastAsia="PMingLiU" w:cstheme="minorHAnsi"/>
          <w:szCs w:val="18"/>
          <w:lang w:eastAsia="zh-TW"/>
        </w:rPr>
      </w:pPr>
      <w:r>
        <w:t xml:space="preserve">Het kabinet stelt voor om een eenmalige vrijstelling van overdrachtsbelasting te introduceren voor verkrijgingen </w:t>
      </w:r>
      <w:r w:rsidR="00F7567E">
        <w:t xml:space="preserve">van woningen </w:t>
      </w:r>
      <w:r>
        <w:t xml:space="preserve">door een meerderjarig natuurlijk persoon die nog niet de leeftijd van </w:t>
      </w:r>
      <w:r w:rsidR="00D32F81">
        <w:t>vijfendertig</w:t>
      </w:r>
      <w:r>
        <w:t xml:space="preserve"> jaar heeft bereikt. Daarbij komt de aanvullende eis dat voor toepassing van deze vrijstelling of </w:t>
      </w:r>
      <w:r w:rsidR="00F7567E">
        <w:t xml:space="preserve">van </w:t>
      </w:r>
      <w:r>
        <w:t xml:space="preserve">het verlaagde overdrachtsbelastingtarief van 2% de verkrijger </w:t>
      </w:r>
      <w:r w:rsidR="001079C7">
        <w:t>duidelijk, stellig en zonder voorbehoud</w:t>
      </w:r>
      <w:r w:rsidR="005D4EE3">
        <w:t xml:space="preserve"> </w:t>
      </w:r>
      <w:r>
        <w:t>moet verklaren dat hij de woning</w:t>
      </w:r>
      <w:r w:rsidR="005D4EE3">
        <w:t xml:space="preserve"> anders dan tijdelijk</w:t>
      </w:r>
      <w:r>
        <w:t xml:space="preserve"> als hoofdverblijf gaat gebruiken. </w:t>
      </w:r>
      <w:r w:rsidR="00493EE8">
        <w:t xml:space="preserve">Het begrip belegger wordt niet als zodanig gedefinieerd in het wetsvoorstel. In plaats daarvan gaan verkrijgers die een woning niet </w:t>
      </w:r>
      <w:r w:rsidR="00870BF3">
        <w:t xml:space="preserve">– </w:t>
      </w:r>
      <w:r w:rsidR="00E071A0">
        <w:t>of</w:t>
      </w:r>
      <w:r w:rsidR="00493EE8">
        <w:t xml:space="preserve"> </w:t>
      </w:r>
      <w:r w:rsidR="00870BF3">
        <w:t xml:space="preserve">slechts </w:t>
      </w:r>
      <w:r w:rsidR="00493EE8">
        <w:t>tijdelijk</w:t>
      </w:r>
      <w:r w:rsidR="00870BF3">
        <w:t xml:space="preserve"> –</w:t>
      </w:r>
      <w:r w:rsidR="00493EE8">
        <w:t xml:space="preserve"> als hoofdverblijf gaat gebruiken het </w:t>
      </w:r>
      <w:r w:rsidR="00193080">
        <w:t>hogere</w:t>
      </w:r>
      <w:r w:rsidR="00493EE8">
        <w:t xml:space="preserve"> tarief betalen</w:t>
      </w:r>
      <w:r w:rsidR="00E734CC" w:rsidRPr="00773A13">
        <w:t xml:space="preserve">. </w:t>
      </w:r>
    </w:p>
    <w:p w:rsidR="00193080" w:rsidRDefault="00193080" w:rsidP="00717D0A">
      <w:pPr>
        <w:spacing w:after="0" w:line="360" w:lineRule="auto"/>
      </w:pPr>
    </w:p>
    <w:p w:rsidR="00717D0A" w:rsidRDefault="00717D0A" w:rsidP="009D6FC4">
      <w:pPr>
        <w:spacing w:after="0" w:line="360" w:lineRule="auto"/>
      </w:pPr>
      <w:r w:rsidRPr="00717D0A">
        <w:t xml:space="preserve">Dialogic had geen uitvoerbaar alternatief gevonden voor het hoger belasten van beleggers. Bovendien werden beleggers in deze niet uitvoerbare varianten pas vanaf de verkrijging van de derde woning hoger belast. Door opname van het hoofdverblijfcriterium wordt de belegger nu gerichter </w:t>
      </w:r>
      <w:r w:rsidR="003D38A1" w:rsidRPr="00A01346">
        <w:t>zwaarder belast</w:t>
      </w:r>
      <w:r w:rsidRPr="00717D0A">
        <w:t xml:space="preserve">, waardoor een belegger al vanaf de eerste woning die </w:t>
      </w:r>
      <w:r w:rsidR="00D653DE">
        <w:t xml:space="preserve">ter belegging wordt aangeschaft </w:t>
      </w:r>
      <w:r w:rsidRPr="00717D0A">
        <w:t>een hoger tarief betaalt. Ook de startersfaciliteit is door de aanvullende opname van het hoofdverblijfcriterium</w:t>
      </w:r>
      <w:r w:rsidR="007E5A93">
        <w:t>,</w:t>
      </w:r>
      <w:r w:rsidRPr="00717D0A">
        <w:t xml:space="preserve"> het slechts eenmalig kunnen toepassen van de vrijstelling</w:t>
      </w:r>
      <w:r w:rsidR="007E5A93">
        <w:t>, en de beoordeling van de vrijstelling per verkrijger</w:t>
      </w:r>
      <w:r w:rsidRPr="00717D0A">
        <w:t xml:space="preserve"> gerichter dan de alternatieve variant in het Dialogic-</w:t>
      </w:r>
      <w:r w:rsidRPr="00717D0A">
        <w:lastRenderedPageBreak/>
        <w:t>onderzoek</w:t>
      </w:r>
      <w:r w:rsidR="00D653DE">
        <w:t>. In dat onderzoek is alleen uitgegaan</w:t>
      </w:r>
      <w:r w:rsidRPr="00717D0A">
        <w:t xml:space="preserve"> van een leeftijdsgrens</w:t>
      </w:r>
      <w:r w:rsidR="000B2F23">
        <w:t>. Daarnaast werd in dat onderzoek de toepassing van de vrijstelling niet beoordeel</w:t>
      </w:r>
      <w:r w:rsidR="001079C7">
        <w:t>d</w:t>
      </w:r>
      <w:r w:rsidR="000B2F23">
        <w:t xml:space="preserve"> per individuele verkrijger, maar moesten</w:t>
      </w:r>
      <w:r w:rsidR="001079C7">
        <w:t>,</w:t>
      </w:r>
      <w:r w:rsidR="000B2F23">
        <w:t xml:space="preserve"> </w:t>
      </w:r>
      <w:r w:rsidR="001079C7">
        <w:t xml:space="preserve">ingeval van een gezamenlijke verkrijging, </w:t>
      </w:r>
      <w:r w:rsidR="000B2F23">
        <w:t xml:space="preserve">alle verkrijgers aan de criteria voldoen. Het was dus relevant met wie een verkrijger samen een woning verkreeg. </w:t>
      </w:r>
      <w:r>
        <w:t xml:space="preserve">Het kabinet verwacht </w:t>
      </w:r>
      <w:r w:rsidRPr="00835FD0">
        <w:rPr>
          <w:color w:val="000000" w:themeColor="text1"/>
        </w:rPr>
        <w:t>dat met deze wijzigingen de doeltreffendheid en doelmatigheid is vergroot ten opzichte van de varianten die zijn onderzocht in het Dialogic-onderzoek.</w:t>
      </w:r>
    </w:p>
    <w:p w:rsidR="00E228CC" w:rsidRPr="00773A13" w:rsidRDefault="00E228CC" w:rsidP="009D6FC4">
      <w:pPr>
        <w:pStyle w:val="Kop1"/>
        <w:numPr>
          <w:ilvl w:val="0"/>
          <w:numId w:val="23"/>
        </w:numPr>
        <w:rPr>
          <w:rFonts w:ascii="Verdana" w:hAnsi="Verdana"/>
          <w:i/>
          <w:color w:val="auto"/>
          <w:sz w:val="18"/>
        </w:rPr>
      </w:pPr>
      <w:bookmarkStart w:id="12" w:name="_Toc48224482"/>
      <w:bookmarkStart w:id="13" w:name="_Toc48234412"/>
      <w:bookmarkStart w:id="14" w:name="_Toc48313352"/>
      <w:bookmarkStart w:id="15" w:name="_Toc509217269"/>
      <w:bookmarkStart w:id="16" w:name="_Toc509324729"/>
      <w:bookmarkStart w:id="17" w:name="_Toc520885972"/>
      <w:bookmarkStart w:id="18" w:name="_Toc515974566"/>
      <w:bookmarkStart w:id="19" w:name="_Ref522087447"/>
      <w:bookmarkStart w:id="20" w:name="_Toc524638717"/>
      <w:bookmarkStart w:id="21" w:name="_Toc46407548"/>
      <w:bookmarkStart w:id="22" w:name="_Toc49418729"/>
      <w:bookmarkStart w:id="23" w:name="_Toc50568490"/>
      <w:bookmarkEnd w:id="12"/>
      <w:bookmarkEnd w:id="13"/>
      <w:bookmarkEnd w:id="14"/>
      <w:r w:rsidRPr="00773A13">
        <w:rPr>
          <w:rFonts w:ascii="Verdana" w:hAnsi="Verdana"/>
          <w:i/>
          <w:color w:val="auto"/>
          <w:sz w:val="18"/>
        </w:rPr>
        <w:t>Hoofdlijnen van het voorstel</w:t>
      </w:r>
      <w:bookmarkEnd w:id="15"/>
      <w:bookmarkEnd w:id="16"/>
      <w:bookmarkEnd w:id="17"/>
      <w:bookmarkEnd w:id="18"/>
      <w:bookmarkEnd w:id="19"/>
      <w:bookmarkEnd w:id="20"/>
      <w:bookmarkEnd w:id="21"/>
      <w:bookmarkEnd w:id="22"/>
      <w:bookmarkEnd w:id="23"/>
    </w:p>
    <w:p w:rsidR="00E734CC" w:rsidRPr="00773A13" w:rsidRDefault="00E734CC" w:rsidP="009D6FC4">
      <w:pPr>
        <w:spacing w:line="360" w:lineRule="auto"/>
        <w:rPr>
          <w:lang w:eastAsia="nl-NL"/>
        </w:rPr>
      </w:pPr>
    </w:p>
    <w:p w:rsidR="00E734CC" w:rsidRPr="00773A13" w:rsidRDefault="00E734CC" w:rsidP="009D6FC4">
      <w:pPr>
        <w:spacing w:after="0" w:line="360" w:lineRule="auto"/>
      </w:pPr>
      <w:r w:rsidRPr="00773A13">
        <w:t xml:space="preserve">Voor starters op de woningmarkt wordt voorgesteld om </w:t>
      </w:r>
      <w:r w:rsidR="008A369F">
        <w:t xml:space="preserve">met ingang van </w:t>
      </w:r>
      <w:r w:rsidR="008A369F" w:rsidRPr="008A26B8">
        <w:t>1 januari 2021</w:t>
      </w:r>
      <w:r w:rsidR="008A369F">
        <w:t xml:space="preserve"> </w:t>
      </w:r>
      <w:r w:rsidRPr="00773A13">
        <w:t>een eenmalige vrijstelling van overdrachtsbelasting te introduceren. Om hiervoor in aanmerking te komen</w:t>
      </w:r>
      <w:r w:rsidR="00872ED8" w:rsidRPr="00773A13">
        <w:t>,</w:t>
      </w:r>
      <w:r w:rsidRPr="00773A13">
        <w:t xml:space="preserve"> dient de verkrijger te voldoen aan een aantal voorwaarden. De vrijstelling geldt voor verkrijgers die meerderjarig en jonger dan vijfendertig </w:t>
      </w:r>
      <w:r w:rsidR="00872ED8" w:rsidRPr="00773A13">
        <w:t>zijn</w:t>
      </w:r>
      <w:r w:rsidRPr="00773A13">
        <w:t>, die een woning</w:t>
      </w:r>
      <w:r w:rsidR="005709C5" w:rsidRPr="00773A13">
        <w:t xml:space="preserve"> of </w:t>
      </w:r>
      <w:r w:rsidRPr="00773A13">
        <w:t>een recht waaraan een woning is onderworpen (hierna</w:t>
      </w:r>
      <w:r w:rsidR="007E3079" w:rsidRPr="00773A13">
        <w:t xml:space="preserve"> worden beide aangeduid met</w:t>
      </w:r>
      <w:r w:rsidRPr="00773A13">
        <w:t xml:space="preserve"> woning) verkrijgen</w:t>
      </w:r>
      <w:r w:rsidR="00693A48">
        <w:t>,</w:t>
      </w:r>
      <w:r w:rsidRPr="00773A13">
        <w:t xml:space="preserve"> die deze woning anders dan tijdelijk als hoofdverblijf gaan gebruiken</w:t>
      </w:r>
      <w:r w:rsidR="009A79EE">
        <w:t xml:space="preserve"> en </w:t>
      </w:r>
      <w:r w:rsidR="00693A48">
        <w:t xml:space="preserve">die </w:t>
      </w:r>
      <w:r w:rsidR="009A79EE">
        <w:t>de vrijstelling niet eerder hebben gebruikt</w:t>
      </w:r>
      <w:r w:rsidRPr="00773A13">
        <w:t xml:space="preserve">. Hierdoor worden </w:t>
      </w:r>
      <w:r w:rsidR="00F7567E">
        <w:t xml:space="preserve">– afhankelijk van de waardestijging van woningen als gevolg van de maatregelen – </w:t>
      </w:r>
      <w:r w:rsidRPr="00773A13">
        <w:t>de totale kosten die gemoeid zijn met het aankopen van een eerste woning</w:t>
      </w:r>
      <w:r w:rsidR="00872ED8" w:rsidRPr="00773A13">
        <w:t xml:space="preserve"> </w:t>
      </w:r>
      <w:r w:rsidRPr="00773A13">
        <w:t xml:space="preserve">verminderd. </w:t>
      </w:r>
    </w:p>
    <w:p w:rsidR="00077FF6" w:rsidRDefault="00077FF6" w:rsidP="009D6FC4">
      <w:pPr>
        <w:spacing w:after="0" w:line="360" w:lineRule="auto"/>
      </w:pPr>
    </w:p>
    <w:p w:rsidR="00693A48" w:rsidRDefault="00E734CC" w:rsidP="009D6FC4">
      <w:pPr>
        <w:spacing w:after="0" w:line="360" w:lineRule="auto"/>
      </w:pPr>
      <w:r w:rsidRPr="00773A13">
        <w:t>Andere natuurlijke personen – niet zijnde starters – die een woning verkrijgen</w:t>
      </w:r>
      <w:r w:rsidR="007E3079" w:rsidRPr="00773A13">
        <w:t>,</w:t>
      </w:r>
      <w:r w:rsidRPr="00773A13">
        <w:t xml:space="preserve"> hebben recht op de toepassing van het verlaagde tarief van 2%, mits zij de woning verkrijgen om deze anders dan tijdelijk als hoofdverblijf te gaan gebruiken. Doorstromers op de woningmarkt kunnen derhalve van het verlaagde tarief van 2% gebruik blijven maken. </w:t>
      </w:r>
    </w:p>
    <w:p w:rsidR="00087D15" w:rsidRDefault="00087D15" w:rsidP="009D6FC4">
      <w:pPr>
        <w:spacing w:after="0" w:line="360" w:lineRule="auto"/>
      </w:pPr>
    </w:p>
    <w:p w:rsidR="00A227EB" w:rsidRDefault="004D4FB3" w:rsidP="00BE0450">
      <w:pPr>
        <w:spacing w:after="0" w:line="360" w:lineRule="auto"/>
      </w:pPr>
      <w:r w:rsidRPr="00773A13">
        <w:t>Alle overige ve</w:t>
      </w:r>
      <w:r w:rsidRPr="00A705A0">
        <w:t xml:space="preserve">rkrijgingen worden </w:t>
      </w:r>
      <w:r w:rsidR="00F7567E" w:rsidRPr="00A705A0">
        <w:t xml:space="preserve">vanaf 1 januari 2021 </w:t>
      </w:r>
      <w:r w:rsidRPr="00A705A0">
        <w:t>belast tegen het hogere algemene tarief. Het algemene tarief wordt met ingang van 1 januari 2021 verder verhoogd naar 8%.</w:t>
      </w:r>
      <w:r w:rsidRPr="00A705A0" w:rsidDel="00087D15">
        <w:rPr>
          <w:rStyle w:val="Voetnootmarkering"/>
        </w:rPr>
        <w:footnoteReference w:id="10"/>
      </w:r>
      <w:r w:rsidRPr="00A705A0" w:rsidDel="00087D15">
        <w:t xml:space="preserve"> </w:t>
      </w:r>
      <w:r w:rsidRPr="00A705A0">
        <w:rPr>
          <w:rFonts w:cs="Verdana"/>
          <w:szCs w:val="18"/>
        </w:rPr>
        <w:t xml:space="preserve">Het tarief gaat daardoor van 6% naar 8%. </w:t>
      </w:r>
      <w:r w:rsidRPr="00A705A0">
        <w:t xml:space="preserve">Dit betekent dat – naast </w:t>
      </w:r>
      <w:r w:rsidR="001079C7" w:rsidRPr="00A705A0">
        <w:t xml:space="preserve">de verkrijging van </w:t>
      </w:r>
      <w:r w:rsidRPr="00A705A0">
        <w:t>niet-woningen</w:t>
      </w:r>
      <w:r w:rsidR="00620259">
        <w:t>, zoals bedrijfspanden</w:t>
      </w:r>
      <w:r w:rsidRPr="00A705A0">
        <w:t xml:space="preserve"> – ook</w:t>
      </w:r>
      <w:r w:rsidRPr="00A705A0">
        <w:rPr>
          <w:szCs w:val="18"/>
        </w:rPr>
        <w:t xml:space="preserve"> </w:t>
      </w:r>
      <w:r w:rsidR="001079C7" w:rsidRPr="00A705A0">
        <w:rPr>
          <w:szCs w:val="18"/>
        </w:rPr>
        <w:t xml:space="preserve">verkrijgingen van </w:t>
      </w:r>
      <w:r w:rsidRPr="00A705A0">
        <w:t>woningen die niet</w:t>
      </w:r>
      <w:r w:rsidR="00620259">
        <w:t>,</w:t>
      </w:r>
      <w:r w:rsidR="005D4EE3" w:rsidRPr="00A705A0">
        <w:t xml:space="preserve"> </w:t>
      </w:r>
      <w:r w:rsidRPr="00A705A0">
        <w:t xml:space="preserve">of </w:t>
      </w:r>
      <w:r w:rsidR="005D4EE3" w:rsidRPr="00A705A0">
        <w:t xml:space="preserve">slechts </w:t>
      </w:r>
      <w:r w:rsidR="00620259">
        <w:t>tijdelijk,</w:t>
      </w:r>
      <w:r w:rsidR="005D4EE3" w:rsidRPr="00A705A0">
        <w:t xml:space="preserve"> </w:t>
      </w:r>
      <w:r w:rsidRPr="00A705A0">
        <w:t xml:space="preserve">als hoofdverblijf gaan worden gebruikt, worden belast tegen 8%. Hieronder valt bijvoorbeeld ook de verkrijging van </w:t>
      </w:r>
      <w:r w:rsidR="001079C7" w:rsidRPr="00A705A0">
        <w:t xml:space="preserve">een </w:t>
      </w:r>
      <w:r w:rsidRPr="00A705A0">
        <w:t xml:space="preserve">vakantiewoning, </w:t>
      </w:r>
      <w:r w:rsidR="001079C7" w:rsidRPr="00A705A0">
        <w:t>een</w:t>
      </w:r>
      <w:r w:rsidRPr="00A705A0">
        <w:t xml:space="preserve"> woning die ouders kopen voor hun kind en ve</w:t>
      </w:r>
      <w:r w:rsidRPr="00773A13">
        <w:t>rkrijgingen van woningen door niet-natuurlijke personen, zoals rechtspersonen</w:t>
      </w:r>
      <w:r w:rsidR="00F7567E">
        <w:t>, bijvoorbeeld woningcorporaties</w:t>
      </w:r>
      <w:r w:rsidRPr="00773A13">
        <w:t>.</w:t>
      </w:r>
    </w:p>
    <w:p w:rsidR="00BE0450" w:rsidRPr="00BE0450" w:rsidRDefault="00BE0450" w:rsidP="00BE0450">
      <w:pPr>
        <w:spacing w:after="0" w:line="360" w:lineRule="auto"/>
      </w:pPr>
    </w:p>
    <w:p w:rsidR="00971AF5" w:rsidRPr="00773A13" w:rsidRDefault="00971AF5" w:rsidP="009D6FC4">
      <w:pPr>
        <w:spacing w:line="360" w:lineRule="auto"/>
        <w:rPr>
          <w:szCs w:val="18"/>
        </w:rPr>
      </w:pPr>
      <w:r w:rsidRPr="00773A13">
        <w:rPr>
          <w:szCs w:val="18"/>
        </w:rPr>
        <w:t xml:space="preserve">De gevolgen van de voorgestelde tariefdifferentiatie in de overdrachtsbelasting </w:t>
      </w:r>
      <w:r w:rsidR="004D7109" w:rsidRPr="00773A13">
        <w:rPr>
          <w:szCs w:val="18"/>
        </w:rPr>
        <w:t>k</w:t>
      </w:r>
      <w:r w:rsidR="004D7109">
        <w:rPr>
          <w:szCs w:val="18"/>
        </w:rPr>
        <w:t>unnen</w:t>
      </w:r>
      <w:r w:rsidRPr="00773A13">
        <w:rPr>
          <w:szCs w:val="18"/>
        </w:rPr>
        <w:t xml:space="preserve"> in de vorm van een beslisboom als volgt worden weergegeven: </w:t>
      </w:r>
    </w:p>
    <w:p w:rsidR="00971AF5" w:rsidRPr="00773A13" w:rsidRDefault="000C662D" w:rsidP="00277EF0">
      <w:pPr>
        <w:spacing w:line="360" w:lineRule="auto"/>
        <w:jc w:val="center"/>
      </w:pPr>
      <w:r w:rsidRPr="00A705A0">
        <w:rPr>
          <w:noProof/>
          <w:lang w:eastAsia="nl-NL"/>
        </w:rPr>
        <w:lastRenderedPageBreak/>
        <w:drawing>
          <wp:inline distT="0" distB="0" distL="0" distR="0" wp14:anchorId="0DE8A085" wp14:editId="5B32CAC8">
            <wp:extent cx="4712335" cy="7937500"/>
            <wp:effectExtent l="0" t="0" r="0" b="635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2335" cy="7937500"/>
                    </a:xfrm>
                    <a:prstGeom prst="rect">
                      <a:avLst/>
                    </a:prstGeom>
                    <a:noFill/>
                  </pic:spPr>
                </pic:pic>
              </a:graphicData>
            </a:graphic>
          </wp:inline>
        </w:drawing>
      </w:r>
    </w:p>
    <w:p w:rsidR="00DC41BF" w:rsidRDefault="00DC41BF" w:rsidP="009D6FC4">
      <w:pPr>
        <w:spacing w:line="360" w:lineRule="auto"/>
      </w:pPr>
    </w:p>
    <w:p w:rsidR="000C662D" w:rsidRDefault="000C662D" w:rsidP="009D6FC4">
      <w:pPr>
        <w:spacing w:line="360" w:lineRule="auto"/>
      </w:pPr>
    </w:p>
    <w:p w:rsidR="00E7003D" w:rsidRPr="00773A13" w:rsidRDefault="00E7003D" w:rsidP="009D6FC4">
      <w:pPr>
        <w:spacing w:line="360" w:lineRule="auto"/>
      </w:pPr>
      <w:r w:rsidRPr="00773A13">
        <w:lastRenderedPageBreak/>
        <w:t>Bij een vergelijking van de huidige situatie met de situatie vanaf 1 januari 2021 ontstaat het volgende beeld:</w:t>
      </w:r>
    </w:p>
    <w:tbl>
      <w:tblPr>
        <w:tblStyle w:val="Rastertabel4-Accent1"/>
        <w:tblW w:w="8472" w:type="dxa"/>
        <w:tblLook w:val="04A0" w:firstRow="1" w:lastRow="0" w:firstColumn="1" w:lastColumn="0" w:noHBand="0" w:noVBand="1"/>
      </w:tblPr>
      <w:tblGrid>
        <w:gridCol w:w="3342"/>
        <w:gridCol w:w="2153"/>
        <w:gridCol w:w="2977"/>
      </w:tblGrid>
      <w:tr w:rsidR="00773A13" w:rsidRPr="00773A13" w:rsidTr="006559E8">
        <w:trPr>
          <w:cnfStyle w:val="100000000000" w:firstRow="1" w:lastRow="0" w:firstColumn="0" w:lastColumn="0" w:oddVBand="0" w:evenVBand="0" w:oddHBand="0"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3342" w:type="dxa"/>
            <w:hideMark/>
          </w:tcPr>
          <w:p w:rsidR="00E7003D" w:rsidRPr="00864485" w:rsidRDefault="00E7003D" w:rsidP="009D6FC4">
            <w:pPr>
              <w:spacing w:line="360" w:lineRule="auto"/>
              <w:rPr>
                <w:szCs w:val="18"/>
              </w:rPr>
            </w:pPr>
            <w:r w:rsidRPr="00864485">
              <w:rPr>
                <w:szCs w:val="18"/>
              </w:rPr>
              <w:t> </w:t>
            </w:r>
          </w:p>
        </w:tc>
        <w:tc>
          <w:tcPr>
            <w:tcW w:w="2153" w:type="dxa"/>
            <w:hideMark/>
          </w:tcPr>
          <w:p w:rsidR="00E7003D" w:rsidRPr="00864485" w:rsidRDefault="00E7003D" w:rsidP="009D6FC4">
            <w:pPr>
              <w:spacing w:line="360" w:lineRule="auto"/>
              <w:cnfStyle w:val="100000000000" w:firstRow="1" w:lastRow="0" w:firstColumn="0" w:lastColumn="0" w:oddVBand="0" w:evenVBand="0" w:oddHBand="0" w:evenHBand="0" w:firstRowFirstColumn="0" w:firstRowLastColumn="0" w:lastRowFirstColumn="0" w:lastRowLastColumn="0"/>
              <w:rPr>
                <w:szCs w:val="18"/>
              </w:rPr>
            </w:pPr>
            <w:r w:rsidRPr="00864485">
              <w:rPr>
                <w:bCs w:val="0"/>
                <w:szCs w:val="18"/>
              </w:rPr>
              <w:t>Tarief 2021 zonder differentiatie</w:t>
            </w:r>
          </w:p>
        </w:tc>
        <w:tc>
          <w:tcPr>
            <w:tcW w:w="2977" w:type="dxa"/>
            <w:hideMark/>
          </w:tcPr>
          <w:p w:rsidR="00E7003D" w:rsidRPr="00864485" w:rsidRDefault="00E7003D" w:rsidP="009D6FC4">
            <w:pPr>
              <w:spacing w:line="360" w:lineRule="auto"/>
              <w:cnfStyle w:val="100000000000" w:firstRow="1" w:lastRow="0" w:firstColumn="0" w:lastColumn="0" w:oddVBand="0" w:evenVBand="0" w:oddHBand="0" w:evenHBand="0" w:firstRowFirstColumn="0" w:firstRowLastColumn="0" w:lastRowFirstColumn="0" w:lastRowLastColumn="0"/>
              <w:rPr>
                <w:bCs w:val="0"/>
                <w:szCs w:val="18"/>
              </w:rPr>
            </w:pPr>
            <w:r w:rsidRPr="00864485">
              <w:rPr>
                <w:bCs w:val="0"/>
                <w:szCs w:val="18"/>
              </w:rPr>
              <w:t xml:space="preserve">Tarief 2021 met </w:t>
            </w:r>
            <w:r w:rsidRPr="00864485">
              <w:rPr>
                <w:bCs w:val="0"/>
                <w:szCs w:val="18"/>
              </w:rPr>
              <w:br/>
              <w:t>differentiatie</w:t>
            </w:r>
          </w:p>
        </w:tc>
      </w:tr>
      <w:tr w:rsidR="00773A13" w:rsidRPr="00773A13" w:rsidTr="006559E8">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3342" w:type="dxa"/>
            <w:hideMark/>
          </w:tcPr>
          <w:p w:rsidR="00E7003D" w:rsidRPr="00A705A0" w:rsidRDefault="00E7003D" w:rsidP="009D6FC4">
            <w:pPr>
              <w:rPr>
                <w:szCs w:val="18"/>
              </w:rPr>
            </w:pPr>
            <w:r w:rsidRPr="00A705A0">
              <w:rPr>
                <w:b w:val="0"/>
                <w:bCs w:val="0"/>
              </w:rPr>
              <w:t>Niet-woning</w:t>
            </w:r>
          </w:p>
        </w:tc>
        <w:tc>
          <w:tcPr>
            <w:tcW w:w="2153" w:type="dxa"/>
            <w:hideMark/>
          </w:tcPr>
          <w:p w:rsidR="00E7003D" w:rsidRPr="00A705A0" w:rsidRDefault="00E7003D" w:rsidP="009D6FC4">
            <w:pPr>
              <w:cnfStyle w:val="000000100000" w:firstRow="0" w:lastRow="0" w:firstColumn="0" w:lastColumn="0" w:oddVBand="0" w:evenVBand="0" w:oddHBand="1" w:evenHBand="0" w:firstRowFirstColumn="0" w:firstRowLastColumn="0" w:lastRowFirstColumn="0" w:lastRowLastColumn="0"/>
              <w:rPr>
                <w:sz w:val="22"/>
              </w:rPr>
            </w:pPr>
            <w:r w:rsidRPr="00A705A0">
              <w:t> </w:t>
            </w:r>
          </w:p>
        </w:tc>
        <w:tc>
          <w:tcPr>
            <w:tcW w:w="2977" w:type="dxa"/>
            <w:hideMark/>
          </w:tcPr>
          <w:p w:rsidR="00E7003D" w:rsidRPr="00A705A0" w:rsidRDefault="00E7003D" w:rsidP="009D6FC4">
            <w:pPr>
              <w:cnfStyle w:val="000000100000" w:firstRow="0" w:lastRow="0" w:firstColumn="0" w:lastColumn="0" w:oddVBand="0" w:evenVBand="0" w:oddHBand="1" w:evenHBand="0" w:firstRowFirstColumn="0" w:firstRowLastColumn="0" w:lastRowFirstColumn="0" w:lastRowLastColumn="0"/>
            </w:pPr>
            <w:r w:rsidRPr="00A705A0">
              <w:t> </w:t>
            </w:r>
          </w:p>
        </w:tc>
      </w:tr>
      <w:tr w:rsidR="00773A13" w:rsidRPr="00773A13" w:rsidTr="006559E8">
        <w:trPr>
          <w:trHeight w:val="429"/>
        </w:trPr>
        <w:tc>
          <w:tcPr>
            <w:cnfStyle w:val="001000000000" w:firstRow="0" w:lastRow="0" w:firstColumn="1" w:lastColumn="0" w:oddVBand="0" w:evenVBand="0" w:oddHBand="0" w:evenHBand="0" w:firstRowFirstColumn="0" w:firstRowLastColumn="0" w:lastRowFirstColumn="0" w:lastRowLastColumn="0"/>
            <w:tcW w:w="3342" w:type="dxa"/>
            <w:hideMark/>
          </w:tcPr>
          <w:p w:rsidR="00E7003D" w:rsidRPr="00A705A0" w:rsidRDefault="00E7003D" w:rsidP="009D6FC4">
            <w:r w:rsidRPr="00A705A0">
              <w:t>Niet-natuurlijke personen, zoals rechtspersonen (zakelijk)</w:t>
            </w:r>
          </w:p>
        </w:tc>
        <w:tc>
          <w:tcPr>
            <w:tcW w:w="2153" w:type="dxa"/>
            <w:hideMark/>
          </w:tcPr>
          <w:p w:rsidR="00E7003D" w:rsidRPr="00A705A0" w:rsidRDefault="0080278E" w:rsidP="009D6FC4">
            <w:pPr>
              <w:cnfStyle w:val="000000000000" w:firstRow="0" w:lastRow="0" w:firstColumn="0" w:lastColumn="0" w:oddVBand="0" w:evenVBand="0" w:oddHBand="0" w:evenHBand="0" w:firstRowFirstColumn="0" w:firstRowLastColumn="0" w:lastRowFirstColumn="0" w:lastRowLastColumn="0"/>
            </w:pPr>
            <w:r w:rsidRPr="00A705A0">
              <w:t>7</w:t>
            </w:r>
            <w:r w:rsidR="00E7003D" w:rsidRPr="00A705A0">
              <w:t>%</w:t>
            </w:r>
            <w:r w:rsidR="00E7003D" w:rsidRPr="00A705A0">
              <w:rPr>
                <w:rStyle w:val="Voetnootmarkering"/>
              </w:rPr>
              <w:footnoteReference w:id="11"/>
            </w:r>
          </w:p>
        </w:tc>
        <w:tc>
          <w:tcPr>
            <w:tcW w:w="2977" w:type="dxa"/>
            <w:hideMark/>
          </w:tcPr>
          <w:p w:rsidR="00E7003D" w:rsidRPr="00A705A0" w:rsidRDefault="00180B86" w:rsidP="009D6FC4">
            <w:pPr>
              <w:cnfStyle w:val="000000000000" w:firstRow="0" w:lastRow="0" w:firstColumn="0" w:lastColumn="0" w:oddVBand="0" w:evenVBand="0" w:oddHBand="0" w:evenHBand="0" w:firstRowFirstColumn="0" w:firstRowLastColumn="0" w:lastRowFirstColumn="0" w:lastRowLastColumn="0"/>
            </w:pPr>
            <w:r w:rsidRPr="00A705A0">
              <w:t>8</w:t>
            </w:r>
            <w:r w:rsidR="00E7003D" w:rsidRPr="00A705A0">
              <w:t xml:space="preserve">% </w:t>
            </w:r>
          </w:p>
        </w:tc>
      </w:tr>
      <w:tr w:rsidR="00773A13" w:rsidRPr="00773A13" w:rsidTr="006559E8">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3342" w:type="dxa"/>
            <w:hideMark/>
          </w:tcPr>
          <w:p w:rsidR="00E7003D" w:rsidRPr="00A705A0" w:rsidRDefault="00E7003D" w:rsidP="009D6FC4">
            <w:r w:rsidRPr="00A705A0">
              <w:t>Natuurlijke personen (particulier)</w:t>
            </w:r>
          </w:p>
        </w:tc>
        <w:tc>
          <w:tcPr>
            <w:tcW w:w="2153" w:type="dxa"/>
            <w:hideMark/>
          </w:tcPr>
          <w:p w:rsidR="00E7003D" w:rsidRPr="00A705A0" w:rsidRDefault="0080278E" w:rsidP="009D6FC4">
            <w:pPr>
              <w:cnfStyle w:val="000000100000" w:firstRow="0" w:lastRow="0" w:firstColumn="0" w:lastColumn="0" w:oddVBand="0" w:evenVBand="0" w:oddHBand="1" w:evenHBand="0" w:firstRowFirstColumn="0" w:firstRowLastColumn="0" w:lastRowFirstColumn="0" w:lastRowLastColumn="0"/>
            </w:pPr>
            <w:r w:rsidRPr="00A705A0">
              <w:t>7</w:t>
            </w:r>
            <w:r w:rsidR="00E7003D" w:rsidRPr="00A705A0">
              <w:t>%</w:t>
            </w:r>
          </w:p>
        </w:tc>
        <w:tc>
          <w:tcPr>
            <w:tcW w:w="2977" w:type="dxa"/>
            <w:hideMark/>
          </w:tcPr>
          <w:p w:rsidR="00E7003D" w:rsidRPr="00A705A0" w:rsidRDefault="00180B86" w:rsidP="009D6FC4">
            <w:pPr>
              <w:cnfStyle w:val="000000100000" w:firstRow="0" w:lastRow="0" w:firstColumn="0" w:lastColumn="0" w:oddVBand="0" w:evenVBand="0" w:oddHBand="1" w:evenHBand="0" w:firstRowFirstColumn="0" w:firstRowLastColumn="0" w:lastRowFirstColumn="0" w:lastRowLastColumn="0"/>
            </w:pPr>
            <w:r w:rsidRPr="00A705A0">
              <w:t>8</w:t>
            </w:r>
            <w:r w:rsidR="00E7003D" w:rsidRPr="00A705A0">
              <w:t>%</w:t>
            </w:r>
          </w:p>
        </w:tc>
      </w:tr>
      <w:tr w:rsidR="00773A13" w:rsidRPr="00773A13" w:rsidTr="006559E8">
        <w:trPr>
          <w:trHeight w:val="204"/>
        </w:trPr>
        <w:tc>
          <w:tcPr>
            <w:cnfStyle w:val="001000000000" w:firstRow="0" w:lastRow="0" w:firstColumn="1" w:lastColumn="0" w:oddVBand="0" w:evenVBand="0" w:oddHBand="0" w:evenHBand="0" w:firstRowFirstColumn="0" w:firstRowLastColumn="0" w:lastRowFirstColumn="0" w:lastRowLastColumn="0"/>
            <w:tcW w:w="3342" w:type="dxa"/>
            <w:hideMark/>
          </w:tcPr>
          <w:p w:rsidR="00E7003D" w:rsidRPr="00A705A0" w:rsidRDefault="00E7003D" w:rsidP="009D6FC4">
            <w:r w:rsidRPr="00A705A0">
              <w:rPr>
                <w:b w:val="0"/>
                <w:bCs w:val="0"/>
              </w:rPr>
              <w:t>Woning</w:t>
            </w:r>
          </w:p>
        </w:tc>
        <w:tc>
          <w:tcPr>
            <w:tcW w:w="2153" w:type="dxa"/>
            <w:hideMark/>
          </w:tcPr>
          <w:p w:rsidR="00E7003D" w:rsidRPr="00A705A0" w:rsidRDefault="00E7003D" w:rsidP="009D6FC4">
            <w:pPr>
              <w:cnfStyle w:val="000000000000" w:firstRow="0" w:lastRow="0" w:firstColumn="0" w:lastColumn="0" w:oddVBand="0" w:evenVBand="0" w:oddHBand="0" w:evenHBand="0" w:firstRowFirstColumn="0" w:firstRowLastColumn="0" w:lastRowFirstColumn="0" w:lastRowLastColumn="0"/>
            </w:pPr>
          </w:p>
        </w:tc>
        <w:tc>
          <w:tcPr>
            <w:tcW w:w="2977" w:type="dxa"/>
            <w:hideMark/>
          </w:tcPr>
          <w:p w:rsidR="00E7003D" w:rsidRPr="00A705A0" w:rsidRDefault="00E7003D" w:rsidP="009D6F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nl-NL"/>
              </w:rPr>
            </w:pPr>
          </w:p>
        </w:tc>
      </w:tr>
      <w:tr w:rsidR="00773A13" w:rsidRPr="00773A13" w:rsidTr="006559E8">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342" w:type="dxa"/>
            <w:hideMark/>
          </w:tcPr>
          <w:p w:rsidR="00E7003D" w:rsidRPr="00A705A0" w:rsidRDefault="00E7003D" w:rsidP="009D6FC4">
            <w:pPr>
              <w:rPr>
                <w:rFonts w:cs="Calibri"/>
                <w:szCs w:val="18"/>
              </w:rPr>
            </w:pPr>
            <w:r w:rsidRPr="00A705A0">
              <w:t>Niet-natuurlijke personen, zoals rechtspersonen (zakelijk)</w:t>
            </w:r>
          </w:p>
        </w:tc>
        <w:tc>
          <w:tcPr>
            <w:tcW w:w="2153" w:type="dxa"/>
            <w:hideMark/>
          </w:tcPr>
          <w:p w:rsidR="00E7003D" w:rsidRPr="00A705A0" w:rsidRDefault="00E7003D" w:rsidP="009D6FC4">
            <w:pPr>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A705A0">
              <w:t>2%</w:t>
            </w:r>
          </w:p>
        </w:tc>
        <w:tc>
          <w:tcPr>
            <w:tcW w:w="2977" w:type="dxa"/>
            <w:hideMark/>
          </w:tcPr>
          <w:p w:rsidR="00E7003D" w:rsidRPr="00A705A0" w:rsidRDefault="00180B86" w:rsidP="009D6FC4">
            <w:pPr>
              <w:cnfStyle w:val="000000100000" w:firstRow="0" w:lastRow="0" w:firstColumn="0" w:lastColumn="0" w:oddVBand="0" w:evenVBand="0" w:oddHBand="1" w:evenHBand="0" w:firstRowFirstColumn="0" w:firstRowLastColumn="0" w:lastRowFirstColumn="0" w:lastRowLastColumn="0"/>
            </w:pPr>
            <w:r w:rsidRPr="00A705A0">
              <w:t>8</w:t>
            </w:r>
            <w:r w:rsidR="00E7003D" w:rsidRPr="00A705A0">
              <w:t>%</w:t>
            </w:r>
          </w:p>
        </w:tc>
      </w:tr>
      <w:tr w:rsidR="00773A13" w:rsidRPr="00773A13" w:rsidTr="006559E8">
        <w:trPr>
          <w:trHeight w:val="214"/>
        </w:trPr>
        <w:tc>
          <w:tcPr>
            <w:cnfStyle w:val="001000000000" w:firstRow="0" w:lastRow="0" w:firstColumn="1" w:lastColumn="0" w:oddVBand="0" w:evenVBand="0" w:oddHBand="0" w:evenHBand="0" w:firstRowFirstColumn="0" w:firstRowLastColumn="0" w:lastRowFirstColumn="0" w:lastRowLastColumn="0"/>
            <w:tcW w:w="3342" w:type="dxa"/>
            <w:hideMark/>
          </w:tcPr>
          <w:p w:rsidR="00E7003D" w:rsidRPr="00A705A0" w:rsidRDefault="00E7003D" w:rsidP="009D6FC4">
            <w:r w:rsidRPr="00A705A0">
              <w:t>Natuurlijk personen (particulier)</w:t>
            </w:r>
          </w:p>
        </w:tc>
        <w:tc>
          <w:tcPr>
            <w:tcW w:w="2153" w:type="dxa"/>
            <w:hideMark/>
          </w:tcPr>
          <w:p w:rsidR="00E7003D" w:rsidRPr="00A705A0" w:rsidRDefault="00E7003D" w:rsidP="009D6FC4">
            <w:pPr>
              <w:cnfStyle w:val="000000000000" w:firstRow="0" w:lastRow="0" w:firstColumn="0" w:lastColumn="0" w:oddVBand="0" w:evenVBand="0" w:oddHBand="0" w:evenHBand="0" w:firstRowFirstColumn="0" w:firstRowLastColumn="0" w:lastRowFirstColumn="0" w:lastRowLastColumn="0"/>
            </w:pPr>
          </w:p>
        </w:tc>
        <w:tc>
          <w:tcPr>
            <w:tcW w:w="2977" w:type="dxa"/>
            <w:hideMark/>
          </w:tcPr>
          <w:p w:rsidR="00E7003D" w:rsidRPr="00A705A0" w:rsidRDefault="00E7003D" w:rsidP="009D6F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nl-NL"/>
              </w:rPr>
            </w:pPr>
          </w:p>
        </w:tc>
      </w:tr>
      <w:tr w:rsidR="00773A13" w:rsidRPr="00773A13" w:rsidTr="006559E8">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342" w:type="dxa"/>
            <w:hideMark/>
          </w:tcPr>
          <w:p w:rsidR="00E7003D" w:rsidRPr="00A705A0" w:rsidRDefault="00E7003D" w:rsidP="009D6FC4">
            <w:pPr>
              <w:pStyle w:val="Lijstalinea"/>
              <w:numPr>
                <w:ilvl w:val="0"/>
                <w:numId w:val="26"/>
              </w:numPr>
              <w:autoSpaceDN w:val="0"/>
              <w:spacing w:after="160" w:line="252" w:lineRule="auto"/>
              <w:rPr>
                <w:rFonts w:cs="Times New Roman"/>
                <w:szCs w:val="18"/>
              </w:rPr>
            </w:pPr>
            <w:r w:rsidRPr="00A705A0">
              <w:t xml:space="preserve">Geen </w:t>
            </w:r>
            <w:r w:rsidR="005D4EE3" w:rsidRPr="00A705A0">
              <w:t xml:space="preserve">of tijdelijk </w:t>
            </w:r>
            <w:r w:rsidR="00F7567E" w:rsidRPr="00A705A0">
              <w:t xml:space="preserve">gebruik als </w:t>
            </w:r>
            <w:r w:rsidRPr="00A705A0">
              <w:t>hoofdverblijf</w:t>
            </w:r>
          </w:p>
        </w:tc>
        <w:tc>
          <w:tcPr>
            <w:tcW w:w="2153" w:type="dxa"/>
            <w:hideMark/>
          </w:tcPr>
          <w:p w:rsidR="00E7003D" w:rsidRPr="00A705A0" w:rsidRDefault="00E7003D" w:rsidP="009D6FC4">
            <w:pPr>
              <w:cnfStyle w:val="000000100000" w:firstRow="0" w:lastRow="0" w:firstColumn="0" w:lastColumn="0" w:oddVBand="0" w:evenVBand="0" w:oddHBand="1" w:evenHBand="0" w:firstRowFirstColumn="0" w:firstRowLastColumn="0" w:lastRowFirstColumn="0" w:lastRowLastColumn="0"/>
              <w:rPr>
                <w:sz w:val="22"/>
              </w:rPr>
            </w:pPr>
            <w:r w:rsidRPr="00A705A0">
              <w:t>2%</w:t>
            </w:r>
          </w:p>
        </w:tc>
        <w:tc>
          <w:tcPr>
            <w:tcW w:w="2977" w:type="dxa"/>
            <w:hideMark/>
          </w:tcPr>
          <w:p w:rsidR="00E7003D" w:rsidRPr="00A705A0" w:rsidRDefault="00180B86" w:rsidP="009D6FC4">
            <w:pPr>
              <w:cnfStyle w:val="000000100000" w:firstRow="0" w:lastRow="0" w:firstColumn="0" w:lastColumn="0" w:oddVBand="0" w:evenVBand="0" w:oddHBand="1" w:evenHBand="0" w:firstRowFirstColumn="0" w:firstRowLastColumn="0" w:lastRowFirstColumn="0" w:lastRowLastColumn="0"/>
            </w:pPr>
            <w:r w:rsidRPr="00A705A0">
              <w:t>8</w:t>
            </w:r>
            <w:r w:rsidR="00E7003D" w:rsidRPr="00A705A0">
              <w:t>%</w:t>
            </w:r>
          </w:p>
        </w:tc>
      </w:tr>
      <w:tr w:rsidR="00773A13" w:rsidRPr="00773A13" w:rsidTr="006559E8">
        <w:trPr>
          <w:trHeight w:val="322"/>
        </w:trPr>
        <w:tc>
          <w:tcPr>
            <w:cnfStyle w:val="001000000000" w:firstRow="0" w:lastRow="0" w:firstColumn="1" w:lastColumn="0" w:oddVBand="0" w:evenVBand="0" w:oddHBand="0" w:evenHBand="0" w:firstRowFirstColumn="0" w:firstRowLastColumn="0" w:lastRowFirstColumn="0" w:lastRowLastColumn="0"/>
            <w:tcW w:w="3342" w:type="dxa"/>
            <w:hideMark/>
          </w:tcPr>
          <w:p w:rsidR="00E7003D" w:rsidRPr="00773A13" w:rsidRDefault="005D4EE3" w:rsidP="009D6FC4">
            <w:pPr>
              <w:pStyle w:val="Lijstalinea"/>
              <w:numPr>
                <w:ilvl w:val="0"/>
                <w:numId w:val="26"/>
              </w:numPr>
              <w:autoSpaceDN w:val="0"/>
              <w:spacing w:after="160" w:line="252" w:lineRule="auto"/>
            </w:pPr>
            <w:r>
              <w:t xml:space="preserve">Anders dan tijdelijk </w:t>
            </w:r>
            <w:r w:rsidR="00F7567E">
              <w:t xml:space="preserve">gebruik als </w:t>
            </w:r>
            <w:r>
              <w:t>h</w:t>
            </w:r>
            <w:r w:rsidR="00E7003D" w:rsidRPr="00773A13">
              <w:t xml:space="preserve">oofdverblijf en ouder dan </w:t>
            </w:r>
            <w:r w:rsidR="00D32F81">
              <w:t>vijfendertig</w:t>
            </w:r>
            <w:r w:rsidR="00E7003D" w:rsidRPr="00773A13">
              <w:t xml:space="preserve"> jaar </w:t>
            </w:r>
          </w:p>
        </w:tc>
        <w:tc>
          <w:tcPr>
            <w:tcW w:w="2153" w:type="dxa"/>
            <w:hideMark/>
          </w:tcPr>
          <w:p w:rsidR="00E7003D" w:rsidRPr="00773A13" w:rsidRDefault="00E7003D" w:rsidP="009D6FC4">
            <w:pPr>
              <w:cnfStyle w:val="000000000000" w:firstRow="0" w:lastRow="0" w:firstColumn="0" w:lastColumn="0" w:oddVBand="0" w:evenVBand="0" w:oddHBand="0" w:evenHBand="0" w:firstRowFirstColumn="0" w:firstRowLastColumn="0" w:lastRowFirstColumn="0" w:lastRowLastColumn="0"/>
            </w:pPr>
            <w:r w:rsidRPr="00773A13">
              <w:t>2%</w:t>
            </w:r>
          </w:p>
        </w:tc>
        <w:tc>
          <w:tcPr>
            <w:tcW w:w="2977" w:type="dxa"/>
            <w:hideMark/>
          </w:tcPr>
          <w:p w:rsidR="00E7003D" w:rsidRPr="00773A13" w:rsidRDefault="00E7003D" w:rsidP="009D6FC4">
            <w:pPr>
              <w:cnfStyle w:val="000000000000" w:firstRow="0" w:lastRow="0" w:firstColumn="0" w:lastColumn="0" w:oddVBand="0" w:evenVBand="0" w:oddHBand="0" w:evenHBand="0" w:firstRowFirstColumn="0" w:firstRowLastColumn="0" w:lastRowFirstColumn="0" w:lastRowLastColumn="0"/>
            </w:pPr>
            <w:r w:rsidRPr="00773A13">
              <w:t>2%</w:t>
            </w:r>
          </w:p>
        </w:tc>
      </w:tr>
      <w:tr w:rsidR="00F7567E" w:rsidRPr="00773A13" w:rsidTr="006559E8">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342" w:type="dxa"/>
          </w:tcPr>
          <w:p w:rsidR="00F7567E" w:rsidRDefault="00F7567E" w:rsidP="00F7567E">
            <w:pPr>
              <w:pStyle w:val="Lijstalinea"/>
              <w:numPr>
                <w:ilvl w:val="0"/>
                <w:numId w:val="26"/>
              </w:numPr>
              <w:autoSpaceDN w:val="0"/>
              <w:spacing w:after="160" w:line="252" w:lineRule="auto"/>
            </w:pPr>
            <w:r>
              <w:t>Anders dan tijdelijk gebruik als h</w:t>
            </w:r>
            <w:r w:rsidRPr="00773A13">
              <w:t>oofdverblijf</w:t>
            </w:r>
            <w:r>
              <w:t>, jonger</w:t>
            </w:r>
            <w:r w:rsidRPr="00773A13">
              <w:t xml:space="preserve"> dan </w:t>
            </w:r>
            <w:r>
              <w:t>vijfendertig</w:t>
            </w:r>
            <w:r w:rsidRPr="00773A13">
              <w:t xml:space="preserve"> jaar</w:t>
            </w:r>
            <w:r>
              <w:t>, startersvrijstelling al toegepast</w:t>
            </w:r>
          </w:p>
        </w:tc>
        <w:tc>
          <w:tcPr>
            <w:tcW w:w="2153" w:type="dxa"/>
          </w:tcPr>
          <w:p w:rsidR="00F7567E" w:rsidRPr="00773A13" w:rsidRDefault="00F7567E" w:rsidP="009D6FC4">
            <w:pPr>
              <w:cnfStyle w:val="000000100000" w:firstRow="0" w:lastRow="0" w:firstColumn="0" w:lastColumn="0" w:oddVBand="0" w:evenVBand="0" w:oddHBand="1" w:evenHBand="0" w:firstRowFirstColumn="0" w:firstRowLastColumn="0" w:lastRowFirstColumn="0" w:lastRowLastColumn="0"/>
            </w:pPr>
            <w:r>
              <w:t>2%</w:t>
            </w:r>
          </w:p>
        </w:tc>
        <w:tc>
          <w:tcPr>
            <w:tcW w:w="2977" w:type="dxa"/>
          </w:tcPr>
          <w:p w:rsidR="00F7567E" w:rsidRPr="00773A13" w:rsidRDefault="00F7567E" w:rsidP="009D6FC4">
            <w:pPr>
              <w:cnfStyle w:val="000000100000" w:firstRow="0" w:lastRow="0" w:firstColumn="0" w:lastColumn="0" w:oddVBand="0" w:evenVBand="0" w:oddHBand="1" w:evenHBand="0" w:firstRowFirstColumn="0" w:firstRowLastColumn="0" w:lastRowFirstColumn="0" w:lastRowLastColumn="0"/>
            </w:pPr>
            <w:r>
              <w:t>2%</w:t>
            </w:r>
          </w:p>
        </w:tc>
      </w:tr>
      <w:tr w:rsidR="00773A13" w:rsidRPr="00773A13" w:rsidTr="006559E8">
        <w:trPr>
          <w:trHeight w:val="928"/>
        </w:trPr>
        <w:tc>
          <w:tcPr>
            <w:cnfStyle w:val="001000000000" w:firstRow="0" w:lastRow="0" w:firstColumn="1" w:lastColumn="0" w:oddVBand="0" w:evenVBand="0" w:oddHBand="0" w:evenHBand="0" w:firstRowFirstColumn="0" w:firstRowLastColumn="0" w:lastRowFirstColumn="0" w:lastRowLastColumn="0"/>
            <w:tcW w:w="3342" w:type="dxa"/>
            <w:hideMark/>
          </w:tcPr>
          <w:p w:rsidR="00E7003D" w:rsidRPr="00773A13" w:rsidRDefault="005D4EE3" w:rsidP="00F7567E">
            <w:pPr>
              <w:pStyle w:val="Lijstalinea"/>
              <w:numPr>
                <w:ilvl w:val="0"/>
                <w:numId w:val="26"/>
              </w:numPr>
              <w:autoSpaceDN w:val="0"/>
              <w:spacing w:after="160" w:line="252" w:lineRule="auto"/>
            </w:pPr>
            <w:r>
              <w:t xml:space="preserve">Anders dan tijdelijk </w:t>
            </w:r>
            <w:r w:rsidR="00F7567E">
              <w:t xml:space="preserve">gebruik als </w:t>
            </w:r>
            <w:r>
              <w:t>h</w:t>
            </w:r>
            <w:r w:rsidR="00E7003D" w:rsidRPr="00773A13">
              <w:t>oofdverblijf</w:t>
            </w:r>
            <w:r w:rsidR="00C51B5A" w:rsidRPr="00773A13">
              <w:t>,</w:t>
            </w:r>
            <w:r w:rsidR="00E7003D" w:rsidRPr="00773A13">
              <w:t xml:space="preserve"> </w:t>
            </w:r>
            <w:r w:rsidR="00F1434A" w:rsidRPr="00773A13">
              <w:t>meerderjarig, jonger dan</w:t>
            </w:r>
            <w:r w:rsidR="00E7003D" w:rsidRPr="00773A13">
              <w:t xml:space="preserve"> </w:t>
            </w:r>
            <w:r w:rsidR="00D32F81">
              <w:t>vijfendertig</w:t>
            </w:r>
            <w:r w:rsidR="00E7003D" w:rsidRPr="00773A13">
              <w:t xml:space="preserve"> jaar</w:t>
            </w:r>
            <w:r w:rsidR="00F1434A" w:rsidRPr="00773A13">
              <w:t xml:space="preserve"> en </w:t>
            </w:r>
            <w:r w:rsidR="004D7109">
              <w:t>niet eerder</w:t>
            </w:r>
            <w:r w:rsidR="00F1434A" w:rsidRPr="00773A13">
              <w:t xml:space="preserve"> de </w:t>
            </w:r>
            <w:r w:rsidR="004D7109">
              <w:t>startersvrijstelling toegepast</w:t>
            </w:r>
          </w:p>
        </w:tc>
        <w:tc>
          <w:tcPr>
            <w:tcW w:w="2153" w:type="dxa"/>
            <w:hideMark/>
          </w:tcPr>
          <w:p w:rsidR="00E7003D" w:rsidRPr="00773A13" w:rsidRDefault="00E7003D" w:rsidP="009D6FC4">
            <w:pPr>
              <w:cnfStyle w:val="000000000000" w:firstRow="0" w:lastRow="0" w:firstColumn="0" w:lastColumn="0" w:oddVBand="0" w:evenVBand="0" w:oddHBand="0" w:evenHBand="0" w:firstRowFirstColumn="0" w:firstRowLastColumn="0" w:lastRowFirstColumn="0" w:lastRowLastColumn="0"/>
            </w:pPr>
            <w:r w:rsidRPr="00773A13">
              <w:t>2%</w:t>
            </w:r>
          </w:p>
        </w:tc>
        <w:tc>
          <w:tcPr>
            <w:tcW w:w="2977" w:type="dxa"/>
            <w:hideMark/>
          </w:tcPr>
          <w:p w:rsidR="00E7003D" w:rsidRPr="00773A13" w:rsidRDefault="00222F08" w:rsidP="009D6FC4">
            <w:pPr>
              <w:autoSpaceDN w:val="0"/>
              <w:spacing w:after="0" w:line="252" w:lineRule="auto"/>
              <w:cnfStyle w:val="000000000000" w:firstRow="0" w:lastRow="0" w:firstColumn="0" w:lastColumn="0" w:oddVBand="0" w:evenVBand="0" w:oddHBand="0" w:evenHBand="0" w:firstRowFirstColumn="0" w:firstRowLastColumn="0" w:lastRowFirstColumn="0" w:lastRowLastColumn="0"/>
            </w:pPr>
            <w:r>
              <w:t>vrijgesteld</w:t>
            </w:r>
          </w:p>
        </w:tc>
      </w:tr>
    </w:tbl>
    <w:p w:rsidR="002261FB" w:rsidRPr="00773A13" w:rsidRDefault="00286EAC" w:rsidP="009D6FC4">
      <w:pPr>
        <w:pStyle w:val="Kop1"/>
        <w:ind w:firstLine="0"/>
        <w:rPr>
          <w:color w:val="auto"/>
        </w:rPr>
      </w:pPr>
      <w:bookmarkStart w:id="24" w:name="_Toc46407549"/>
      <w:bookmarkStart w:id="25" w:name="_Toc49418730"/>
      <w:bookmarkStart w:id="26" w:name="_Toc50568491"/>
      <w:r w:rsidRPr="00773A13">
        <w:rPr>
          <w:rFonts w:ascii="Verdana" w:hAnsi="Verdana"/>
          <w:b w:val="0"/>
          <w:i/>
          <w:color w:val="auto"/>
          <w:sz w:val="18"/>
        </w:rPr>
        <w:t xml:space="preserve">2.1 </w:t>
      </w:r>
      <w:r w:rsidR="00CF4A1F" w:rsidRPr="00773A13">
        <w:rPr>
          <w:rFonts w:ascii="Verdana" w:hAnsi="Verdana"/>
          <w:b w:val="0"/>
          <w:i/>
          <w:color w:val="auto"/>
          <w:sz w:val="18"/>
        </w:rPr>
        <w:tab/>
      </w:r>
      <w:r w:rsidR="00082866" w:rsidRPr="00773A13">
        <w:rPr>
          <w:rFonts w:ascii="Verdana" w:hAnsi="Verdana"/>
          <w:b w:val="0"/>
          <w:i/>
          <w:color w:val="auto"/>
          <w:sz w:val="18"/>
        </w:rPr>
        <w:t>Startersvrijstelling</w:t>
      </w:r>
      <w:bookmarkEnd w:id="24"/>
      <w:bookmarkEnd w:id="25"/>
      <w:bookmarkEnd w:id="26"/>
      <w:r w:rsidR="00082866" w:rsidRPr="00773A13">
        <w:rPr>
          <w:color w:val="auto"/>
        </w:rPr>
        <w:t xml:space="preserve"> </w:t>
      </w:r>
    </w:p>
    <w:p w:rsidR="00E734CC" w:rsidRPr="00773A13" w:rsidRDefault="00E734CC" w:rsidP="009D6FC4">
      <w:pPr>
        <w:spacing w:after="0" w:line="360" w:lineRule="auto"/>
      </w:pPr>
      <w:r w:rsidRPr="00773A13">
        <w:t xml:space="preserve">Met de invoering van een eenmalige vrijstelling in de overdrachtsbelasting, beoogt het kabinet de woningmarktpositie van </w:t>
      </w:r>
      <w:r w:rsidR="000B2F23">
        <w:t>koop</w:t>
      </w:r>
      <w:r w:rsidRPr="00773A13">
        <w:t>starters op de woningmarkt te verbeteren. Om tot een uitvoerbare regeling te komen</w:t>
      </w:r>
      <w:r w:rsidR="00872ED8" w:rsidRPr="00773A13">
        <w:t>,</w:t>
      </w:r>
      <w:r w:rsidRPr="00773A13">
        <w:t xml:space="preserve"> wordt deze vrijstelling van overdrachtsbelasting afhankelijk van </w:t>
      </w:r>
      <w:r w:rsidR="001079C7">
        <w:t>drie</w:t>
      </w:r>
      <w:r w:rsidR="00794877" w:rsidRPr="00773A13">
        <w:t xml:space="preserve"> </w:t>
      </w:r>
      <w:r w:rsidRPr="00773A13">
        <w:t xml:space="preserve">cumulatieve </w:t>
      </w:r>
      <w:r w:rsidR="00794877" w:rsidRPr="00773A13">
        <w:t>criteria</w:t>
      </w:r>
      <w:r w:rsidRPr="00773A13">
        <w:t>, te weten:</w:t>
      </w:r>
    </w:p>
    <w:p w:rsidR="00E734CC" w:rsidRPr="00773A13" w:rsidRDefault="00E734CC" w:rsidP="009D6FC4">
      <w:pPr>
        <w:spacing w:after="0" w:line="360" w:lineRule="auto"/>
      </w:pPr>
    </w:p>
    <w:p w:rsidR="00E734CC" w:rsidRPr="00773A13" w:rsidRDefault="00532AAF" w:rsidP="009D6FC4">
      <w:pPr>
        <w:pStyle w:val="Lijstalinea"/>
        <w:numPr>
          <w:ilvl w:val="0"/>
          <w:numId w:val="24"/>
        </w:numPr>
        <w:spacing w:after="0" w:line="360" w:lineRule="auto"/>
      </w:pPr>
      <w:r>
        <w:t>D</w:t>
      </w:r>
      <w:r w:rsidR="00E734CC" w:rsidRPr="00773A13">
        <w:t>e leeftijd van de verkrijger;</w:t>
      </w:r>
    </w:p>
    <w:p w:rsidR="000A28F5" w:rsidRPr="00773A13" w:rsidRDefault="00532AAF" w:rsidP="009D6FC4">
      <w:pPr>
        <w:pStyle w:val="Lijstalinea"/>
        <w:numPr>
          <w:ilvl w:val="0"/>
          <w:numId w:val="24"/>
        </w:numPr>
        <w:spacing w:after="0" w:line="360" w:lineRule="auto"/>
      </w:pPr>
      <w:r>
        <w:rPr>
          <w:szCs w:val="18"/>
        </w:rPr>
        <w:t>D</w:t>
      </w:r>
      <w:r w:rsidR="000A28F5" w:rsidRPr="00773A13">
        <w:rPr>
          <w:szCs w:val="18"/>
        </w:rPr>
        <w:t xml:space="preserve">e verkrijger </w:t>
      </w:r>
      <w:r w:rsidR="00F1434A" w:rsidRPr="00773A13">
        <w:rPr>
          <w:szCs w:val="18"/>
        </w:rPr>
        <w:t xml:space="preserve">heeft </w:t>
      </w:r>
      <w:r w:rsidR="000A28F5" w:rsidRPr="00773A13">
        <w:rPr>
          <w:szCs w:val="18"/>
        </w:rPr>
        <w:t>deze vrijstelling niet eerder toegepast</w:t>
      </w:r>
      <w:r w:rsidR="000A28F5" w:rsidRPr="00773A13">
        <w:t>;</w:t>
      </w:r>
      <w:r w:rsidR="00222F08">
        <w:t xml:space="preserve"> </w:t>
      </w:r>
      <w:r w:rsidR="000A28F5" w:rsidRPr="00773A13">
        <w:t>en</w:t>
      </w:r>
      <w:r w:rsidR="000A28F5" w:rsidRPr="00773A13" w:rsidDel="00794877">
        <w:t xml:space="preserve"> </w:t>
      </w:r>
    </w:p>
    <w:p w:rsidR="00794877" w:rsidRPr="00773A13" w:rsidRDefault="00532AAF" w:rsidP="009D6FC4">
      <w:pPr>
        <w:pStyle w:val="Lijstalinea"/>
        <w:numPr>
          <w:ilvl w:val="0"/>
          <w:numId w:val="24"/>
        </w:numPr>
        <w:spacing w:after="0" w:line="360" w:lineRule="auto"/>
      </w:pPr>
      <w:r>
        <w:t>H</w:t>
      </w:r>
      <w:r w:rsidR="00E734CC" w:rsidRPr="00773A13">
        <w:t xml:space="preserve">et gebruik van de woning </w:t>
      </w:r>
      <w:r w:rsidR="00872ED8" w:rsidRPr="00773A13">
        <w:t xml:space="preserve">anders dan tijdelijk </w:t>
      </w:r>
      <w:r w:rsidR="00E734CC" w:rsidRPr="00773A13">
        <w:t>als hoofdverblijf door de verkrijger</w:t>
      </w:r>
      <w:r w:rsidR="000A28F5" w:rsidRPr="00773A13">
        <w:t xml:space="preserve"> (zie paragraaf 2.2).</w:t>
      </w:r>
    </w:p>
    <w:p w:rsidR="00E734CC" w:rsidRPr="00773A13" w:rsidRDefault="00E734CC" w:rsidP="009D6FC4">
      <w:pPr>
        <w:spacing w:after="0" w:line="360" w:lineRule="auto"/>
      </w:pPr>
    </w:p>
    <w:p w:rsidR="00E734CC" w:rsidRPr="00773A13" w:rsidRDefault="00E734CC" w:rsidP="009D6FC4">
      <w:pPr>
        <w:spacing w:after="0" w:line="360" w:lineRule="auto"/>
      </w:pPr>
      <w:r w:rsidRPr="00773A13">
        <w:t xml:space="preserve">De </w:t>
      </w:r>
      <w:r w:rsidR="00794877" w:rsidRPr="00773A13">
        <w:t xml:space="preserve">beoordeling </w:t>
      </w:r>
      <w:r w:rsidRPr="00773A13">
        <w:t>van de</w:t>
      </w:r>
      <w:r w:rsidR="00794877" w:rsidRPr="00773A13">
        <w:t>ze</w:t>
      </w:r>
      <w:r w:rsidRPr="00773A13">
        <w:t xml:space="preserve"> criteria voor de </w:t>
      </w:r>
      <w:r w:rsidR="00794877" w:rsidRPr="00773A13">
        <w:t xml:space="preserve">toepassing van de </w:t>
      </w:r>
      <w:r w:rsidRPr="00773A13">
        <w:t xml:space="preserve">vrijstelling vindt plaats op het moment </w:t>
      </w:r>
      <w:r w:rsidR="00794877" w:rsidRPr="00773A13">
        <w:t xml:space="preserve">dat </w:t>
      </w:r>
      <w:r w:rsidRPr="00773A13">
        <w:t>de woning</w:t>
      </w:r>
      <w:r w:rsidR="00794877" w:rsidRPr="00773A13">
        <w:t xml:space="preserve"> wordt verkregen</w:t>
      </w:r>
      <w:r w:rsidRPr="00773A13">
        <w:t>. Het moment van verkrijging is, in de situatie waarvoor een notariële akte moet worden ingeschreven in het register, het moment waarop de akte wordt opgemaakt bij de notaris.</w:t>
      </w:r>
      <w:r w:rsidRPr="00773A13">
        <w:rPr>
          <w:rFonts w:cs="Arial"/>
          <w:szCs w:val="18"/>
        </w:rPr>
        <w:t xml:space="preserve"> Dat de verkrijger de woning </w:t>
      </w:r>
      <w:r w:rsidR="00794877" w:rsidRPr="00773A13">
        <w:rPr>
          <w:rFonts w:cs="Arial"/>
          <w:szCs w:val="18"/>
        </w:rPr>
        <w:t xml:space="preserve">anders dan tijdelijk </w:t>
      </w:r>
      <w:r w:rsidRPr="00773A13">
        <w:rPr>
          <w:rFonts w:cs="Arial"/>
          <w:szCs w:val="18"/>
        </w:rPr>
        <w:t>als hoofdverblijf wil gaan gebruiken zal op het moment van de verkrijging door de verkrijger</w:t>
      </w:r>
      <w:r w:rsidR="002C2581">
        <w:rPr>
          <w:rFonts w:cs="Arial"/>
          <w:szCs w:val="18"/>
        </w:rPr>
        <w:t xml:space="preserve"> </w:t>
      </w:r>
      <w:r w:rsidR="002C2581" w:rsidRPr="002C2581">
        <w:t>duidelijk, </w:t>
      </w:r>
      <w:r w:rsidR="002C2581" w:rsidRPr="002C2581">
        <w:rPr>
          <w:bCs/>
        </w:rPr>
        <w:t>stellig en zonder voorbehoud</w:t>
      </w:r>
      <w:r w:rsidR="002C2581" w:rsidRPr="002C2581">
        <w:t xml:space="preserve"> </w:t>
      </w:r>
      <w:r w:rsidRPr="00773A13">
        <w:rPr>
          <w:rFonts w:cs="Arial"/>
          <w:szCs w:val="18"/>
        </w:rPr>
        <w:t xml:space="preserve">tot uitdrukking moeten worden gebracht middels een schriftelijke verklaring. Die verklaring zal </w:t>
      </w:r>
      <w:r w:rsidR="00126FD2">
        <w:rPr>
          <w:rFonts w:cs="Arial"/>
          <w:szCs w:val="18"/>
        </w:rPr>
        <w:t xml:space="preserve">onderdeel uitmaken van de aangifte. Bij ministeriële regeling zullen nadere regels worden gesteld over de inhoud en de wijze van aanlevering van de schriftelijke verklaring. </w:t>
      </w:r>
      <w:r w:rsidRPr="00773A13">
        <w:rPr>
          <w:rFonts w:cs="Arial"/>
          <w:szCs w:val="18"/>
        </w:rPr>
        <w:t xml:space="preserve">Ingeval de notaris degene is die de aangifte voor de verkrijger </w:t>
      </w:r>
      <w:r w:rsidR="000B2F23" w:rsidRPr="00773A13">
        <w:rPr>
          <w:rFonts w:cs="Arial"/>
          <w:szCs w:val="18"/>
        </w:rPr>
        <w:t>verzorg</w:t>
      </w:r>
      <w:r w:rsidR="000B2F23">
        <w:rPr>
          <w:rFonts w:cs="Arial"/>
          <w:szCs w:val="18"/>
        </w:rPr>
        <w:t>t</w:t>
      </w:r>
      <w:r w:rsidRPr="00773A13">
        <w:rPr>
          <w:rFonts w:cs="Arial"/>
          <w:szCs w:val="18"/>
        </w:rPr>
        <w:t xml:space="preserve">, zal de verkrijger </w:t>
      </w:r>
      <w:r w:rsidR="001079C7">
        <w:rPr>
          <w:rFonts w:cs="Arial"/>
          <w:szCs w:val="18"/>
        </w:rPr>
        <w:t>de getekende verklaring aan</w:t>
      </w:r>
      <w:r w:rsidRPr="00773A13">
        <w:rPr>
          <w:rFonts w:cs="Arial"/>
          <w:szCs w:val="18"/>
        </w:rPr>
        <w:t xml:space="preserve"> </w:t>
      </w:r>
      <w:r w:rsidR="001079C7">
        <w:rPr>
          <w:rFonts w:cs="Arial"/>
          <w:szCs w:val="18"/>
        </w:rPr>
        <w:t>de notaris overleggen, zodat de notaris deze verklaring mee kan nemen voor de aangifte</w:t>
      </w:r>
      <w:r w:rsidRPr="00773A13">
        <w:t>.</w:t>
      </w:r>
      <w:r w:rsidR="00794877" w:rsidRPr="00773A13">
        <w:t xml:space="preserve"> Ingeval de verkrijger zelf aangifte doet, </w:t>
      </w:r>
      <w:r w:rsidR="00B84F09" w:rsidRPr="00773A13">
        <w:t>dient</w:t>
      </w:r>
      <w:r w:rsidR="00794877" w:rsidRPr="00773A13">
        <w:t xml:space="preserve"> de verkrijger de verklaring zelf op te nemen in de aangifte. </w:t>
      </w:r>
    </w:p>
    <w:p w:rsidR="00E734CC" w:rsidRPr="00773A13" w:rsidRDefault="00E734CC" w:rsidP="009D6FC4">
      <w:pPr>
        <w:spacing w:after="0" w:line="360" w:lineRule="auto"/>
        <w:rPr>
          <w:i/>
        </w:rPr>
      </w:pPr>
    </w:p>
    <w:p w:rsidR="00E734CC" w:rsidRPr="00773A13" w:rsidRDefault="00255864" w:rsidP="009D6FC4">
      <w:pPr>
        <w:spacing w:after="0" w:line="360" w:lineRule="auto"/>
      </w:pPr>
      <w:r>
        <w:t>2.</w:t>
      </w:r>
      <w:r w:rsidR="000A28F5" w:rsidRPr="00773A13">
        <w:t>1.</w:t>
      </w:r>
      <w:r>
        <w:t>1</w:t>
      </w:r>
      <w:r w:rsidR="000A28F5" w:rsidRPr="00773A13">
        <w:t xml:space="preserve"> </w:t>
      </w:r>
      <w:r w:rsidR="00E734CC" w:rsidRPr="00773A13">
        <w:t>Leeftijd van de verkrijger (meerderjarig en jonger dan vijfendertig jaar)</w:t>
      </w:r>
    </w:p>
    <w:p w:rsidR="000B2F23" w:rsidRDefault="00E734CC" w:rsidP="009D6FC4">
      <w:pPr>
        <w:spacing w:after="0" w:line="360" w:lineRule="auto"/>
      </w:pPr>
      <w:r w:rsidRPr="00773A13">
        <w:t>Voorgesteld wordt een leeftijdsgrens te hanteren voor meerderjarigen die jonger zijn dan vijfendertig jaar. In een recent onderzoek van het Kadaster uit mei 2020 worden koopstarters in drie leeftijdscategorieën ingedeeld: jonge koopstarters (jonger dan vijfentwintig jaar), koopstarters (de groep tussen de vijfentwintig en vijfendertig jaar) en overige koopstarters (ouder dan vijfendertig jaar).</w:t>
      </w:r>
      <w:r w:rsidRPr="00773A13">
        <w:rPr>
          <w:rStyle w:val="Voetnootmarkering"/>
        </w:rPr>
        <w:footnoteReference w:id="12"/>
      </w:r>
      <w:r w:rsidRPr="00773A13">
        <w:rPr>
          <w:rStyle w:val="Voetnootmarkering"/>
        </w:rPr>
        <w:t xml:space="preserve"> </w:t>
      </w:r>
      <w:r w:rsidRPr="00773A13">
        <w:t>Uit dit onderzoek blijkt dat het merendeel van de starters behoort tot de categorie tussen de vijfentwintig en vijfendertig jaar. Met de door het kabinet gekozen leeftijdsgren</w:t>
      </w:r>
      <w:r w:rsidR="00D32F81">
        <w:t>zen</w:t>
      </w:r>
      <w:r w:rsidRPr="00773A13">
        <w:t xml:space="preserve"> van</w:t>
      </w:r>
      <w:r w:rsidR="00D32F81">
        <w:t xml:space="preserve"> meerd</w:t>
      </w:r>
      <w:r w:rsidR="00B4749A">
        <w:t>erj</w:t>
      </w:r>
      <w:r w:rsidR="00D32F81">
        <w:t>arig en</w:t>
      </w:r>
      <w:r w:rsidRPr="00773A13">
        <w:t xml:space="preserve"> jonger dan vijfendertig jaar wordt aangesloten bij deze leeftijdsgrens voor de meest actieve </w:t>
      </w:r>
      <w:r w:rsidR="000B2F23">
        <w:t>koop</w:t>
      </w:r>
      <w:r w:rsidRPr="00773A13">
        <w:t xml:space="preserve">starters. </w:t>
      </w:r>
    </w:p>
    <w:p w:rsidR="000B2F23" w:rsidRDefault="000B2F23" w:rsidP="009D6FC4">
      <w:pPr>
        <w:spacing w:after="0" w:line="360" w:lineRule="auto"/>
      </w:pPr>
    </w:p>
    <w:p w:rsidR="00820ECA" w:rsidRDefault="00193080" w:rsidP="009D6FC4">
      <w:pPr>
        <w:spacing w:after="0" w:line="360" w:lineRule="auto"/>
      </w:pPr>
      <w:r w:rsidRPr="00193080">
        <w:t>Met de door het kabinet gekozen leeftijdsgren</w:t>
      </w:r>
      <w:r w:rsidR="00D32F81">
        <w:t>zen</w:t>
      </w:r>
      <w:r w:rsidRPr="00193080">
        <w:t xml:space="preserve"> </w:t>
      </w:r>
      <w:r w:rsidR="005D71F3">
        <w:t>van meerderjarig en jonger dan</w:t>
      </w:r>
      <w:r w:rsidRPr="00193080">
        <w:t xml:space="preserve"> </w:t>
      </w:r>
      <w:r w:rsidR="00D32F81" w:rsidRPr="00773A13">
        <w:t>vijfendertig</w:t>
      </w:r>
      <w:r w:rsidRPr="00193080">
        <w:t xml:space="preserve"> jaar wordt onderscheid gemaakt op grond van leeftijd. Het kabinet meent echter dat hier </w:t>
      </w:r>
      <w:r w:rsidR="00696A09">
        <w:t>een</w:t>
      </w:r>
      <w:r w:rsidRPr="00193080">
        <w:t xml:space="preserve"> objectieve </w:t>
      </w:r>
      <w:r w:rsidR="00696A09">
        <w:t xml:space="preserve">en redelijke </w:t>
      </w:r>
      <w:r w:rsidRPr="00193080">
        <w:t xml:space="preserve">rechtvaardiging voor is. Met de verlaging van de overdrachtsbelasting voor </w:t>
      </w:r>
      <w:r w:rsidR="005D71F3">
        <w:t xml:space="preserve">meerderjarigen die jonger zijn dan </w:t>
      </w:r>
      <w:r w:rsidR="00D32F81" w:rsidRPr="00773A13">
        <w:t>vijfendertig</w:t>
      </w:r>
      <w:r w:rsidRPr="00193080">
        <w:t xml:space="preserve"> jaar streeft het kabinet het doel na om voor deze groep de toegankelijkheid tot de koopmarkt te verbeteren. Door het beperkte aanbod aan koopwoningen en stijgende huizenprijzen is het aandeel koopstarters op de koopwoningmarkt afgenomen. In 2013 was dit nog 50%, terwijl dit aandeel in 2019 was geslonken naar 30%.</w:t>
      </w:r>
      <w:r w:rsidRPr="00193080">
        <w:rPr>
          <w:rStyle w:val="Voetnootmarkering"/>
        </w:rPr>
        <w:footnoteReference w:id="13"/>
      </w:r>
      <w:r w:rsidRPr="00193080">
        <w:t xml:space="preserve"> </w:t>
      </w:r>
      <w:r w:rsidR="00702B16">
        <w:t>U</w:t>
      </w:r>
      <w:r>
        <w:t xml:space="preserve">it onderzoek van </w:t>
      </w:r>
      <w:r w:rsidR="000B2F23">
        <w:t xml:space="preserve">de </w:t>
      </w:r>
      <w:r>
        <w:t xml:space="preserve">AFM blijkt dat de liquide </w:t>
      </w:r>
      <w:r w:rsidR="000B2F23">
        <w:t xml:space="preserve">buffer bij de leeftijdsgroep jonger dan </w:t>
      </w:r>
      <w:r w:rsidR="00D32F81" w:rsidRPr="00773A13">
        <w:t>vijfendertig</w:t>
      </w:r>
      <w:r>
        <w:t xml:space="preserve"> </w:t>
      </w:r>
      <w:r w:rsidR="00D32F81">
        <w:t xml:space="preserve">jaar </w:t>
      </w:r>
      <w:r>
        <w:t>het laagst is van alle leeftijdsgroepen</w:t>
      </w:r>
      <w:r w:rsidR="00702B16" w:rsidRPr="00702B16">
        <w:t xml:space="preserve"> en dat deze over de jaren toeneemt.</w:t>
      </w:r>
      <w:bookmarkStart w:id="27" w:name="_ftnref3"/>
      <w:bookmarkEnd w:id="27"/>
      <w:r w:rsidR="00702B16" w:rsidRPr="00702B16">
        <w:rPr>
          <w:rStyle w:val="Voetnootmarkering"/>
        </w:rPr>
        <w:footnoteReference w:id="14"/>
      </w:r>
      <w:r w:rsidR="00702B16" w:rsidRPr="00702B16">
        <w:t xml:space="preserve"> Bij een lagere leeftijd is het dus gemiddeld genomen moeilijker om de kosten koper op te brengen</w:t>
      </w:r>
      <w:r>
        <w:t>.</w:t>
      </w:r>
      <w:r w:rsidRPr="00193080">
        <w:t xml:space="preserve"> Het kabinet acht </w:t>
      </w:r>
      <w:r w:rsidR="00702B16">
        <w:t xml:space="preserve">een </w:t>
      </w:r>
      <w:r w:rsidRPr="00193080">
        <w:t>leeftijdsgren</w:t>
      </w:r>
      <w:r w:rsidR="00702B16">
        <w:t>s</w:t>
      </w:r>
      <w:r w:rsidRPr="00193080">
        <w:t xml:space="preserve"> daarom geschikt om deze groep op de koopwoningmarkt ten opzichte van </w:t>
      </w:r>
      <w:r w:rsidR="00126FD2">
        <w:t xml:space="preserve">overige </w:t>
      </w:r>
      <w:r w:rsidR="00126FD2">
        <w:lastRenderedPageBreak/>
        <w:t xml:space="preserve">koopstarters, </w:t>
      </w:r>
      <w:r w:rsidRPr="00193080">
        <w:t xml:space="preserve">doorstromers en beleggers een steuntje in de rug te geven door </w:t>
      </w:r>
      <w:r w:rsidR="000B2F23">
        <w:t>hen onder bepaalde voorwaarden vrij te stellen van</w:t>
      </w:r>
      <w:r w:rsidRPr="00193080">
        <w:t xml:space="preserve"> overdrachtsbelasting</w:t>
      </w:r>
      <w:r w:rsidR="00702B16">
        <w:t xml:space="preserve"> </w:t>
      </w:r>
      <w:r w:rsidR="00702B16" w:rsidRPr="00702B16">
        <w:t>en heeft daarbij aangesloten bij de meest gangbare leeftijdscategorie voor koopstarters</w:t>
      </w:r>
      <w:r w:rsidRPr="00193080">
        <w:t>. In het rapport en het addendum van Dialogic is uitgebreid onderzoek gedaan naar de wijze waarop een dergelijke verlaging van de overdrachtsbelasting vormgegeven zou kunnen worden. Dialogic kwam in het onderzoek onder andere tot het oordeel dat een definitie van de starter</w:t>
      </w:r>
      <w:r>
        <w:t>,</w:t>
      </w:r>
      <w:r w:rsidRPr="00193080">
        <w:t xml:space="preserve"> die niet gebaseerd is op leeftijd maar op de eerste verkrijging van de woning</w:t>
      </w:r>
      <w:r w:rsidR="007A0D0D">
        <w:t>,</w:t>
      </w:r>
      <w:r w:rsidRPr="00193080">
        <w:t xml:space="preserve"> niet tot nauwelijks uitvoerbaar is</w:t>
      </w:r>
      <w:r>
        <w:t>,</w:t>
      </w:r>
      <w:r w:rsidRPr="00193080">
        <w:t xml:space="preserve"> omdat zowel het Notariaat als de Belastingdienst </w:t>
      </w:r>
      <w:r w:rsidR="007A0D0D">
        <w:t xml:space="preserve">met gegevens uit het Kadaster </w:t>
      </w:r>
      <w:r w:rsidRPr="00193080">
        <w:t>niet met zekerheid kan vaststellen of een koper een starter is.</w:t>
      </w:r>
      <w:r w:rsidRPr="00193080">
        <w:rPr>
          <w:vertAlign w:val="superscript"/>
        </w:rPr>
        <w:footnoteReference w:id="15"/>
      </w:r>
      <w:r w:rsidRPr="008128D5">
        <w:t xml:space="preserve"> </w:t>
      </w:r>
      <w:r w:rsidR="00FB15EC">
        <w:t xml:space="preserve">Daarbij </w:t>
      </w:r>
      <w:r w:rsidR="00094C94">
        <w:t xml:space="preserve">komt dat </w:t>
      </w:r>
      <w:r w:rsidR="00FB15EC">
        <w:t>dit alternatief</w:t>
      </w:r>
      <w:r w:rsidR="00094C94">
        <w:t xml:space="preserve"> zou</w:t>
      </w:r>
      <w:r w:rsidR="00FB15EC">
        <w:t xml:space="preserve"> leiden tot een veel grotere impact op de administratieve regeldruk van het notariaat, omdat voor iedere woningtransactie een titelonderzoek zou moeten worden gedaan</w:t>
      </w:r>
      <w:r w:rsidR="00EF0227">
        <w:t xml:space="preserve"> naar het huidige en vroegere woningbezit van de koper(s)</w:t>
      </w:r>
      <w:r w:rsidR="00FB15EC">
        <w:t>.</w:t>
      </w:r>
      <w:r w:rsidRPr="00193080">
        <w:rPr>
          <w:vertAlign w:val="superscript"/>
        </w:rPr>
        <w:t xml:space="preserve"> </w:t>
      </w:r>
      <w:r w:rsidRPr="00193080">
        <w:t>In het addendum is daarom de alternatieve definitie gebaseerd op leeftijd onderzocht. Bij het hanteren van de definitie gebaseerd op leeftijd valt 73% van de doelgroep (personen die nooit eerder een woning hebben verkregen) onder de doelgroep.</w:t>
      </w:r>
      <w:r w:rsidR="002C2854" w:rsidRPr="002C2854">
        <w:rPr>
          <w:sz w:val="16"/>
          <w:szCs w:val="16"/>
        </w:rPr>
        <w:t xml:space="preserve"> </w:t>
      </w:r>
      <w:r w:rsidRPr="00193080">
        <w:t xml:space="preserve">Gezien de grote urgentie om de groep </w:t>
      </w:r>
      <w:r w:rsidR="00E734CC" w:rsidRPr="00773A13">
        <w:t>starters</w:t>
      </w:r>
      <w:r w:rsidRPr="00193080">
        <w:t xml:space="preserve"> op de koopwoningmarkt te helpen, maar ook de uitdagingen ten aanzien van de uitvoerbaarheid, acht het kabinet dit percentage voldoende en beoordeelt</w:t>
      </w:r>
      <w:r w:rsidR="00126FD2">
        <w:t xml:space="preserve"> het kabinet</w:t>
      </w:r>
      <w:r w:rsidRPr="00193080">
        <w:t xml:space="preserve"> de gekozen definitie als proportioneel</w:t>
      </w:r>
      <w:r w:rsidR="00E71994">
        <w:t xml:space="preserve"> en subsidiair</w:t>
      </w:r>
      <w:r w:rsidR="00E734CC" w:rsidRPr="00773A13">
        <w:t xml:space="preserve">. </w:t>
      </w:r>
      <w:r w:rsidR="00820ECA" w:rsidRPr="00E71994">
        <w:t xml:space="preserve">Ook meent het kabinet dat op deze wijze het doel het beste kan worden bereikt. </w:t>
      </w:r>
    </w:p>
    <w:p w:rsidR="00820ECA" w:rsidRDefault="00820ECA" w:rsidP="009D6FC4">
      <w:pPr>
        <w:spacing w:after="0" w:line="360" w:lineRule="auto"/>
      </w:pPr>
    </w:p>
    <w:p w:rsidR="00820ECA" w:rsidRDefault="00875087" w:rsidP="009D6FC4">
      <w:pPr>
        <w:spacing w:after="0" w:line="360" w:lineRule="auto"/>
      </w:pPr>
      <w:r>
        <w:t>De leeftijdsgrens wijkt af met de leeftijdsgrens die voor de schenkvrijstelling in de Successiewet 1956 ten behoeve van de eigen woning geldt.</w:t>
      </w:r>
      <w:r>
        <w:rPr>
          <w:rStyle w:val="Voetnootmarkering"/>
        </w:rPr>
        <w:footnoteReference w:id="16"/>
      </w:r>
      <w:r>
        <w:t xml:space="preserve"> Voor deze vrijstelling wordt een leeftijdsgrens van achttien tot veertig jaar aangehouden. </w:t>
      </w:r>
      <w:r w:rsidR="00820ECA">
        <w:t xml:space="preserve">Het verschil in de leeftijdsgrens is te verklaren, doordat </w:t>
      </w:r>
      <w:r>
        <w:t xml:space="preserve">de startersvrijstelling en deze schenkvrijstelling </w:t>
      </w:r>
      <w:r w:rsidRPr="00875087">
        <w:t xml:space="preserve">gedeeltelijk een andere doelgroep </w:t>
      </w:r>
      <w:r>
        <w:t>beogen te</w:t>
      </w:r>
      <w:r w:rsidRPr="00875087">
        <w:t xml:space="preserve"> bereiken. </w:t>
      </w:r>
      <w:r>
        <w:t>De s</w:t>
      </w:r>
      <w:r w:rsidRPr="00875087">
        <w:t xml:space="preserve">chenkvrijstelling is </w:t>
      </w:r>
      <w:r w:rsidR="00820ECA">
        <w:t>niet alleen gericht om personen die willen toetreden tot de woningmarkt een steuntje in de rug te geven, maar ook</w:t>
      </w:r>
      <w:r w:rsidRPr="00875087">
        <w:t xml:space="preserve"> bedoeld voor personen die al een </w:t>
      </w:r>
      <w:r w:rsidR="00820ECA">
        <w:t xml:space="preserve">eigen </w:t>
      </w:r>
      <w:r w:rsidRPr="00875087">
        <w:t xml:space="preserve">woning hebben en de schenking gebruiken voor </w:t>
      </w:r>
      <w:r w:rsidR="00820ECA">
        <w:t xml:space="preserve">de </w:t>
      </w:r>
      <w:r w:rsidRPr="00875087">
        <w:t>aflossing</w:t>
      </w:r>
      <w:r w:rsidR="00820ECA">
        <w:t xml:space="preserve"> van de eigenwoningschuld</w:t>
      </w:r>
      <w:r w:rsidRPr="00875087">
        <w:t xml:space="preserve">. </w:t>
      </w:r>
      <w:r w:rsidR="00820ECA">
        <w:t xml:space="preserve">De startersvrijstelling richt zich alleen op personen die nog geen eigen woning in bezit hebben. </w:t>
      </w:r>
    </w:p>
    <w:p w:rsidR="00875087" w:rsidRDefault="00820ECA" w:rsidP="009D6FC4">
      <w:pPr>
        <w:spacing w:after="0" w:line="360" w:lineRule="auto"/>
      </w:pPr>
      <w:r>
        <w:t xml:space="preserve"> </w:t>
      </w:r>
    </w:p>
    <w:p w:rsidR="00E734CC" w:rsidRPr="00773A13" w:rsidRDefault="00E734CC" w:rsidP="009D6FC4">
      <w:pPr>
        <w:spacing w:after="0" w:line="360" w:lineRule="auto"/>
      </w:pPr>
      <w:r w:rsidRPr="00773A13">
        <w:t xml:space="preserve">Verder geldt voor de toepassing van de vrijstelling het vereiste dat de verkrijger meerderjarig is. Vanaf dat moment is deze persoon wettelijk bevoegd om zelfstandig een woning te verkrijgen. Het gebruik van een minimumleeftijd – naast een maximumleeftijd – heeft ten doel oneigenlijk gebruik van de startersvrijstelling te voorkomen. Hierdoor is het niet mogelijk </w:t>
      </w:r>
      <w:r w:rsidR="00016D8A">
        <w:t>dat</w:t>
      </w:r>
      <w:r w:rsidRPr="00773A13">
        <w:t xml:space="preserve"> wettelijke vertegenwoordigers de vrijstelling gebruiken bij het aanschaffen van een woning op naam van een minderjarig kind. </w:t>
      </w:r>
    </w:p>
    <w:p w:rsidR="00E734CC" w:rsidRPr="00773A13" w:rsidRDefault="00E734CC" w:rsidP="009D6FC4">
      <w:pPr>
        <w:spacing w:after="0" w:line="360" w:lineRule="auto"/>
      </w:pPr>
    </w:p>
    <w:p w:rsidR="000A28F5" w:rsidRPr="00773A13" w:rsidRDefault="00E734CC" w:rsidP="009D6FC4">
      <w:pPr>
        <w:spacing w:after="0" w:line="360" w:lineRule="auto"/>
      </w:pPr>
      <w:r w:rsidRPr="00773A13">
        <w:t>De leeftijdsgren</w:t>
      </w:r>
      <w:r w:rsidR="00D32F81">
        <w:t>zen</w:t>
      </w:r>
      <w:r w:rsidRPr="00773A13">
        <w:t xml:space="preserve"> voor de toepassing van de vrijstelling moet worden beoordeeld per verkrijger. Het komt veelvuldig voor dat één woning wordt verkregen door meerdere verkrijgers gezamenlijk. </w:t>
      </w:r>
      <w:r w:rsidRPr="00773A13">
        <w:lastRenderedPageBreak/>
        <w:t xml:space="preserve">In dat geval wordt de toepasselijkheid van de vrijstelling bepaald voor iedere verkrijger afzonderlijk. </w:t>
      </w:r>
      <w:r w:rsidR="00016D8A">
        <w:t>De regel wordt met onderstaande voorbeeld geïllustreerd.</w:t>
      </w:r>
    </w:p>
    <w:p w:rsidR="000A28F5" w:rsidRPr="00773A13" w:rsidRDefault="000A28F5" w:rsidP="009D6FC4">
      <w:pPr>
        <w:spacing w:after="0" w:line="360" w:lineRule="auto"/>
      </w:pPr>
    </w:p>
    <w:p w:rsidR="000A28F5" w:rsidRPr="00773A13" w:rsidRDefault="000A28F5" w:rsidP="009D6FC4">
      <w:pPr>
        <w:pStyle w:val="Lijstalinea"/>
        <w:pBdr>
          <w:left w:val="single" w:sz="4" w:space="21" w:color="auto"/>
        </w:pBdr>
        <w:spacing w:after="0" w:line="360" w:lineRule="auto"/>
        <w:ind w:left="1068"/>
        <w:rPr>
          <w:sz w:val="16"/>
        </w:rPr>
      </w:pPr>
      <w:r w:rsidRPr="00773A13">
        <w:rPr>
          <w:sz w:val="16"/>
        </w:rPr>
        <w:t>Voorbeeld</w:t>
      </w:r>
    </w:p>
    <w:p w:rsidR="00E734CC" w:rsidRPr="00773A13" w:rsidRDefault="008A4AA3" w:rsidP="009D6FC4">
      <w:pPr>
        <w:pStyle w:val="Lijstalinea"/>
        <w:pBdr>
          <w:left w:val="single" w:sz="4" w:space="21" w:color="auto"/>
        </w:pBdr>
        <w:spacing w:after="0" w:line="360" w:lineRule="auto"/>
        <w:ind w:left="1068"/>
        <w:rPr>
          <w:sz w:val="16"/>
        </w:rPr>
      </w:pPr>
      <w:r w:rsidRPr="00773A13">
        <w:rPr>
          <w:sz w:val="16"/>
        </w:rPr>
        <w:t>Een stel</w:t>
      </w:r>
      <w:r w:rsidR="00E734CC" w:rsidRPr="00773A13">
        <w:rPr>
          <w:sz w:val="16"/>
        </w:rPr>
        <w:t xml:space="preserve"> van 32 jaar </w:t>
      </w:r>
      <w:r w:rsidR="00B44576">
        <w:rPr>
          <w:sz w:val="16"/>
        </w:rPr>
        <w:t>en</w:t>
      </w:r>
      <w:r w:rsidR="00E734CC" w:rsidRPr="00773A13">
        <w:rPr>
          <w:sz w:val="16"/>
        </w:rPr>
        <w:t xml:space="preserve"> 37 jaar </w:t>
      </w:r>
      <w:r w:rsidRPr="00773A13">
        <w:rPr>
          <w:sz w:val="16"/>
        </w:rPr>
        <w:t xml:space="preserve">koopt </w:t>
      </w:r>
      <w:r w:rsidR="00E734CC" w:rsidRPr="00773A13">
        <w:rPr>
          <w:sz w:val="16"/>
        </w:rPr>
        <w:t xml:space="preserve">een woning </w:t>
      </w:r>
      <w:r w:rsidRPr="00773A13">
        <w:rPr>
          <w:sz w:val="16"/>
        </w:rPr>
        <w:t xml:space="preserve">met een waarde </w:t>
      </w:r>
      <w:r w:rsidR="00E734CC" w:rsidRPr="00773A13">
        <w:rPr>
          <w:sz w:val="16"/>
        </w:rPr>
        <w:t xml:space="preserve">van € 300.000, </w:t>
      </w:r>
      <w:r w:rsidRPr="00773A13">
        <w:rPr>
          <w:sz w:val="16"/>
        </w:rPr>
        <w:t xml:space="preserve">waarbij zij </w:t>
      </w:r>
      <w:r w:rsidR="00E734CC" w:rsidRPr="00773A13">
        <w:rPr>
          <w:sz w:val="16"/>
        </w:rPr>
        <w:t xml:space="preserve">ieder </w:t>
      </w:r>
      <w:r w:rsidRPr="00773A13">
        <w:rPr>
          <w:sz w:val="16"/>
        </w:rPr>
        <w:t>een</w:t>
      </w:r>
      <w:r w:rsidR="00E734CC" w:rsidRPr="00773A13">
        <w:rPr>
          <w:sz w:val="16"/>
        </w:rPr>
        <w:t xml:space="preserve"> onverdeelde helft</w:t>
      </w:r>
      <w:r w:rsidRPr="00773A13">
        <w:rPr>
          <w:sz w:val="16"/>
        </w:rPr>
        <w:t xml:space="preserve"> verkrijgen</w:t>
      </w:r>
      <w:r w:rsidR="000B2F23">
        <w:rPr>
          <w:sz w:val="16"/>
        </w:rPr>
        <w:t>. Beiden</w:t>
      </w:r>
      <w:r w:rsidR="00E734CC" w:rsidRPr="00773A13">
        <w:rPr>
          <w:sz w:val="16"/>
        </w:rPr>
        <w:t xml:space="preserve"> verklaren daarbij beiden </w:t>
      </w:r>
      <w:r w:rsidR="002C2581" w:rsidRPr="002C2581">
        <w:rPr>
          <w:sz w:val="16"/>
        </w:rPr>
        <w:t>duidelijk, stellig en zonder voorbehoud</w:t>
      </w:r>
      <w:r w:rsidR="002C2581" w:rsidRPr="00773A13">
        <w:rPr>
          <w:sz w:val="16"/>
        </w:rPr>
        <w:t xml:space="preserve"> </w:t>
      </w:r>
      <w:r w:rsidR="00E734CC" w:rsidRPr="00773A13">
        <w:rPr>
          <w:sz w:val="16"/>
        </w:rPr>
        <w:t xml:space="preserve">schriftelijk dat zij deze woning </w:t>
      </w:r>
      <w:r w:rsidR="005D4EE3">
        <w:rPr>
          <w:sz w:val="16"/>
        </w:rPr>
        <w:t xml:space="preserve">anders dan tijdelijk </w:t>
      </w:r>
      <w:r w:rsidR="00E734CC" w:rsidRPr="00773A13">
        <w:rPr>
          <w:sz w:val="16"/>
        </w:rPr>
        <w:t>als hoofdverblijf gaan gebruiken</w:t>
      </w:r>
      <w:r w:rsidR="00126FD2">
        <w:rPr>
          <w:sz w:val="16"/>
        </w:rPr>
        <w:t>. Aanvullend verklaart de verkrijger van 32 jaar dat hij</w:t>
      </w:r>
      <w:r w:rsidRPr="00773A13">
        <w:rPr>
          <w:sz w:val="16"/>
        </w:rPr>
        <w:t xml:space="preserve"> nooit eerder de vrijstelling </w:t>
      </w:r>
      <w:r w:rsidR="00126FD2">
        <w:rPr>
          <w:sz w:val="16"/>
        </w:rPr>
        <w:t xml:space="preserve">heeft </w:t>
      </w:r>
      <w:r w:rsidRPr="00773A13">
        <w:rPr>
          <w:sz w:val="16"/>
        </w:rPr>
        <w:t xml:space="preserve">toegepast. In deze situatie </w:t>
      </w:r>
      <w:r w:rsidR="00E734CC" w:rsidRPr="00773A13">
        <w:rPr>
          <w:sz w:val="16"/>
        </w:rPr>
        <w:t xml:space="preserve">is de verkrijging </w:t>
      </w:r>
      <w:r w:rsidRPr="00773A13">
        <w:rPr>
          <w:sz w:val="16"/>
        </w:rPr>
        <w:t xml:space="preserve">met een waarde van </w:t>
      </w:r>
      <w:r w:rsidR="00E734CC" w:rsidRPr="00773A13">
        <w:rPr>
          <w:sz w:val="16"/>
        </w:rPr>
        <w:t>€ 150.000 door de persoon met een leeftijd van 32 jaar vrijgesteld van overdrachtsbelasting en betaalt de verkrijger met een leeftijd van 37 jaar 2% over € 150.000 (€ 3.000).</w:t>
      </w:r>
    </w:p>
    <w:p w:rsidR="00E734CC" w:rsidRPr="00773A13" w:rsidRDefault="00E734CC" w:rsidP="009D6FC4">
      <w:pPr>
        <w:spacing w:after="0" w:line="360" w:lineRule="auto"/>
      </w:pPr>
    </w:p>
    <w:p w:rsidR="000A28F5" w:rsidRPr="00773A13" w:rsidRDefault="00315AE1" w:rsidP="009D6FC4">
      <w:pPr>
        <w:spacing w:after="0" w:line="360" w:lineRule="auto"/>
      </w:pPr>
      <w:r w:rsidRPr="00773A13">
        <w:t>2</w:t>
      </w:r>
      <w:r w:rsidR="000A28F5" w:rsidRPr="00773A13">
        <w:t>.</w:t>
      </w:r>
      <w:r w:rsidR="00255864">
        <w:t>1.2</w:t>
      </w:r>
      <w:r w:rsidR="000A28F5" w:rsidRPr="00773A13">
        <w:t xml:space="preserve"> Eenmalige vrijstelling</w:t>
      </w:r>
    </w:p>
    <w:p w:rsidR="000A28F5" w:rsidRPr="00773A13" w:rsidRDefault="000A28F5" w:rsidP="009D6FC4">
      <w:pPr>
        <w:spacing w:after="0" w:line="360" w:lineRule="auto"/>
      </w:pPr>
      <w:r w:rsidRPr="00773A13">
        <w:t xml:space="preserve">Een verkrijger kan eenmaal gebruik maken van de startersvrijstelling. De verkrijger zal bij een beroep op de startersvrijstelling derhalve </w:t>
      </w:r>
      <w:r w:rsidR="002C2581" w:rsidRPr="002C2581">
        <w:t>duidelijk, </w:t>
      </w:r>
      <w:r w:rsidR="002C2581" w:rsidRPr="002C2581">
        <w:rPr>
          <w:bCs/>
        </w:rPr>
        <w:t>stellig en zonder voorbehoud</w:t>
      </w:r>
      <w:r w:rsidR="002C2581" w:rsidRPr="00773A13">
        <w:t xml:space="preserve"> </w:t>
      </w:r>
      <w:r w:rsidRPr="00773A13">
        <w:t xml:space="preserve">schriftelijk moeten verklaren de startersvrijstelling niet eerder te hebben toegepast. De notaris kan in beginsel uitgaan van deze schriftelijke verklaring, tenzij hij wist dat deze verklaring ten onrechte is afgegeven. Dit kan bijvoorbeeld het geval zijn als de notaris ook betrokken is geweest bij de overdracht van een eerdere verkrijging, waarvoor de verkrijger de startersvrijstelling heeft toegepast. Indien achteraf blijkt dat de verkrijger de vrijstelling ondanks de afgegeven verklaring wel eerder heeft toegepast, </w:t>
      </w:r>
      <w:r w:rsidR="000C0BB7">
        <w:t>zal</w:t>
      </w:r>
      <w:r w:rsidRPr="00773A13">
        <w:t xml:space="preserve"> de inspecteur overgaan tot naheffing.</w:t>
      </w:r>
    </w:p>
    <w:p w:rsidR="000A28F5" w:rsidRPr="00773A13" w:rsidRDefault="000A28F5" w:rsidP="009D6FC4">
      <w:pPr>
        <w:spacing w:after="0" w:line="360" w:lineRule="auto"/>
      </w:pPr>
    </w:p>
    <w:p w:rsidR="00C42FA3" w:rsidRDefault="002B6E66" w:rsidP="009D6FC4">
      <w:pPr>
        <w:spacing w:after="0" w:line="360" w:lineRule="auto"/>
      </w:pPr>
      <w:r>
        <w:t xml:space="preserve">Op korte termijn zullen ook verkrijgers die aan alle voorwaarden voldoen, maar al wel voor 1 januari 2021 eerder een woning hebben gekocht (jonge doorstromers), de vrijstelling kunnen toepassen voor de aankoop van een volgende woning. Echter, omdat de aanvullende voorwaarde is opgenomen dat de vrijstelling maar eenmalig kan worden toegepast, zal dit effect iedere jaar afnemen en na 2039 </w:t>
      </w:r>
      <w:r w:rsidR="007A0D0D">
        <w:t xml:space="preserve">is het </w:t>
      </w:r>
      <w:r>
        <w:t>geheel verdwenen</w:t>
      </w:r>
      <w:r w:rsidR="00126FD2">
        <w:t>, mits de vrijstelling ook na 31 december 2025 wordt gecontinueerd</w:t>
      </w:r>
      <w:r>
        <w:t xml:space="preserve">. Op dat moment hebben alle verkrijgers die meerderjarig waren in 2020 en daarmee wettelijk bevoegd waren om een woning te bezitten de leeftijd van </w:t>
      </w:r>
      <w:r w:rsidR="00D32F81">
        <w:t>vijfendertig</w:t>
      </w:r>
      <w:r>
        <w:t xml:space="preserve"> jaar bereikt. De vrijstelling zal dan alleen nog gebruikt worden door verkrijgers die voor de eerste keer een woning verkrijgen.</w:t>
      </w:r>
    </w:p>
    <w:p w:rsidR="00082866" w:rsidRPr="00773A13" w:rsidRDefault="00D565C2" w:rsidP="009D6FC4">
      <w:pPr>
        <w:pStyle w:val="Kop1"/>
        <w:ind w:firstLine="0"/>
        <w:rPr>
          <w:rFonts w:ascii="Verdana" w:hAnsi="Verdana"/>
          <w:b w:val="0"/>
          <w:i/>
          <w:color w:val="auto"/>
          <w:sz w:val="18"/>
        </w:rPr>
      </w:pPr>
      <w:bookmarkStart w:id="28" w:name="_Toc46407550"/>
      <w:bookmarkStart w:id="29" w:name="_Toc49418731"/>
      <w:bookmarkStart w:id="30" w:name="_Toc50568492"/>
      <w:r w:rsidRPr="00773A13">
        <w:rPr>
          <w:rFonts w:ascii="Verdana" w:hAnsi="Verdana"/>
          <w:b w:val="0"/>
          <w:i/>
          <w:color w:val="auto"/>
          <w:sz w:val="18"/>
        </w:rPr>
        <w:t xml:space="preserve">2.2 </w:t>
      </w:r>
      <w:r w:rsidR="00CF4A1F" w:rsidRPr="00773A13">
        <w:rPr>
          <w:rFonts w:ascii="Verdana" w:hAnsi="Verdana"/>
          <w:b w:val="0"/>
          <w:i/>
          <w:color w:val="auto"/>
          <w:sz w:val="18"/>
        </w:rPr>
        <w:tab/>
      </w:r>
      <w:r w:rsidR="00082866" w:rsidRPr="00773A13">
        <w:rPr>
          <w:rFonts w:ascii="Verdana" w:hAnsi="Verdana"/>
          <w:b w:val="0"/>
          <w:i/>
          <w:color w:val="auto"/>
          <w:sz w:val="18"/>
        </w:rPr>
        <w:t xml:space="preserve">Hoofdverblijfcriterium </w:t>
      </w:r>
      <w:r w:rsidR="00D32B8C" w:rsidRPr="00773A13">
        <w:rPr>
          <w:rFonts w:ascii="Verdana" w:hAnsi="Verdana"/>
          <w:b w:val="0"/>
          <w:i/>
          <w:color w:val="auto"/>
          <w:sz w:val="18"/>
        </w:rPr>
        <w:t>voor verlaagde tarief en startersvrijstelling</w:t>
      </w:r>
      <w:bookmarkEnd w:id="28"/>
      <w:bookmarkEnd w:id="29"/>
      <w:bookmarkEnd w:id="30"/>
    </w:p>
    <w:p w:rsidR="00E734CC" w:rsidRPr="00773A13" w:rsidRDefault="00E734CC" w:rsidP="009D6FC4">
      <w:pPr>
        <w:spacing w:line="360" w:lineRule="auto"/>
      </w:pPr>
      <w:r w:rsidRPr="00773A13">
        <w:t xml:space="preserve">Om de positie van </w:t>
      </w:r>
      <w:r w:rsidR="00B9130B" w:rsidRPr="00773A13">
        <w:t xml:space="preserve">starters </w:t>
      </w:r>
      <w:r w:rsidRPr="00773A13">
        <w:t xml:space="preserve">en doorstromers </w:t>
      </w:r>
      <w:r w:rsidR="00B9130B" w:rsidRPr="00773A13">
        <w:t xml:space="preserve">op de koopwoningmarkt </w:t>
      </w:r>
      <w:r w:rsidRPr="00773A13">
        <w:t>te bevorderen</w:t>
      </w:r>
      <w:r w:rsidR="00B9130B" w:rsidRPr="00773A13">
        <w:t>,</w:t>
      </w:r>
      <w:r w:rsidRPr="00773A13">
        <w:t xml:space="preserve"> wordt niet alleen voorgesteld om een eenmalige vrijstelling in te voeren voor verkrijgingen van woningen door verkrijgers van een bepaalde </w:t>
      </w:r>
      <w:r w:rsidRPr="00A705A0">
        <w:t xml:space="preserve">leeftijd (meerderjarig en jonger dan vijfendertig jaar). </w:t>
      </w:r>
      <w:r w:rsidR="00222F08" w:rsidRPr="00A705A0">
        <w:t>Aanvullend wordt d</w:t>
      </w:r>
      <w:r w:rsidRPr="00A705A0">
        <w:t xml:space="preserve">e </w:t>
      </w:r>
      <w:r w:rsidR="009C27CF" w:rsidRPr="00A705A0">
        <w:t xml:space="preserve">reikwijdte </w:t>
      </w:r>
      <w:r w:rsidRPr="00A705A0">
        <w:t xml:space="preserve">van de startersvrijstelling en het verlaagde tarief van 2% voor woningen beperkt tot verkrijgingen door natuurlijke personen die deze woningen anders dan tijdelijk als hoofdverblijf gaan gebruiken. </w:t>
      </w:r>
      <w:r w:rsidR="009C27CF" w:rsidRPr="00A705A0">
        <w:t xml:space="preserve">Daarmee is de toepassing van beide faciliteiten toegesneden op verkrijgers die de woning ook daadwerkelijk gaan bewonen. Een koppeling van een fiscale faciliteit aan het gebruik van een woning anders dan tijdelijk als hoofdverblijf is niet nieuw. Ook de </w:t>
      </w:r>
      <w:r w:rsidR="00747B4C" w:rsidRPr="00A705A0">
        <w:t>hypotheekrenteaftrek eigen woning in de inkomstenbelasting</w:t>
      </w:r>
      <w:r w:rsidR="009C27CF" w:rsidRPr="00A705A0">
        <w:t xml:space="preserve"> is afhankelijk van die voorwaarde.</w:t>
      </w:r>
      <w:r w:rsidR="00352E0B" w:rsidRPr="00A705A0">
        <w:t xml:space="preserve"> </w:t>
      </w:r>
      <w:r w:rsidRPr="00A705A0">
        <w:t xml:space="preserve">Deze voorwaarde heeft tot gevolg dat </w:t>
      </w:r>
      <w:r w:rsidR="00352E0B" w:rsidRPr="00A705A0">
        <w:t>een natuurlijk perso</w:t>
      </w:r>
      <w:r w:rsidR="00747B4C" w:rsidRPr="00A705A0">
        <w:t>o</w:t>
      </w:r>
      <w:r w:rsidR="00352E0B" w:rsidRPr="00A705A0">
        <w:t>n, die de woning niet</w:t>
      </w:r>
      <w:r w:rsidR="006936F0">
        <w:t xml:space="preserve"> of </w:t>
      </w:r>
      <w:r w:rsidR="006936F0">
        <w:lastRenderedPageBreak/>
        <w:t xml:space="preserve">slechts tijdelijk </w:t>
      </w:r>
      <w:r w:rsidR="00352E0B" w:rsidRPr="00A705A0">
        <w:t xml:space="preserve">als hoofdverblijf gaat gebruiken, wordt belast tegen het </w:t>
      </w:r>
      <w:r w:rsidRPr="00A705A0">
        <w:t xml:space="preserve">algemene tarief van </w:t>
      </w:r>
      <w:r w:rsidR="00180B86" w:rsidRPr="00A705A0">
        <w:t>8%</w:t>
      </w:r>
      <w:r w:rsidRPr="00A705A0">
        <w:t xml:space="preserve"> (vanaf 1 januari 2021). </w:t>
      </w:r>
      <w:r w:rsidR="00352E0B" w:rsidRPr="00A705A0">
        <w:t xml:space="preserve">Niet-natuurlijke personen, zoals rechtspersonen, </w:t>
      </w:r>
      <w:r w:rsidRPr="00A705A0">
        <w:t>die een woning verkrijgen</w:t>
      </w:r>
      <w:r w:rsidR="00352E0B" w:rsidRPr="00A705A0">
        <w:t>,</w:t>
      </w:r>
      <w:r w:rsidRPr="00A705A0">
        <w:t xml:space="preserve"> zijn over die verkrijging </w:t>
      </w:r>
      <w:r w:rsidR="007A0D0D" w:rsidRPr="00A705A0">
        <w:t xml:space="preserve">voortaan </w:t>
      </w:r>
      <w:r w:rsidRPr="00A705A0">
        <w:t>ook het algemene tarief verschuldigd.</w:t>
      </w:r>
      <w:r w:rsidR="009B3594" w:rsidRPr="00A705A0">
        <w:t xml:space="preserve"> Het kabinet</w:t>
      </w:r>
      <w:r w:rsidR="009B3594">
        <w:t xml:space="preserve"> acht deze </w:t>
      </w:r>
      <w:r w:rsidR="007A0D0D">
        <w:t>aanpassing</w:t>
      </w:r>
      <w:r w:rsidR="009B3594">
        <w:t xml:space="preserve"> noodzakelijk en proportioneel om voor koopstarters de toegankelijkheid </w:t>
      </w:r>
      <w:r w:rsidR="007A0D0D">
        <w:t>tot</w:t>
      </w:r>
      <w:r w:rsidR="009B3594">
        <w:t xml:space="preserve"> de koopwoningmarkt</w:t>
      </w:r>
      <w:r w:rsidR="007A0D0D">
        <w:t xml:space="preserve"> in het algemeen en ten opzichte van beleggers te</w:t>
      </w:r>
      <w:r w:rsidR="009B3594">
        <w:t xml:space="preserve"> verbeteren. </w:t>
      </w:r>
    </w:p>
    <w:p w:rsidR="00E734CC" w:rsidRPr="00773A13" w:rsidRDefault="00C75860" w:rsidP="009D6FC4">
      <w:pPr>
        <w:spacing w:line="360" w:lineRule="auto"/>
        <w:rPr>
          <w:i/>
        </w:rPr>
      </w:pPr>
      <w:r>
        <w:t xml:space="preserve">2.2.1 </w:t>
      </w:r>
      <w:r w:rsidR="00352E0B" w:rsidRPr="00773A13">
        <w:t>Schriftelijke v</w:t>
      </w:r>
      <w:r w:rsidR="00E734CC" w:rsidRPr="00773A13">
        <w:t>erklaring</w:t>
      </w:r>
      <w:r w:rsidR="00E734CC" w:rsidRPr="00773A13">
        <w:rPr>
          <w:i/>
        </w:rPr>
        <w:br/>
      </w:r>
      <w:r w:rsidR="00E734CC" w:rsidRPr="00773A13">
        <w:t xml:space="preserve">Voor de toepassing van het 2%-tarief of de startersvrijstelling wordt </w:t>
      </w:r>
      <w:r w:rsidR="00EF683F" w:rsidRPr="00773A13">
        <w:t xml:space="preserve">een vereiste </w:t>
      </w:r>
      <w:r w:rsidR="00E734CC" w:rsidRPr="00773A13">
        <w:t xml:space="preserve">dat de verkrijger </w:t>
      </w:r>
      <w:r w:rsidR="00B43D4E">
        <w:t xml:space="preserve">onmiddellijk </w:t>
      </w:r>
      <w:r w:rsidR="00E734CC" w:rsidRPr="00773A13">
        <w:t xml:space="preserve">voorafgaand aan de verkrijging </w:t>
      </w:r>
      <w:r w:rsidR="002C2581" w:rsidRPr="002C2581">
        <w:t>duidelijk, </w:t>
      </w:r>
      <w:r w:rsidR="002C2581" w:rsidRPr="002C2581">
        <w:rPr>
          <w:bCs/>
        </w:rPr>
        <w:t>stellig en zonder voorbehoud</w:t>
      </w:r>
      <w:r w:rsidR="002C2581">
        <w:t xml:space="preserve"> </w:t>
      </w:r>
      <w:r w:rsidR="0033789E">
        <w:t xml:space="preserve">schriftelijk </w:t>
      </w:r>
      <w:r w:rsidR="00E734CC" w:rsidRPr="00773A13">
        <w:t>verklaart de woning</w:t>
      </w:r>
      <w:r w:rsidR="00747B4C" w:rsidRPr="00773A13">
        <w:t xml:space="preserve"> anders dan tijdelijk</w:t>
      </w:r>
      <w:r w:rsidR="00E734CC" w:rsidRPr="00773A13">
        <w:t xml:space="preserve"> als hoofdverblijf te gaan gebruiken. In de meeste situaties verloopt een verkrijging via de notaris. </w:t>
      </w:r>
      <w:r w:rsidR="00D32F81">
        <w:t xml:space="preserve">Bij de startersvrijstelling gebeurt dat </w:t>
      </w:r>
      <w:r w:rsidR="001079C7">
        <w:t xml:space="preserve">in beginsel </w:t>
      </w:r>
      <w:r w:rsidR="00D32F81">
        <w:t>altijd, aangezien deze</w:t>
      </w:r>
      <w:r w:rsidR="001079C7">
        <w:t xml:space="preserve"> – behalve ingeval van verkrijging van lidmaatschapsrechten –</w:t>
      </w:r>
      <w:r w:rsidR="00D32F81">
        <w:t xml:space="preserve"> alleen kan worden toegepast als</w:t>
      </w:r>
      <w:r w:rsidR="001079C7">
        <w:t xml:space="preserve"> de</w:t>
      </w:r>
      <w:r w:rsidR="00D32F81">
        <w:t xml:space="preserve"> juridische eigendom wordt verkregen, wat alleen mogelijk is via </w:t>
      </w:r>
      <w:r w:rsidR="000A7EDF" w:rsidRPr="00773A13">
        <w:t xml:space="preserve">het passeren van de notariële </w:t>
      </w:r>
      <w:r w:rsidR="000A7EDF">
        <w:t xml:space="preserve">akte bij de </w:t>
      </w:r>
      <w:r w:rsidR="00D32F81">
        <w:t>notaris.</w:t>
      </w:r>
      <w:r w:rsidR="00D32F81" w:rsidRPr="00773A13">
        <w:t xml:space="preserve"> </w:t>
      </w:r>
      <w:r w:rsidR="00E734CC" w:rsidRPr="00773A13">
        <w:t xml:space="preserve">Het toetsingsmoment ligt dan op </w:t>
      </w:r>
      <w:r w:rsidR="00643850">
        <w:t>het moment waarop de woning wordt verkregen</w:t>
      </w:r>
      <w:r w:rsidR="000A7EDF">
        <w:t xml:space="preserve"> en </w:t>
      </w:r>
      <w:r w:rsidR="00D0603A">
        <w:t xml:space="preserve">de verklaring </w:t>
      </w:r>
      <w:r w:rsidR="000A7EDF">
        <w:t xml:space="preserve">zal direct voorafgaand aan het passeren van de notariële akte moeten worden afgegeven. Het moment waarop de koopovereenkomst wordt getekend is voor de afgifte van de schriftelijke verklaring niet relevant. Hiervoor wordt aangesloten bij </w:t>
      </w:r>
      <w:r w:rsidR="00E734CC" w:rsidRPr="00773A13">
        <w:t>het moment direct voorafgaande aan.</w:t>
      </w:r>
      <w:r w:rsidR="00EF683F" w:rsidRPr="00773A13">
        <w:t xml:space="preserve"> In de overige gevallen zal de verkrijger</w:t>
      </w:r>
      <w:r w:rsidR="002C2581">
        <w:t>,</w:t>
      </w:r>
      <w:r w:rsidR="00EF683F" w:rsidRPr="00773A13">
        <w:t xml:space="preserve"> bij het zelf doen van de aangifte</w:t>
      </w:r>
      <w:r w:rsidR="002C2581">
        <w:t>,</w:t>
      </w:r>
      <w:r w:rsidR="00EF683F" w:rsidRPr="00773A13">
        <w:t xml:space="preserve"> </w:t>
      </w:r>
      <w:r w:rsidR="002C2581" w:rsidRPr="002C2581">
        <w:t>duidelijk, </w:t>
      </w:r>
      <w:r w:rsidR="002C2581" w:rsidRPr="002C2581">
        <w:rPr>
          <w:bCs/>
        </w:rPr>
        <w:t>stellig en zonder voorbehoud</w:t>
      </w:r>
      <w:r w:rsidR="002C2581" w:rsidRPr="00773A13">
        <w:t xml:space="preserve"> </w:t>
      </w:r>
      <w:r w:rsidR="00EF683F" w:rsidRPr="00773A13">
        <w:t>een schriftelijke verklaring</w:t>
      </w:r>
      <w:r w:rsidR="002C2581">
        <w:t xml:space="preserve"> moeten</w:t>
      </w:r>
      <w:r w:rsidR="00EF683F" w:rsidRPr="00773A13">
        <w:t xml:space="preserve"> </w:t>
      </w:r>
      <w:r w:rsidR="00B54FB6" w:rsidRPr="00773A13">
        <w:t xml:space="preserve">indienen </w:t>
      </w:r>
      <w:r w:rsidR="00EF683F" w:rsidRPr="00773A13">
        <w:t>die getekend</w:t>
      </w:r>
      <w:r w:rsidR="00B54FB6" w:rsidRPr="00773A13">
        <w:t xml:space="preserve"> is</w:t>
      </w:r>
      <w:r w:rsidR="00EF683F" w:rsidRPr="00773A13">
        <w:t xml:space="preserve"> op de datum van de </w:t>
      </w:r>
      <w:r w:rsidR="00F9180D">
        <w:t>verkrijging</w:t>
      </w:r>
      <w:r w:rsidR="00EF683F" w:rsidRPr="00773A13">
        <w:t xml:space="preserve">. </w:t>
      </w:r>
    </w:p>
    <w:p w:rsidR="00E734CC" w:rsidRPr="00773A13" w:rsidRDefault="00F9180D" w:rsidP="009D6FC4">
      <w:pPr>
        <w:spacing w:line="360" w:lineRule="auto"/>
      </w:pPr>
      <w:r>
        <w:t>D</w:t>
      </w:r>
      <w:r w:rsidR="00E734CC" w:rsidRPr="00773A13">
        <w:t xml:space="preserve">e </w:t>
      </w:r>
      <w:r w:rsidR="007F63A8" w:rsidRPr="00773A13">
        <w:t xml:space="preserve">inspecteur </w:t>
      </w:r>
      <w:r>
        <w:t xml:space="preserve">beoordeelt </w:t>
      </w:r>
      <w:r w:rsidR="00E734CC" w:rsidRPr="00773A13">
        <w:t>achte</w:t>
      </w:r>
      <w:r w:rsidR="000A7EDF">
        <w:t>raf, maar binnen de gebruikelijke naheffingstermijnen, o</w:t>
      </w:r>
      <w:r w:rsidR="00E734CC" w:rsidRPr="00773A13">
        <w:t xml:space="preserve">f de verkrijger de woning daadwerkelijk anders dan tijdelijk als hoofdverblijf is gaan gebruiken. </w:t>
      </w:r>
      <w:r w:rsidR="00643850">
        <w:t>Op basis van gegevens van het Kadaster woont 96% van de woningkopers die voornemens is de woning als hoofdverblijf te gaan gebruiken na twaalf maanden in de woning.</w:t>
      </w:r>
      <w:r w:rsidR="00643850">
        <w:rPr>
          <w:rStyle w:val="Voetnootmarkering"/>
        </w:rPr>
        <w:footnoteReference w:id="17"/>
      </w:r>
      <w:r w:rsidR="00643850">
        <w:t xml:space="preserve"> </w:t>
      </w:r>
      <w:r w:rsidR="000A7EDF">
        <w:t xml:space="preserve">Na deze twaalf maanden kan de inspecteur in de meeste gevallen een goede beoordeling maken of aan de voorwaarden voor toepassing van het verlaagde tarief of de startersvrijstelling wordt voldaan. </w:t>
      </w:r>
      <w:r w:rsidR="00643850">
        <w:t>De beoordeling</w:t>
      </w:r>
      <w:r w:rsidR="00E734CC" w:rsidRPr="00773A13">
        <w:t xml:space="preserve"> zal plaatsvinden door een onderzoek naar de feiten e</w:t>
      </w:r>
      <w:r w:rsidR="009E2360" w:rsidRPr="00773A13">
        <w:t>n omstandigheden.</w:t>
      </w:r>
      <w:r w:rsidR="00E734CC" w:rsidRPr="00773A13">
        <w:t xml:space="preserve"> Hiervoor zijn verschillende objectieve gegevens </w:t>
      </w:r>
      <w:r>
        <w:t xml:space="preserve">als eerste aanknopingspunt </w:t>
      </w:r>
      <w:r w:rsidR="00E734CC" w:rsidRPr="00773A13">
        <w:t>beschikbaar. Voorbeelden daarvan zijn de inschrijving door de verkrijger op het adres van de aangekochte woning in de Basisregistratie Personen (hierna: BRP), het aanmerken van de aangekochte woning als eigen woning in de zin van de eigenwoningrege</w:t>
      </w:r>
      <w:r w:rsidR="009E2360" w:rsidRPr="00773A13">
        <w:t xml:space="preserve">ling in de </w:t>
      </w:r>
      <w:r w:rsidR="00643850">
        <w:t xml:space="preserve">aangifte </w:t>
      </w:r>
      <w:r w:rsidR="009E2360" w:rsidRPr="00773A13">
        <w:t>inkomstenbelasting,</w:t>
      </w:r>
      <w:r w:rsidR="00E734CC" w:rsidRPr="00773A13">
        <w:t xml:space="preserve"> het woningbezit van de verkrijger in het Kadaster </w:t>
      </w:r>
      <w:r w:rsidR="00E40851">
        <w:t>en</w:t>
      </w:r>
      <w:r w:rsidR="00E734CC" w:rsidRPr="00773A13">
        <w:t xml:space="preserve"> de voorwaarden waaronder de verkrijger een geldlening is aangegaan bij een bank. </w:t>
      </w:r>
      <w:r w:rsidR="00FA0DB1">
        <w:t xml:space="preserve">Ook zal het afgeven van meerdere schriftelijke verklaringen bij verkrijgingen door dezelfde natuurlijke persoon binnen een relatief korte tijd, bijvoorbeeld enkele maanden, aanleiding kunnen zijn voor de inspecteur om nader onderzoek te doen. </w:t>
      </w:r>
      <w:r w:rsidR="00E734CC" w:rsidRPr="00773A13">
        <w:t xml:space="preserve">Bij natuurlijke personen die na de overdracht de woning minimaal een half jaar </w:t>
      </w:r>
      <w:r w:rsidR="00F33113" w:rsidRPr="00773A13">
        <w:t xml:space="preserve">daadwerkelijk </w:t>
      </w:r>
      <w:r w:rsidR="00E734CC" w:rsidRPr="00773A13">
        <w:t>als hoofdverblijf</w:t>
      </w:r>
      <w:r w:rsidR="00F33113" w:rsidRPr="00773A13">
        <w:t xml:space="preserve"> hebben gebruikt</w:t>
      </w:r>
      <w:r w:rsidR="00E734CC" w:rsidRPr="00773A13">
        <w:t xml:space="preserve">, zal het verlaagde tarief of de startersvrijstelling </w:t>
      </w:r>
      <w:r w:rsidR="00E40851">
        <w:t>in beginsel</w:t>
      </w:r>
      <w:r w:rsidR="00E734CC" w:rsidRPr="00773A13">
        <w:t xml:space="preserve"> van toepassing zijn. </w:t>
      </w:r>
      <w:r>
        <w:t>Dit neemt niet weg dat in bepaalde evidente misbruiksituaties de inspecteur de mogelijkheid moet hebben om na te heffen.</w:t>
      </w:r>
    </w:p>
    <w:p w:rsidR="00E734CC" w:rsidRPr="00773A13" w:rsidRDefault="00E734CC" w:rsidP="009D6FC4">
      <w:pPr>
        <w:spacing w:line="360" w:lineRule="auto"/>
      </w:pPr>
      <w:r w:rsidRPr="00773A13">
        <w:lastRenderedPageBreak/>
        <w:t xml:space="preserve">Als uit </w:t>
      </w:r>
      <w:r w:rsidR="00F33113" w:rsidRPr="00773A13">
        <w:t xml:space="preserve">de objectieve </w:t>
      </w:r>
      <w:r w:rsidRPr="00773A13">
        <w:t>gegevens niet blijkt dat de verkrijger de woning daadwerkelijk</w:t>
      </w:r>
      <w:r w:rsidR="00A53D06" w:rsidRPr="00773A13">
        <w:t xml:space="preserve"> anders dan tijdelijk</w:t>
      </w:r>
      <w:r w:rsidRPr="00773A13">
        <w:t xml:space="preserve"> als hoofdverblijf </w:t>
      </w:r>
      <w:r w:rsidR="00F33113" w:rsidRPr="00773A13">
        <w:t>is gaan gebruiken</w:t>
      </w:r>
      <w:r w:rsidRPr="00773A13">
        <w:t>, geeft de inspecteur de verkrijger de gelegenheid aannemelijk te maken dat de woning toch is gekocht om</w:t>
      </w:r>
      <w:r w:rsidR="00A53D06" w:rsidRPr="00773A13">
        <w:t xml:space="preserve"> anders dan tijdelijk</w:t>
      </w:r>
      <w:r w:rsidRPr="00773A13">
        <w:t xml:space="preserve"> te gaa</w:t>
      </w:r>
      <w:r w:rsidR="009E2360" w:rsidRPr="00773A13">
        <w:t xml:space="preserve">n gebruiken als hoofdverblijf. </w:t>
      </w:r>
      <w:r w:rsidRPr="00773A13">
        <w:t>Met onvoorziene omstandigheden na de overdracht van d</w:t>
      </w:r>
      <w:r w:rsidR="009E2360" w:rsidRPr="00773A13">
        <w:t>e woning zal door de inspecteur</w:t>
      </w:r>
      <w:r w:rsidRPr="00773A13">
        <w:t xml:space="preserve"> rekening worden gehouden. Dit betekent dat onvoorziene gebeurtenissen na de verkrijging, zoals het duurzaam verloren gaan van de woning, het overlijden van een verkrijger, ech</w:t>
      </w:r>
      <w:r w:rsidR="009E2360" w:rsidRPr="00773A13">
        <w:t>tscheiding van de verkrijgers</w:t>
      </w:r>
      <w:r w:rsidRPr="00773A13">
        <w:t>, het aanvaarden van of het verlies van een baan of emigratie, omstandigheden zijn die</w:t>
      </w:r>
      <w:r w:rsidR="005709C5" w:rsidRPr="00773A13">
        <w:t xml:space="preserve"> redelijkerwijs</w:t>
      </w:r>
      <w:r w:rsidRPr="00773A13">
        <w:t xml:space="preserve"> kunnen rechtvaardigen dat de verkrijger ondanks de afgelegde verklaring uiteindelijk toch niet in de woning is gaan wonen. </w:t>
      </w:r>
      <w:r w:rsidR="00F33113" w:rsidRPr="00773A13">
        <w:t xml:space="preserve">Ingeval onvoorziene gebeurtenissen </w:t>
      </w:r>
      <w:r w:rsidR="006A605B" w:rsidRPr="00773A13">
        <w:t xml:space="preserve">redelijkerwijs ertoe </w:t>
      </w:r>
      <w:r w:rsidR="00B84F09" w:rsidRPr="00773A13">
        <w:t>leid</w:t>
      </w:r>
      <w:r w:rsidR="00D0603A">
        <w:t>d</w:t>
      </w:r>
      <w:r w:rsidR="00B84F09" w:rsidRPr="00773A13">
        <w:t>en</w:t>
      </w:r>
      <w:r w:rsidR="006A605B" w:rsidRPr="00773A13">
        <w:t xml:space="preserve"> dat een verkrijger niet de woning</w:t>
      </w:r>
      <w:r w:rsidR="00A53D06" w:rsidRPr="00773A13">
        <w:t xml:space="preserve"> anders dan tijdelijk</w:t>
      </w:r>
      <w:r w:rsidR="006A605B" w:rsidRPr="00773A13">
        <w:t xml:space="preserve"> als hoofdverblijf </w:t>
      </w:r>
      <w:r w:rsidR="00E40851">
        <w:t>kon</w:t>
      </w:r>
      <w:r w:rsidR="006A605B" w:rsidRPr="00773A13">
        <w:t xml:space="preserve"> gaan gebruiken</w:t>
      </w:r>
      <w:r w:rsidR="00F33113" w:rsidRPr="00773A13">
        <w:t>, wordt de startersvrijstelling en het verlaagde tarief niet teruggenomen.</w:t>
      </w:r>
    </w:p>
    <w:p w:rsidR="003E1E46" w:rsidRPr="00773A13" w:rsidRDefault="003E1E46" w:rsidP="009D6FC4">
      <w:pPr>
        <w:pStyle w:val="Lijstalinea"/>
        <w:pBdr>
          <w:left w:val="single" w:sz="4" w:space="21" w:color="auto"/>
        </w:pBdr>
        <w:spacing w:after="0" w:line="360" w:lineRule="auto"/>
        <w:ind w:left="1068"/>
        <w:rPr>
          <w:sz w:val="16"/>
        </w:rPr>
      </w:pPr>
      <w:r w:rsidRPr="00773A13">
        <w:rPr>
          <w:sz w:val="16"/>
        </w:rPr>
        <w:t>Voorbeeld</w:t>
      </w:r>
    </w:p>
    <w:p w:rsidR="003E1E46" w:rsidRPr="00773A13" w:rsidRDefault="003E1E46" w:rsidP="009D6FC4">
      <w:pPr>
        <w:pStyle w:val="Lijstalinea"/>
        <w:pBdr>
          <w:left w:val="single" w:sz="4" w:space="21" w:color="auto"/>
        </w:pBdr>
        <w:spacing w:after="0" w:line="360" w:lineRule="auto"/>
        <w:ind w:left="1068"/>
        <w:rPr>
          <w:i/>
        </w:rPr>
      </w:pPr>
      <w:r w:rsidRPr="00773A13">
        <w:rPr>
          <w:sz w:val="16"/>
        </w:rPr>
        <w:t>Y (30 jaar) koopt samen met Z (34 jaar) een woning voor een bedrag € 250.000. Beide</w:t>
      </w:r>
      <w:r w:rsidR="00F9180D">
        <w:rPr>
          <w:sz w:val="16"/>
        </w:rPr>
        <w:t>n</w:t>
      </w:r>
      <w:r w:rsidRPr="00773A13">
        <w:rPr>
          <w:sz w:val="16"/>
        </w:rPr>
        <w:t xml:space="preserve"> verkrijgen </w:t>
      </w:r>
      <w:r w:rsidR="00F9180D" w:rsidRPr="00773A13">
        <w:rPr>
          <w:sz w:val="16"/>
        </w:rPr>
        <w:t>op 1 oktober 2021</w:t>
      </w:r>
      <w:r w:rsidR="00F9180D">
        <w:rPr>
          <w:sz w:val="16"/>
        </w:rPr>
        <w:t xml:space="preserve"> </w:t>
      </w:r>
      <w:r w:rsidRPr="00773A13">
        <w:rPr>
          <w:sz w:val="16"/>
        </w:rPr>
        <w:t xml:space="preserve">de </w:t>
      </w:r>
      <w:r w:rsidR="00F9180D">
        <w:rPr>
          <w:sz w:val="16"/>
        </w:rPr>
        <w:t>onverdeelde</w:t>
      </w:r>
      <w:r w:rsidRPr="00773A13">
        <w:rPr>
          <w:sz w:val="16"/>
        </w:rPr>
        <w:t xml:space="preserve"> helft van de woning en verklaren </w:t>
      </w:r>
      <w:r w:rsidR="002C2581" w:rsidRPr="002C2581">
        <w:rPr>
          <w:sz w:val="16"/>
        </w:rPr>
        <w:t>duidelijk, stellig en zonder voorbehoud</w:t>
      </w:r>
      <w:r w:rsidR="002C2581" w:rsidRPr="00773A13">
        <w:rPr>
          <w:sz w:val="16"/>
        </w:rPr>
        <w:t xml:space="preserve"> </w:t>
      </w:r>
      <w:r w:rsidR="002C2581">
        <w:rPr>
          <w:sz w:val="16"/>
        </w:rPr>
        <w:t xml:space="preserve">in een schriftelijke verklaring </w:t>
      </w:r>
      <w:r w:rsidRPr="00773A13">
        <w:rPr>
          <w:sz w:val="16"/>
        </w:rPr>
        <w:t>dat zij deze woning</w:t>
      </w:r>
      <w:r w:rsidR="00A53D06" w:rsidRPr="00773A13">
        <w:rPr>
          <w:sz w:val="16"/>
        </w:rPr>
        <w:t xml:space="preserve"> anders dan tijdelijk</w:t>
      </w:r>
      <w:r w:rsidRPr="00773A13">
        <w:rPr>
          <w:sz w:val="16"/>
        </w:rPr>
        <w:t xml:space="preserve"> als hoofdverblijf gaan gebruiken en nooit eerder de vrijstelling hebben toegepast. In deze situatie </w:t>
      </w:r>
      <w:r w:rsidR="00A53D06" w:rsidRPr="00773A13">
        <w:rPr>
          <w:sz w:val="16"/>
        </w:rPr>
        <w:t>zijn</w:t>
      </w:r>
      <w:r w:rsidRPr="00773A13">
        <w:rPr>
          <w:sz w:val="16"/>
        </w:rPr>
        <w:t xml:space="preserve"> de verkrijgingen van Y en Z met een waarde van </w:t>
      </w:r>
      <w:r w:rsidR="00F9180D">
        <w:rPr>
          <w:sz w:val="16"/>
        </w:rPr>
        <w:t>elk</w:t>
      </w:r>
      <w:r w:rsidRPr="00773A13">
        <w:rPr>
          <w:sz w:val="16"/>
        </w:rPr>
        <w:t xml:space="preserve"> € 125.000 vrijgesteld van overdrachtsbelasting. Op 1 november 2021 krijgt Z </w:t>
      </w:r>
      <w:r w:rsidR="00B84F09" w:rsidRPr="00773A13">
        <w:rPr>
          <w:sz w:val="16"/>
        </w:rPr>
        <w:t>onverwacht</w:t>
      </w:r>
      <w:r w:rsidR="00F9180D">
        <w:rPr>
          <w:sz w:val="16"/>
        </w:rPr>
        <w:t>s</w:t>
      </w:r>
      <w:r w:rsidR="00B84F09" w:rsidRPr="00773A13">
        <w:rPr>
          <w:sz w:val="16"/>
        </w:rPr>
        <w:t xml:space="preserve"> </w:t>
      </w:r>
      <w:r w:rsidRPr="00773A13">
        <w:rPr>
          <w:sz w:val="16"/>
        </w:rPr>
        <w:t>een baan aangeboden in het buitenland voor drie jaar</w:t>
      </w:r>
      <w:r w:rsidR="000A7EDF">
        <w:rPr>
          <w:sz w:val="16"/>
        </w:rPr>
        <w:t>, welke baan Z aanvaardt</w:t>
      </w:r>
      <w:r w:rsidRPr="00773A13">
        <w:rPr>
          <w:sz w:val="16"/>
        </w:rPr>
        <w:t xml:space="preserve">. Y en Z </w:t>
      </w:r>
      <w:r w:rsidR="000A7EDF">
        <w:rPr>
          <w:sz w:val="16"/>
        </w:rPr>
        <w:t xml:space="preserve">vertrekken samen naar het buitenland en </w:t>
      </w:r>
      <w:r w:rsidRPr="00773A13">
        <w:rPr>
          <w:sz w:val="16"/>
        </w:rPr>
        <w:t>houden de verkregen woning aan en verhuren deze gedurende de tij</w:t>
      </w:r>
      <w:r w:rsidR="005709C5" w:rsidRPr="00773A13">
        <w:rPr>
          <w:sz w:val="16"/>
        </w:rPr>
        <w:t>d dat zij in het buitenland zijn</w:t>
      </w:r>
      <w:r w:rsidRPr="00773A13">
        <w:rPr>
          <w:sz w:val="16"/>
        </w:rPr>
        <w:t xml:space="preserve">. Door een onvoorziene gebeurtenis na </w:t>
      </w:r>
      <w:r w:rsidR="000A7EDF">
        <w:rPr>
          <w:sz w:val="16"/>
        </w:rPr>
        <w:t xml:space="preserve">het moment van </w:t>
      </w:r>
      <w:r w:rsidRPr="00773A13">
        <w:rPr>
          <w:sz w:val="16"/>
        </w:rPr>
        <w:t xml:space="preserve">verkrijging </w:t>
      </w:r>
      <w:r w:rsidR="000A7EDF">
        <w:rPr>
          <w:sz w:val="16"/>
        </w:rPr>
        <w:t xml:space="preserve">van de woning </w:t>
      </w:r>
      <w:r w:rsidRPr="00773A13">
        <w:rPr>
          <w:sz w:val="16"/>
        </w:rPr>
        <w:t xml:space="preserve">konden Y en Z de woning niet </w:t>
      </w:r>
      <w:r w:rsidR="000A7EDF">
        <w:rPr>
          <w:sz w:val="16"/>
        </w:rPr>
        <w:t>of slechts tijdelijk</w:t>
      </w:r>
      <w:r w:rsidRPr="00773A13">
        <w:rPr>
          <w:sz w:val="16"/>
        </w:rPr>
        <w:t xml:space="preserve"> als hoofdverblijf gebruiken. De vrijstelling overdrachtsbelasting zal </w:t>
      </w:r>
      <w:r w:rsidR="00F9180D">
        <w:rPr>
          <w:sz w:val="16"/>
        </w:rPr>
        <w:t>in dat geval</w:t>
      </w:r>
      <w:r w:rsidR="00F9180D" w:rsidRPr="00773A13">
        <w:rPr>
          <w:sz w:val="16"/>
        </w:rPr>
        <w:t xml:space="preserve"> </w:t>
      </w:r>
      <w:r w:rsidRPr="00773A13">
        <w:rPr>
          <w:sz w:val="16"/>
        </w:rPr>
        <w:t xml:space="preserve">niet worden teruggenomen. Wel kan het zijn dat de inspecteur zal vragen aannemelijk te maken dat de verklaring juist is afgegeven, omdat mogelijk niet uit objectieve gegevens kan worden waargenomen dat Y en Z de woning daadwerkelijk zijn gaan gebruiken als hoofdverblijf. </w:t>
      </w:r>
      <w:r w:rsidR="00B84F09" w:rsidRPr="00773A13">
        <w:rPr>
          <w:sz w:val="16"/>
        </w:rPr>
        <w:t>Gegeven</w:t>
      </w:r>
      <w:r w:rsidRPr="00773A13">
        <w:rPr>
          <w:sz w:val="16"/>
        </w:rPr>
        <w:t xml:space="preserve"> het aanvaarden van de nieuwe baan in </w:t>
      </w:r>
      <w:r w:rsidR="00B84F09" w:rsidRPr="00773A13">
        <w:rPr>
          <w:sz w:val="16"/>
        </w:rPr>
        <w:t xml:space="preserve">het buitenland, welk aanbod niet bestond op het moment van de verkrijging, </w:t>
      </w:r>
      <w:r w:rsidR="000A7EDF">
        <w:rPr>
          <w:sz w:val="16"/>
        </w:rPr>
        <w:t>zullen</w:t>
      </w:r>
      <w:r w:rsidRPr="00773A13">
        <w:rPr>
          <w:sz w:val="16"/>
        </w:rPr>
        <w:t xml:space="preserve"> Y en Z dit voldoende aannemelijk </w:t>
      </w:r>
      <w:r w:rsidR="000A7EDF">
        <w:rPr>
          <w:sz w:val="16"/>
        </w:rPr>
        <w:t>kunnen maken.</w:t>
      </w:r>
      <w:r w:rsidRPr="00773A13">
        <w:rPr>
          <w:i/>
        </w:rPr>
        <w:t xml:space="preserve">   </w:t>
      </w:r>
    </w:p>
    <w:p w:rsidR="003E1E46" w:rsidRPr="00773A13" w:rsidRDefault="003E1E46" w:rsidP="009D6FC4">
      <w:pPr>
        <w:spacing w:after="0" w:line="360" w:lineRule="auto"/>
      </w:pPr>
    </w:p>
    <w:p w:rsidR="00E734CC" w:rsidRPr="00773A13" w:rsidRDefault="001A4323" w:rsidP="009D6FC4">
      <w:pPr>
        <w:spacing w:after="0" w:line="360" w:lineRule="auto"/>
      </w:pPr>
      <w:r>
        <w:t xml:space="preserve">2.2.2 </w:t>
      </w:r>
      <w:r w:rsidR="00E734CC" w:rsidRPr="00773A13">
        <w:t xml:space="preserve">Gevolgen </w:t>
      </w:r>
      <w:r w:rsidR="005D4EE3">
        <w:t>niet of slechts tijdelijk</w:t>
      </w:r>
      <w:r w:rsidR="00444ABE" w:rsidRPr="00773A13">
        <w:t xml:space="preserve"> gebruik als hoofdverblijf na afgifte schriftelijke verklaring</w:t>
      </w:r>
    </w:p>
    <w:p w:rsidR="00E734CC" w:rsidRPr="00773A13" w:rsidRDefault="00E734CC" w:rsidP="009D6FC4">
      <w:pPr>
        <w:spacing w:after="0" w:line="360" w:lineRule="auto"/>
      </w:pPr>
      <w:r w:rsidRPr="00773A13">
        <w:rPr>
          <w:rFonts w:cs="Arial"/>
          <w:szCs w:val="18"/>
        </w:rPr>
        <w:t xml:space="preserve">Door </w:t>
      </w:r>
      <w:r w:rsidR="006A605B" w:rsidRPr="00773A13">
        <w:rPr>
          <w:rFonts w:cs="Arial"/>
          <w:szCs w:val="18"/>
        </w:rPr>
        <w:t xml:space="preserve">afgifte van een schriftelijke verklaring </w:t>
      </w:r>
      <w:r w:rsidR="00F9180D">
        <w:rPr>
          <w:rFonts w:cs="Arial"/>
          <w:szCs w:val="18"/>
        </w:rPr>
        <w:t>is</w:t>
      </w:r>
      <w:r w:rsidR="006A605B" w:rsidRPr="00773A13">
        <w:rPr>
          <w:rFonts w:cs="Arial"/>
          <w:szCs w:val="18"/>
        </w:rPr>
        <w:t xml:space="preserve"> het mogelijk om </w:t>
      </w:r>
      <w:r w:rsidRPr="00773A13">
        <w:rPr>
          <w:rFonts w:cs="Arial"/>
          <w:szCs w:val="18"/>
        </w:rPr>
        <w:t xml:space="preserve">de vrijstelling en het verlaagde tarief direct bij de verkrijging toe te passen, </w:t>
      </w:r>
      <w:r w:rsidR="006A605B" w:rsidRPr="00773A13">
        <w:rPr>
          <w:rFonts w:cs="Arial"/>
          <w:szCs w:val="18"/>
        </w:rPr>
        <w:t>ondanks dat</w:t>
      </w:r>
      <w:r w:rsidRPr="00773A13">
        <w:rPr>
          <w:rFonts w:cs="Arial"/>
          <w:szCs w:val="18"/>
        </w:rPr>
        <w:t xml:space="preserve"> het feitelijk als hoofdverblijf gaan gebruiken van de woning pas nadien kan worden bepaald</w:t>
      </w:r>
      <w:r w:rsidR="006A605B" w:rsidRPr="00773A13">
        <w:rPr>
          <w:rFonts w:cs="Arial"/>
          <w:szCs w:val="18"/>
        </w:rPr>
        <w:t>. Dit voorkomt dat</w:t>
      </w:r>
      <w:r w:rsidRPr="00773A13">
        <w:rPr>
          <w:szCs w:val="18"/>
        </w:rPr>
        <w:t xml:space="preserve"> een verkrijger (tijdelijk) met hoge kosten koper te </w:t>
      </w:r>
      <w:r w:rsidRPr="00A705A0">
        <w:rPr>
          <w:szCs w:val="18"/>
        </w:rPr>
        <w:t xml:space="preserve">maken krijgt. </w:t>
      </w:r>
      <w:r w:rsidRPr="00A705A0">
        <w:t xml:space="preserve">Bij </w:t>
      </w:r>
      <w:r w:rsidR="00E40851" w:rsidRPr="00A705A0">
        <w:t xml:space="preserve">het alternatief, </w:t>
      </w:r>
      <w:r w:rsidRPr="00A705A0">
        <w:t>een teruggaveregeling</w:t>
      </w:r>
      <w:r w:rsidR="00E40851" w:rsidRPr="00A705A0">
        <w:t>,</w:t>
      </w:r>
      <w:r w:rsidRPr="00A705A0">
        <w:t xml:space="preserve"> zou </w:t>
      </w:r>
      <w:r w:rsidR="00F9180D" w:rsidRPr="00A705A0">
        <w:t>men</w:t>
      </w:r>
      <w:r w:rsidRPr="00A705A0">
        <w:t xml:space="preserve"> bij de verkrijging namelijk eerst </w:t>
      </w:r>
      <w:r w:rsidR="00180B86" w:rsidRPr="00A705A0">
        <w:t>8%</w:t>
      </w:r>
      <w:r w:rsidRPr="00773A13">
        <w:t xml:space="preserve"> overdrachtsbelasting moeten voldoen</w:t>
      </w:r>
      <w:r w:rsidR="009E2360" w:rsidRPr="00773A13">
        <w:t xml:space="preserve">, waardoor </w:t>
      </w:r>
      <w:r w:rsidRPr="00773A13">
        <w:t xml:space="preserve">meer spaargeld moet worden ingebracht. Dit gaat tegen het doel van de maatregel in om de positie van starters op de woningmarkt te verbeteren. </w:t>
      </w:r>
      <w:r w:rsidR="00B84F09" w:rsidRPr="00773A13">
        <w:t xml:space="preserve">Een teruggaveregeling is voor de uitvoering </w:t>
      </w:r>
      <w:r w:rsidR="00E40851" w:rsidRPr="00773A13">
        <w:t>ook</w:t>
      </w:r>
      <w:r w:rsidR="00B84F09" w:rsidRPr="00773A13">
        <w:t xml:space="preserve"> aanzienlijk bewerkelijker.</w:t>
      </w:r>
    </w:p>
    <w:p w:rsidR="00E734CC" w:rsidRPr="00773A13" w:rsidRDefault="00E734CC" w:rsidP="009D6FC4">
      <w:pPr>
        <w:spacing w:after="0" w:line="360" w:lineRule="auto"/>
        <w:rPr>
          <w:szCs w:val="18"/>
        </w:rPr>
      </w:pPr>
    </w:p>
    <w:p w:rsidR="00E734CC" w:rsidRPr="00773A13" w:rsidRDefault="00E734CC" w:rsidP="009D6FC4">
      <w:pPr>
        <w:spacing w:after="0" w:line="360" w:lineRule="auto"/>
        <w:rPr>
          <w:szCs w:val="18"/>
        </w:rPr>
      </w:pPr>
      <w:r w:rsidRPr="00773A13">
        <w:rPr>
          <w:szCs w:val="18"/>
        </w:rPr>
        <w:t xml:space="preserve">Het direct toepassen van de vrijstelling of het verlaagde tarief heeft ook </w:t>
      </w:r>
      <w:r w:rsidR="00B84F09" w:rsidRPr="00773A13">
        <w:rPr>
          <w:szCs w:val="18"/>
        </w:rPr>
        <w:t xml:space="preserve">een </w:t>
      </w:r>
      <w:r w:rsidRPr="00773A13">
        <w:rPr>
          <w:szCs w:val="18"/>
        </w:rPr>
        <w:t>nade</w:t>
      </w:r>
      <w:r w:rsidR="00B84F09" w:rsidRPr="00773A13">
        <w:rPr>
          <w:szCs w:val="18"/>
        </w:rPr>
        <w:t>e</w:t>
      </w:r>
      <w:r w:rsidRPr="00773A13">
        <w:rPr>
          <w:szCs w:val="18"/>
        </w:rPr>
        <w:t>l. Dat nadeel is aan de orde als later blijkt dat de verkrijger de woning niet</w:t>
      </w:r>
      <w:r w:rsidR="00A53D06" w:rsidRPr="00773A13">
        <w:rPr>
          <w:szCs w:val="18"/>
        </w:rPr>
        <w:t xml:space="preserve"> anders dan tijdelijk</w:t>
      </w:r>
      <w:r w:rsidRPr="00773A13">
        <w:rPr>
          <w:szCs w:val="18"/>
        </w:rPr>
        <w:t xml:space="preserve"> als hoofdverblijf is gaan gebruiken en voorts geen sprake is van een onvoorziene omstandigheid. Dit kan het beste aan de hand van een voorbeeld worden toegelicht. </w:t>
      </w:r>
    </w:p>
    <w:p w:rsidR="00E734CC" w:rsidRPr="00773A13" w:rsidRDefault="00E734CC" w:rsidP="009D6FC4">
      <w:pPr>
        <w:spacing w:after="0" w:line="360" w:lineRule="auto"/>
      </w:pPr>
    </w:p>
    <w:p w:rsidR="00E734CC" w:rsidRPr="00773A13" w:rsidRDefault="00E734CC" w:rsidP="009D6FC4">
      <w:pPr>
        <w:pStyle w:val="Lijstalinea"/>
        <w:pBdr>
          <w:left w:val="single" w:sz="4" w:space="21" w:color="auto"/>
        </w:pBdr>
        <w:spacing w:after="0" w:line="360" w:lineRule="auto"/>
        <w:ind w:left="1068"/>
        <w:rPr>
          <w:sz w:val="16"/>
        </w:rPr>
      </w:pPr>
      <w:r w:rsidRPr="00773A13">
        <w:rPr>
          <w:sz w:val="16"/>
        </w:rPr>
        <w:t>Voorbeeld</w:t>
      </w:r>
    </w:p>
    <w:p w:rsidR="00E734CC" w:rsidRPr="00773A13" w:rsidRDefault="00B84F09" w:rsidP="009D6FC4">
      <w:pPr>
        <w:pStyle w:val="Lijstalinea"/>
        <w:pBdr>
          <w:left w:val="single" w:sz="4" w:space="21" w:color="auto"/>
        </w:pBdr>
        <w:spacing w:after="0" w:line="360" w:lineRule="auto"/>
        <w:ind w:left="1068"/>
        <w:rPr>
          <w:sz w:val="16"/>
        </w:rPr>
      </w:pPr>
      <w:r w:rsidRPr="00773A13">
        <w:rPr>
          <w:sz w:val="16"/>
        </w:rPr>
        <w:t>C</w:t>
      </w:r>
      <w:r w:rsidR="00E734CC" w:rsidRPr="00773A13">
        <w:rPr>
          <w:sz w:val="16"/>
        </w:rPr>
        <w:t xml:space="preserve"> is </w:t>
      </w:r>
      <w:r w:rsidR="000B0A32">
        <w:rPr>
          <w:sz w:val="16"/>
        </w:rPr>
        <w:t>4</w:t>
      </w:r>
      <w:r w:rsidR="000B0A32" w:rsidRPr="00773A13">
        <w:rPr>
          <w:sz w:val="16"/>
        </w:rPr>
        <w:t>3</w:t>
      </w:r>
      <w:r w:rsidR="00E734CC" w:rsidRPr="00773A13">
        <w:rPr>
          <w:sz w:val="16"/>
        </w:rPr>
        <w:t xml:space="preserve"> jaar en verkrijgt een woning voor € 300.000 en maakt aanspraak op het verlaagde tarief van 2%. Hij vult een </w:t>
      </w:r>
      <w:r w:rsidR="00444ABE" w:rsidRPr="00773A13">
        <w:rPr>
          <w:sz w:val="16"/>
        </w:rPr>
        <w:t xml:space="preserve">schriftelijke </w:t>
      </w:r>
      <w:r w:rsidR="00E734CC" w:rsidRPr="00773A13">
        <w:rPr>
          <w:sz w:val="16"/>
        </w:rPr>
        <w:t xml:space="preserve">verklaring in en bij de aangifte door de notaris wordt € 6.000 afgedragen. Bij een controle door de inspecteur blijkt dat </w:t>
      </w:r>
      <w:r w:rsidR="00EF589F" w:rsidRPr="00773A13">
        <w:rPr>
          <w:sz w:val="16"/>
        </w:rPr>
        <w:t>C</w:t>
      </w:r>
      <w:r w:rsidR="00E734CC" w:rsidRPr="00773A13">
        <w:rPr>
          <w:sz w:val="16"/>
        </w:rPr>
        <w:t xml:space="preserve"> niet aannemelijk kan maken dat hij de woning</w:t>
      </w:r>
      <w:r w:rsidR="00D944B8" w:rsidRPr="00773A13">
        <w:rPr>
          <w:sz w:val="16"/>
        </w:rPr>
        <w:t xml:space="preserve"> anders dan tijdelijk</w:t>
      </w:r>
      <w:r w:rsidR="00E734CC" w:rsidRPr="00773A13">
        <w:rPr>
          <w:sz w:val="16"/>
        </w:rPr>
        <w:t xml:space="preserve"> als hoofdverblijf is gaan gebruiken. Voorts is geen sprake van een onvoorzien</w:t>
      </w:r>
      <w:r w:rsidR="00E734CC" w:rsidRPr="00A705A0">
        <w:rPr>
          <w:sz w:val="16"/>
        </w:rPr>
        <w:t xml:space="preserve">e omstandigheid. Er wordt aan </w:t>
      </w:r>
      <w:r w:rsidRPr="00A705A0">
        <w:rPr>
          <w:sz w:val="16"/>
        </w:rPr>
        <w:t>C</w:t>
      </w:r>
      <w:r w:rsidR="00E734CC" w:rsidRPr="00A705A0">
        <w:rPr>
          <w:sz w:val="16"/>
        </w:rPr>
        <w:t xml:space="preserve"> een nah</w:t>
      </w:r>
      <w:r w:rsidR="00805E51" w:rsidRPr="00A705A0">
        <w:rPr>
          <w:sz w:val="16"/>
        </w:rPr>
        <w:t>effingsaanslag opgelegd van € 18</w:t>
      </w:r>
      <w:r w:rsidR="00E734CC" w:rsidRPr="00A705A0">
        <w:rPr>
          <w:sz w:val="16"/>
        </w:rPr>
        <w:t xml:space="preserve">.000, zijnde het verschil van </w:t>
      </w:r>
      <w:r w:rsidR="00180B86" w:rsidRPr="00A705A0">
        <w:rPr>
          <w:sz w:val="16"/>
        </w:rPr>
        <w:t>8%</w:t>
      </w:r>
      <w:r w:rsidR="00E734CC" w:rsidRPr="00A705A0">
        <w:rPr>
          <w:sz w:val="16"/>
        </w:rPr>
        <w:t xml:space="preserve"> en 2% over € 300.000. Deze naheffingsaanslag wordt vermeer</w:t>
      </w:r>
      <w:r w:rsidR="001079C7" w:rsidRPr="00A705A0">
        <w:rPr>
          <w:sz w:val="16"/>
        </w:rPr>
        <w:t xml:space="preserve">derd met belastingrente en kan </w:t>
      </w:r>
      <w:r w:rsidR="00E734CC" w:rsidRPr="00A705A0">
        <w:rPr>
          <w:sz w:val="16"/>
        </w:rPr>
        <w:t>eventueel met een bestuurlijke boete (maximaa</w:t>
      </w:r>
      <w:r w:rsidR="00E734CC" w:rsidRPr="00773A13">
        <w:rPr>
          <w:sz w:val="16"/>
        </w:rPr>
        <w:t>l 100%)</w:t>
      </w:r>
      <w:r w:rsidR="000B0A32">
        <w:rPr>
          <w:sz w:val="16"/>
        </w:rPr>
        <w:t xml:space="preserve"> worden opgelegd</w:t>
      </w:r>
      <w:r w:rsidR="00E734CC" w:rsidRPr="00773A13">
        <w:rPr>
          <w:sz w:val="16"/>
        </w:rPr>
        <w:t xml:space="preserve">. </w:t>
      </w:r>
    </w:p>
    <w:p w:rsidR="00E734CC" w:rsidRPr="00773A13" w:rsidRDefault="00E734CC" w:rsidP="009D6FC4">
      <w:pPr>
        <w:spacing w:line="360" w:lineRule="auto"/>
      </w:pPr>
    </w:p>
    <w:p w:rsidR="00794DAF" w:rsidRDefault="00E734CC" w:rsidP="009D6FC4">
      <w:pPr>
        <w:spacing w:after="0" w:line="360" w:lineRule="auto"/>
        <w:rPr>
          <w:szCs w:val="18"/>
        </w:rPr>
      </w:pPr>
      <w:r w:rsidRPr="00773A13">
        <w:t xml:space="preserve">Uit gegevens van het Kadaster blijkt dat in gemiddeld </w:t>
      </w:r>
      <w:r w:rsidR="004154CD">
        <w:t>96</w:t>
      </w:r>
      <w:r w:rsidRPr="00773A13">
        <w:t xml:space="preserve">% van de gevallen </w:t>
      </w:r>
      <w:r w:rsidR="00D944B8" w:rsidRPr="00773A13">
        <w:t xml:space="preserve">wanneer </w:t>
      </w:r>
      <w:r w:rsidRPr="00773A13">
        <w:t xml:space="preserve">een natuurlijk persoon een woning </w:t>
      </w:r>
      <w:r w:rsidR="006A605B" w:rsidRPr="00773A13">
        <w:t>verkrijgt</w:t>
      </w:r>
      <w:r w:rsidRPr="00773A13">
        <w:t xml:space="preserve"> </w:t>
      </w:r>
      <w:r w:rsidR="006A605B" w:rsidRPr="00773A13">
        <w:t xml:space="preserve">hij </w:t>
      </w:r>
      <w:r w:rsidRPr="00773A13">
        <w:t>deze woning</w:t>
      </w:r>
      <w:r w:rsidR="006A605B" w:rsidRPr="00773A13">
        <w:t xml:space="preserve"> ook</w:t>
      </w:r>
      <w:r w:rsidRPr="00773A13">
        <w:t xml:space="preserve"> binnen </w:t>
      </w:r>
      <w:r w:rsidR="000A7EDF">
        <w:t>twaalf</w:t>
      </w:r>
      <w:r w:rsidRPr="00773A13">
        <w:t xml:space="preserve"> maanden als hoofdverblijf </w:t>
      </w:r>
      <w:r w:rsidR="006A605B" w:rsidRPr="00773A13">
        <w:t xml:space="preserve">is gaan </w:t>
      </w:r>
      <w:r w:rsidRPr="00773A13">
        <w:t>gebruik</w:t>
      </w:r>
      <w:r w:rsidR="00D944B8" w:rsidRPr="00773A13">
        <w:t>en</w:t>
      </w:r>
      <w:r w:rsidRPr="00773A13">
        <w:t xml:space="preserve">. </w:t>
      </w:r>
      <w:r w:rsidR="00F105C5" w:rsidRPr="00773A13">
        <w:t xml:space="preserve">In </w:t>
      </w:r>
      <w:r w:rsidR="004154CD">
        <w:t>4</w:t>
      </w:r>
      <w:r w:rsidR="00F105C5" w:rsidRPr="00773A13">
        <w:t xml:space="preserve">% </w:t>
      </w:r>
      <w:r w:rsidR="000A7EDF">
        <w:t>gebruiken de verkrijgers de woning niet binnen twaalf maanden anders dan tijdelijk als hoofdverblijf.</w:t>
      </w:r>
      <w:r w:rsidR="00F105C5" w:rsidRPr="00773A13">
        <w:t xml:space="preserve"> </w:t>
      </w:r>
      <w:r w:rsidRPr="00773A13">
        <w:t xml:space="preserve">Dat gaat om </w:t>
      </w:r>
      <w:r w:rsidR="00F105C5" w:rsidRPr="00773A13">
        <w:t xml:space="preserve">circa </w:t>
      </w:r>
      <w:r w:rsidR="00633AEC">
        <w:t>8 duizend</w:t>
      </w:r>
      <w:r w:rsidR="006D4C8F" w:rsidRPr="00773A13">
        <w:t xml:space="preserve"> </w:t>
      </w:r>
      <w:r w:rsidRPr="00773A13">
        <w:t xml:space="preserve">transacties. Het toezicht van de Belastingdienst </w:t>
      </w:r>
      <w:r w:rsidR="00D944B8" w:rsidRPr="00773A13">
        <w:t xml:space="preserve">zal zich </w:t>
      </w:r>
      <w:r w:rsidR="000A7EDF">
        <w:t xml:space="preserve">waarschijnlijk </w:t>
      </w:r>
      <w:r w:rsidR="00D944B8" w:rsidRPr="00773A13">
        <w:t>richten op de</w:t>
      </w:r>
      <w:r w:rsidR="000A7EDF">
        <w:t>ze</w:t>
      </w:r>
      <w:r w:rsidR="00D944B8" w:rsidRPr="00773A13">
        <w:t xml:space="preserve"> situaties</w:t>
      </w:r>
      <w:r w:rsidR="000B0A32">
        <w:t>,</w:t>
      </w:r>
      <w:r w:rsidR="00D944B8" w:rsidRPr="00773A13">
        <w:t xml:space="preserve"> waarin genoemde schriftelijke verklaring wordt afgegeven</w:t>
      </w:r>
      <w:r w:rsidR="00912898">
        <w:t xml:space="preserve"> (op basis van de cijfers van 2018: maximaal </w:t>
      </w:r>
      <w:r w:rsidR="00C653B0">
        <w:t>207</w:t>
      </w:r>
      <w:r w:rsidR="00912898">
        <w:t xml:space="preserve"> duizend)</w:t>
      </w:r>
      <w:r w:rsidRPr="00773A13">
        <w:t xml:space="preserve">. </w:t>
      </w:r>
      <w:r w:rsidR="00912898">
        <w:t xml:space="preserve">De verwachting is dat in ruim 96% van de gevallen de Belastingdienst het anders dan tijdelijk als hoofdverblijf kan ontlenen aan de objectieve gegevens. In de overige gevallen zullen </w:t>
      </w:r>
      <w:r w:rsidRPr="00773A13">
        <w:t>zich situaties</w:t>
      </w:r>
      <w:r w:rsidR="00912898">
        <w:t xml:space="preserve"> bevinden</w:t>
      </w:r>
      <w:r w:rsidR="000B0A32">
        <w:t>,</w:t>
      </w:r>
      <w:r w:rsidRPr="00773A13">
        <w:t xml:space="preserve"> waarbij sprake is van </w:t>
      </w:r>
      <w:r w:rsidR="000A7EDF">
        <w:t>een grote verbouwing die langer dan 12 maanden duurt</w:t>
      </w:r>
      <w:r w:rsidR="00912898">
        <w:t xml:space="preserve"> of</w:t>
      </w:r>
      <w:r w:rsidR="000A7EDF">
        <w:t xml:space="preserve"> </w:t>
      </w:r>
      <w:r w:rsidRPr="00773A13">
        <w:t>onvoorziene omstandigheden</w:t>
      </w:r>
      <w:r w:rsidR="00912898">
        <w:t xml:space="preserve">. In deze situaties zal </w:t>
      </w:r>
      <w:r w:rsidR="000B0A32">
        <w:t>doorgaans</w:t>
      </w:r>
      <w:r w:rsidRPr="00773A13">
        <w:t xml:space="preserve"> niet worden nageheven</w:t>
      </w:r>
      <w:r w:rsidR="00912898">
        <w:t xml:space="preserve">. Ook kunnen hier situaties tussen zitten van verkrijgers die </w:t>
      </w:r>
      <w:r w:rsidRPr="00773A13">
        <w:t xml:space="preserve">ten onrechte aanspraak </w:t>
      </w:r>
      <w:r w:rsidR="00912898">
        <w:t>hebben</w:t>
      </w:r>
      <w:r w:rsidRPr="00773A13">
        <w:t xml:space="preserve"> gemaakt op de toepassing van het verlaagde tarief of de startersvrijstelling</w:t>
      </w:r>
      <w:r w:rsidR="00912898">
        <w:t xml:space="preserve">. In die gevallen zal wel </w:t>
      </w:r>
      <w:r w:rsidRPr="00773A13">
        <w:t xml:space="preserve">worden nageheven. </w:t>
      </w:r>
      <w:r w:rsidRPr="00773A13">
        <w:rPr>
          <w:szCs w:val="18"/>
        </w:rPr>
        <w:t xml:space="preserve">Vanzelfsprekend staan voor de verkrijger rechtsmiddelen open tegen de naheffingsaanslag, de belastingrente en de eventuele bestraffing. Belastingplichtigen hebben derhalve gelegenheid tegen de beslissing bezwaar </w:t>
      </w:r>
      <w:r w:rsidR="00FD1672" w:rsidRPr="00773A13">
        <w:rPr>
          <w:szCs w:val="18"/>
        </w:rPr>
        <w:t xml:space="preserve">aan te tekenen </w:t>
      </w:r>
      <w:r w:rsidRPr="00773A13">
        <w:rPr>
          <w:szCs w:val="18"/>
        </w:rPr>
        <w:t xml:space="preserve">en </w:t>
      </w:r>
      <w:r w:rsidR="00FD1672" w:rsidRPr="00773A13">
        <w:rPr>
          <w:szCs w:val="18"/>
        </w:rPr>
        <w:t xml:space="preserve">in </w:t>
      </w:r>
      <w:r w:rsidRPr="00773A13">
        <w:rPr>
          <w:szCs w:val="18"/>
        </w:rPr>
        <w:t>beroep te komen. De uiteindelijke beoordeling daarover is aan de rechter</w:t>
      </w:r>
      <w:r w:rsidR="00E7003D" w:rsidRPr="00773A13">
        <w:rPr>
          <w:szCs w:val="18"/>
        </w:rPr>
        <w:t>.</w:t>
      </w:r>
    </w:p>
    <w:p w:rsidR="00794DAF" w:rsidRDefault="00794DAF" w:rsidP="009F20F1">
      <w:pPr>
        <w:pStyle w:val="Kop1"/>
        <w:ind w:firstLine="0"/>
        <w:rPr>
          <w:rFonts w:ascii="Verdana" w:hAnsi="Verdana"/>
          <w:b w:val="0"/>
          <w:i/>
          <w:color w:val="auto"/>
          <w:sz w:val="18"/>
        </w:rPr>
      </w:pPr>
      <w:bookmarkStart w:id="31" w:name="_Toc49418732"/>
      <w:bookmarkStart w:id="32" w:name="_Toc50568493"/>
      <w:r w:rsidRPr="009F20F1">
        <w:rPr>
          <w:rFonts w:ascii="Verdana" w:hAnsi="Verdana"/>
          <w:b w:val="0"/>
          <w:i/>
          <w:color w:val="auto"/>
          <w:sz w:val="18"/>
        </w:rPr>
        <w:t>2.</w:t>
      </w:r>
      <w:r w:rsidR="00620259">
        <w:rPr>
          <w:rFonts w:ascii="Verdana" w:hAnsi="Verdana"/>
          <w:b w:val="0"/>
          <w:i/>
          <w:color w:val="auto"/>
          <w:sz w:val="18"/>
        </w:rPr>
        <w:t>3</w:t>
      </w:r>
      <w:r w:rsidRPr="009F20F1">
        <w:rPr>
          <w:rFonts w:ascii="Verdana" w:hAnsi="Verdana"/>
          <w:b w:val="0"/>
          <w:i/>
          <w:color w:val="auto"/>
          <w:sz w:val="18"/>
        </w:rPr>
        <w:t xml:space="preserve"> </w:t>
      </w:r>
      <w:r w:rsidR="009F20F1">
        <w:rPr>
          <w:rFonts w:ascii="Verdana" w:hAnsi="Verdana"/>
          <w:b w:val="0"/>
          <w:i/>
          <w:color w:val="auto"/>
          <w:sz w:val="18"/>
        </w:rPr>
        <w:tab/>
      </w:r>
      <w:r w:rsidRPr="009F20F1">
        <w:rPr>
          <w:rFonts w:ascii="Verdana" w:hAnsi="Verdana"/>
          <w:b w:val="0"/>
          <w:i/>
          <w:color w:val="auto"/>
          <w:sz w:val="18"/>
        </w:rPr>
        <w:t>Uitzondering bepaalde fictieve onroerende zaken e</w:t>
      </w:r>
      <w:r w:rsidR="009F20F1" w:rsidRPr="009F20F1">
        <w:rPr>
          <w:rFonts w:ascii="Verdana" w:hAnsi="Verdana"/>
          <w:b w:val="0"/>
          <w:i/>
          <w:color w:val="auto"/>
          <w:sz w:val="18"/>
        </w:rPr>
        <w:t>n de economische eigendom</w:t>
      </w:r>
      <w:bookmarkEnd w:id="31"/>
      <w:bookmarkEnd w:id="32"/>
    </w:p>
    <w:p w:rsidR="009F20F1" w:rsidRPr="009F20F1" w:rsidRDefault="009F20F1" w:rsidP="009F20F1">
      <w:pPr>
        <w:spacing w:after="0" w:line="360" w:lineRule="auto"/>
      </w:pPr>
      <w:r w:rsidRPr="00773A13">
        <w:t xml:space="preserve">Gegeven de doelstelling van de startersvrijstelling </w:t>
      </w:r>
      <w:r>
        <w:t xml:space="preserve">en het verlaagde tarief </w:t>
      </w:r>
      <w:r w:rsidRPr="00773A13">
        <w:t xml:space="preserve">vallen de verkrijging van de economische eigendom van een woning of </w:t>
      </w:r>
      <w:r>
        <w:t xml:space="preserve">de </w:t>
      </w:r>
      <w:r w:rsidRPr="00773A13">
        <w:t>verkrijging van aandelen in een onroerende zaakrechtspersoon (fictiev</w:t>
      </w:r>
      <w:r w:rsidRPr="00A705A0">
        <w:t xml:space="preserve">e onroerende zaken) buiten het toepassingsbereik van de voorgestelde startersvrijstelling en het verlaagde tarief. </w:t>
      </w:r>
      <w:r w:rsidR="00C07404" w:rsidRPr="00A705A0">
        <w:t xml:space="preserve">Economische eigendom komt met name voor bij zakelijke transacties, waarvoor het 8%-tarief zal worden toegepast. </w:t>
      </w:r>
      <w:r w:rsidRPr="00A705A0">
        <w:t>Ook</w:t>
      </w:r>
      <w:r w:rsidRPr="00A705A0" w:rsidDel="00BF105A">
        <w:t xml:space="preserve"> verkrijging van </w:t>
      </w:r>
      <w:r w:rsidRPr="00A705A0">
        <w:t xml:space="preserve">fictieve </w:t>
      </w:r>
      <w:r w:rsidRPr="00A705A0" w:rsidDel="00BF105A">
        <w:t>onroerend</w:t>
      </w:r>
      <w:r w:rsidRPr="00A705A0">
        <w:t>e zaken – met uitzondering van lidmaatschap</w:t>
      </w:r>
      <w:r>
        <w:t xml:space="preserve">srechten van verenigingen of coöperaties, </w:t>
      </w:r>
      <w:r w:rsidRPr="00773A13">
        <w:t>voor zover</w:t>
      </w:r>
      <w:r>
        <w:t xml:space="preserve"> die rechten betrekking hebben op een woning –</w:t>
      </w:r>
      <w:r w:rsidRPr="00773A13">
        <w:t xml:space="preserve"> </w:t>
      </w:r>
      <w:r w:rsidRPr="00773A13" w:rsidDel="00BF105A">
        <w:t xml:space="preserve">heeft </w:t>
      </w:r>
      <w:r w:rsidRPr="00773A13">
        <w:t xml:space="preserve">veelal </w:t>
      </w:r>
      <w:r w:rsidRPr="00773A13" w:rsidDel="00BF105A">
        <w:t>een zakelijk karakter</w:t>
      </w:r>
      <w:r w:rsidRPr="00773A13">
        <w:t xml:space="preserve"> en past daarmee niet bij de doelstelling van de vrijstelling</w:t>
      </w:r>
      <w:r>
        <w:t xml:space="preserve"> en het verlaagde tarief</w:t>
      </w:r>
      <w:r w:rsidRPr="00773A13" w:rsidDel="00BF105A">
        <w:t>.</w:t>
      </w:r>
      <w:r w:rsidRPr="00773A13">
        <w:t xml:space="preserve"> De vrijstelling</w:t>
      </w:r>
      <w:r>
        <w:t xml:space="preserve"> en het verlaagde tarief</w:t>
      </w:r>
      <w:r w:rsidRPr="00773A13">
        <w:t xml:space="preserve"> is alleen van toepassing op </w:t>
      </w:r>
      <w:r w:rsidR="00F5163D">
        <w:t xml:space="preserve">de verkrijging van de economische eigendom </w:t>
      </w:r>
      <w:r>
        <w:t xml:space="preserve">als ook </w:t>
      </w:r>
      <w:r w:rsidRPr="00773A13">
        <w:t xml:space="preserve">de juridische eigendom </w:t>
      </w:r>
      <w:r>
        <w:t xml:space="preserve">wordt verkregen </w:t>
      </w:r>
      <w:r w:rsidRPr="00773A13">
        <w:t xml:space="preserve">van een woning. De verkrijging van een specifiek recht van lidmaatschap van een vereniging of coöperatie, waarin het recht op uitsluitend of nagenoeg uitsluitend gebruik van een woning is inbegrepen, kan wel onder de vrijstelling </w:t>
      </w:r>
      <w:r w:rsidR="00F5163D">
        <w:t>of</w:t>
      </w:r>
      <w:r>
        <w:t xml:space="preserve"> het verlaagde tarief </w:t>
      </w:r>
      <w:r w:rsidRPr="00773A13">
        <w:t xml:space="preserve">vallen. </w:t>
      </w:r>
      <w:r>
        <w:t xml:space="preserve">Deze specifieke lidmaatschapsrechten zien bijvoorbeeld op bepaalde </w:t>
      </w:r>
      <w:r>
        <w:lastRenderedPageBreak/>
        <w:t>lidmaatschapsrechten die een natuurlijk persoon kan verkrijgen in een zogenoemde</w:t>
      </w:r>
      <w:r w:rsidR="009B3F06">
        <w:t xml:space="preserve"> flat exploitatievereniging.</w:t>
      </w:r>
      <w:r w:rsidRPr="00773A13">
        <w:t xml:space="preserve"> </w:t>
      </w:r>
    </w:p>
    <w:p w:rsidR="00C42FA3" w:rsidRPr="008A26B8" w:rsidRDefault="00620259" w:rsidP="008A26B8">
      <w:pPr>
        <w:pStyle w:val="Kop1"/>
        <w:ind w:firstLine="0"/>
        <w:rPr>
          <w:rFonts w:ascii="Verdana" w:hAnsi="Verdana"/>
          <w:b w:val="0"/>
          <w:i/>
          <w:color w:val="auto"/>
          <w:sz w:val="18"/>
        </w:rPr>
      </w:pPr>
      <w:bookmarkStart w:id="33" w:name="_Toc49418733"/>
      <w:bookmarkStart w:id="34" w:name="_Toc50568494"/>
      <w:r>
        <w:rPr>
          <w:rFonts w:ascii="Verdana" w:hAnsi="Verdana"/>
          <w:b w:val="0"/>
          <w:i/>
          <w:color w:val="auto"/>
          <w:sz w:val="18"/>
        </w:rPr>
        <w:t>2.4</w:t>
      </w:r>
      <w:r w:rsidR="00C42FA3" w:rsidRPr="008A26B8">
        <w:rPr>
          <w:rFonts w:ascii="Verdana" w:hAnsi="Verdana"/>
          <w:b w:val="0"/>
          <w:i/>
          <w:color w:val="auto"/>
          <w:sz w:val="18"/>
        </w:rPr>
        <w:t xml:space="preserve"> </w:t>
      </w:r>
      <w:r w:rsidR="00E94F20">
        <w:rPr>
          <w:rFonts w:ascii="Verdana" w:hAnsi="Verdana"/>
          <w:b w:val="0"/>
          <w:i/>
          <w:color w:val="auto"/>
          <w:sz w:val="18"/>
        </w:rPr>
        <w:tab/>
      </w:r>
      <w:r w:rsidR="00C42FA3" w:rsidRPr="008A26B8">
        <w:rPr>
          <w:rFonts w:ascii="Verdana" w:hAnsi="Verdana"/>
          <w:b w:val="0"/>
          <w:i/>
          <w:color w:val="auto"/>
          <w:sz w:val="18"/>
        </w:rPr>
        <w:t>Verhoging algemene tarief</w:t>
      </w:r>
      <w:bookmarkEnd w:id="33"/>
      <w:bookmarkEnd w:id="34"/>
    </w:p>
    <w:p w:rsidR="00C21371" w:rsidRPr="005E1FED" w:rsidRDefault="00C42FA3" w:rsidP="009D6FC4">
      <w:pPr>
        <w:spacing w:after="0" w:line="360" w:lineRule="auto"/>
      </w:pPr>
      <w:r>
        <w:t>In het Klimaatakkoord is reeds bepaald dat het algemene overdrachtsbelast</w:t>
      </w:r>
      <w:r w:rsidRPr="00A705A0">
        <w:t>ingtarief per 1 januari 2021 wordt verhoogd van 6% naar 7%.</w:t>
      </w:r>
      <w:r w:rsidRPr="00A705A0" w:rsidDel="00087D15">
        <w:rPr>
          <w:rStyle w:val="Voetnootmarkering"/>
        </w:rPr>
        <w:footnoteReference w:id="18"/>
      </w:r>
      <w:r w:rsidRPr="00A705A0">
        <w:t xml:space="preserve"> Het algemene tarief wordt verder verhoogd naar 8%. Dit betekent dat niet alleen </w:t>
      </w:r>
      <w:r w:rsidR="001079C7" w:rsidRPr="00A705A0">
        <w:t xml:space="preserve">voor </w:t>
      </w:r>
      <w:r w:rsidRPr="00A705A0">
        <w:t>niet-woningen vanaf 1 januari 2021 het hogere tarief van 8%</w:t>
      </w:r>
      <w:r w:rsidR="001079C7" w:rsidRPr="00A705A0">
        <w:t xml:space="preserve"> geld</w:t>
      </w:r>
      <w:r w:rsidR="001079C7">
        <w:t>t</w:t>
      </w:r>
      <w:r>
        <w:t>, maar ook</w:t>
      </w:r>
      <w:r w:rsidR="001079C7">
        <w:t xml:space="preserve"> voor</w:t>
      </w:r>
      <w:r>
        <w:t xml:space="preserve"> woningen die niet anders dan tijdelijk als hoofdverblijf worden gebruikt. </w:t>
      </w:r>
      <w:r w:rsidR="001079C7">
        <w:t>Hieronder vallen</w:t>
      </w:r>
      <w:r w:rsidRPr="00773A13">
        <w:t xml:space="preserve"> bijvoorbeeld ook vakantiewoning</w:t>
      </w:r>
      <w:r w:rsidR="001079C7">
        <w:t xml:space="preserve">en, </w:t>
      </w:r>
      <w:r>
        <w:t>woning</w:t>
      </w:r>
      <w:r w:rsidR="001079C7">
        <w:t>en</w:t>
      </w:r>
      <w:r>
        <w:t xml:space="preserve"> die</w:t>
      </w:r>
      <w:r w:rsidRPr="00E414F9">
        <w:t xml:space="preserve"> </w:t>
      </w:r>
      <w:r>
        <w:t>ouders kopen voor hun kind</w:t>
      </w:r>
      <w:r w:rsidRPr="00773A13">
        <w:t xml:space="preserve"> en woningen </w:t>
      </w:r>
      <w:r>
        <w:t xml:space="preserve">die worden verkregen </w:t>
      </w:r>
      <w:r w:rsidRPr="00773A13">
        <w:t xml:space="preserve">door niet-natuurlijke personen, zoals rechtspersonen. </w:t>
      </w:r>
      <w:r>
        <w:rPr>
          <w:rFonts w:cs="Verdana"/>
          <w:color w:val="000000"/>
          <w:szCs w:val="18"/>
        </w:rPr>
        <w:t>H</w:t>
      </w:r>
      <w:r w:rsidRPr="0091100C">
        <w:rPr>
          <w:rFonts w:cs="Verdana"/>
          <w:color w:val="000000"/>
          <w:szCs w:val="18"/>
        </w:rPr>
        <w:t xml:space="preserve">et kabinet </w:t>
      </w:r>
      <w:r>
        <w:rPr>
          <w:rFonts w:cs="Verdana"/>
          <w:color w:val="000000"/>
          <w:szCs w:val="18"/>
        </w:rPr>
        <w:t xml:space="preserve">heeft gekozen </w:t>
      </w:r>
      <w:r w:rsidRPr="0091100C">
        <w:rPr>
          <w:rFonts w:cs="Verdana"/>
          <w:color w:val="000000"/>
          <w:szCs w:val="18"/>
        </w:rPr>
        <w:t xml:space="preserve">voor een bestaande knop binnen de fiscaliteit op rijksniveau, die tevens uitvoerbaar is. Het verhogen van </w:t>
      </w:r>
      <w:r>
        <w:rPr>
          <w:rFonts w:cs="Verdana"/>
          <w:color w:val="000000"/>
          <w:szCs w:val="18"/>
        </w:rPr>
        <w:t xml:space="preserve">het algemene tarief in </w:t>
      </w:r>
      <w:r w:rsidRPr="0091100C">
        <w:rPr>
          <w:rFonts w:cs="Verdana"/>
          <w:color w:val="000000"/>
          <w:szCs w:val="18"/>
        </w:rPr>
        <w:t xml:space="preserve">de overdrachtsbelasting voldoet hieraan. </w:t>
      </w:r>
      <w:r w:rsidR="00DC6B6D">
        <w:rPr>
          <w:rFonts w:cs="Verdana"/>
          <w:color w:val="000000"/>
          <w:szCs w:val="18"/>
        </w:rPr>
        <w:t xml:space="preserve">Daarbij is gekozen voor een maatregel waarbij de last voornamelijk door het bedrijfsleven en beleggers zal worden gedragen. </w:t>
      </w:r>
      <w:r w:rsidR="007872E0">
        <w:rPr>
          <w:rFonts w:cs="Verdana"/>
          <w:color w:val="000000"/>
          <w:szCs w:val="18"/>
        </w:rPr>
        <w:t>Hoewel aanhorigheden vanaf 1 januari 2021 in minder gevallen onder het begrip ‘woning’ zullen vallen, leidt de</w:t>
      </w:r>
      <w:r w:rsidRPr="0091100C">
        <w:rPr>
          <w:rFonts w:cs="Verdana"/>
          <w:color w:val="000000"/>
          <w:szCs w:val="18"/>
        </w:rPr>
        <w:t xml:space="preserve"> </w:t>
      </w:r>
      <w:r>
        <w:rPr>
          <w:rFonts w:cs="Verdana"/>
          <w:color w:val="000000"/>
          <w:szCs w:val="18"/>
        </w:rPr>
        <w:t xml:space="preserve">maatregel </w:t>
      </w:r>
      <w:r w:rsidR="001079C7">
        <w:rPr>
          <w:rFonts w:cs="Verdana"/>
          <w:color w:val="000000"/>
          <w:szCs w:val="18"/>
        </w:rPr>
        <w:t xml:space="preserve">voor wat betreft het </w:t>
      </w:r>
      <w:r w:rsidR="007872E0">
        <w:rPr>
          <w:rFonts w:cs="Verdana"/>
          <w:color w:val="000000"/>
          <w:szCs w:val="18"/>
        </w:rPr>
        <w:t>onderscheid tussen ‘woning’ en ‘niet-woning’</w:t>
      </w:r>
      <w:r w:rsidR="001079C7">
        <w:rPr>
          <w:rFonts w:cs="Verdana"/>
          <w:color w:val="000000"/>
          <w:szCs w:val="18"/>
        </w:rPr>
        <w:t xml:space="preserve"> </w:t>
      </w:r>
      <w:r>
        <w:rPr>
          <w:rFonts w:cs="Verdana"/>
          <w:color w:val="000000"/>
          <w:szCs w:val="18"/>
        </w:rPr>
        <w:t>niet tot nieuwe afbakeningsvraagstukken.</w:t>
      </w:r>
      <w:r w:rsidR="007872E0">
        <w:rPr>
          <w:rFonts w:cs="Verdana"/>
          <w:color w:val="000000"/>
          <w:szCs w:val="18"/>
        </w:rPr>
        <w:t xml:space="preserve"> </w:t>
      </w:r>
      <w:r>
        <w:rPr>
          <w:rFonts w:cs="Verdana"/>
          <w:color w:val="000000"/>
          <w:szCs w:val="18"/>
        </w:rPr>
        <w:t xml:space="preserve">De bestaande </w:t>
      </w:r>
      <w:r w:rsidRPr="0091100C">
        <w:rPr>
          <w:rFonts w:cs="Verdana"/>
          <w:color w:val="000000"/>
          <w:szCs w:val="18"/>
        </w:rPr>
        <w:t>afbakening</w:t>
      </w:r>
      <w:r>
        <w:rPr>
          <w:rFonts w:cs="Verdana"/>
          <w:color w:val="000000"/>
          <w:szCs w:val="18"/>
        </w:rPr>
        <w:t>svraagstukken</w:t>
      </w:r>
      <w:r w:rsidRPr="0091100C">
        <w:rPr>
          <w:rFonts w:cs="Verdana"/>
          <w:color w:val="000000"/>
          <w:szCs w:val="18"/>
        </w:rPr>
        <w:t xml:space="preserve"> en procedures over het onderscheid tussen woningen en niet-woningen </w:t>
      </w:r>
      <w:r>
        <w:rPr>
          <w:rFonts w:cs="Verdana"/>
          <w:color w:val="000000"/>
          <w:szCs w:val="18"/>
        </w:rPr>
        <w:t xml:space="preserve">zullen naar verwachting afnemen, doordat sommige woningen met de voorgestelde maatregelen ook onder het algemene tarief gaan vallen. Het afbakeningsvraagstuk zal verdwijnen tussen niet-woningen en woningen die niet anders dan tijdelijk als hoofdverblijf zullen worden gebruikt. </w:t>
      </w:r>
      <w:r w:rsidR="00DC6B6D">
        <w:rPr>
          <w:rFonts w:cs="Verdana"/>
          <w:color w:val="000000"/>
          <w:szCs w:val="18"/>
        </w:rPr>
        <w:t xml:space="preserve">Voor beleggers zal het afbakeningsvraagstuk daarom geen fiscaal belang meer hebben. </w:t>
      </w:r>
    </w:p>
    <w:p w:rsidR="00C21371" w:rsidRPr="008A26B8" w:rsidRDefault="00C21371" w:rsidP="008A26B8">
      <w:pPr>
        <w:pStyle w:val="Kop1"/>
        <w:ind w:firstLine="0"/>
        <w:rPr>
          <w:rFonts w:ascii="Verdana" w:hAnsi="Verdana"/>
          <w:b w:val="0"/>
          <w:i/>
          <w:color w:val="auto"/>
          <w:sz w:val="18"/>
        </w:rPr>
      </w:pPr>
      <w:bookmarkStart w:id="35" w:name="_Toc49418734"/>
      <w:bookmarkStart w:id="36" w:name="_Toc50568495"/>
      <w:r w:rsidRPr="008A26B8">
        <w:rPr>
          <w:rFonts w:ascii="Verdana" w:hAnsi="Verdana"/>
          <w:b w:val="0"/>
          <w:i/>
          <w:color w:val="auto"/>
          <w:sz w:val="18"/>
        </w:rPr>
        <w:t>2.</w:t>
      </w:r>
      <w:r w:rsidR="00620259">
        <w:rPr>
          <w:rFonts w:ascii="Verdana" w:hAnsi="Verdana"/>
          <w:b w:val="0"/>
          <w:i/>
          <w:color w:val="auto"/>
          <w:sz w:val="18"/>
        </w:rPr>
        <w:t>5</w:t>
      </w:r>
      <w:r w:rsidR="00C42FA3" w:rsidRPr="008A26B8">
        <w:rPr>
          <w:rFonts w:ascii="Verdana" w:hAnsi="Verdana"/>
          <w:b w:val="0"/>
          <w:i/>
          <w:color w:val="auto"/>
          <w:sz w:val="18"/>
        </w:rPr>
        <w:t xml:space="preserve"> </w:t>
      </w:r>
      <w:r w:rsidR="00E94F20">
        <w:rPr>
          <w:rFonts w:ascii="Verdana" w:hAnsi="Verdana"/>
          <w:b w:val="0"/>
          <w:i/>
          <w:color w:val="auto"/>
          <w:sz w:val="18"/>
        </w:rPr>
        <w:tab/>
      </w:r>
      <w:r w:rsidRPr="008A26B8">
        <w:rPr>
          <w:rFonts w:ascii="Verdana" w:hAnsi="Verdana"/>
          <w:b w:val="0"/>
          <w:i/>
          <w:color w:val="auto"/>
          <w:sz w:val="18"/>
        </w:rPr>
        <w:t>Aangifteplicht</w:t>
      </w:r>
      <w:r w:rsidR="00E94F20">
        <w:rPr>
          <w:rFonts w:ascii="Verdana" w:hAnsi="Verdana"/>
          <w:b w:val="0"/>
          <w:i/>
          <w:color w:val="auto"/>
          <w:sz w:val="18"/>
        </w:rPr>
        <w:t xml:space="preserve"> </w:t>
      </w:r>
      <w:r w:rsidR="00D32F81" w:rsidRPr="00D32F81">
        <w:rPr>
          <w:rFonts w:ascii="Verdana" w:hAnsi="Verdana"/>
          <w:b w:val="0"/>
          <w:i/>
          <w:color w:val="auto"/>
          <w:sz w:val="18"/>
        </w:rPr>
        <w:t>bij toepassing van een vrijstelling</w:t>
      </w:r>
      <w:bookmarkEnd w:id="35"/>
      <w:bookmarkEnd w:id="36"/>
    </w:p>
    <w:p w:rsidR="00C21371" w:rsidRDefault="00C21371" w:rsidP="009D6FC4">
      <w:pPr>
        <w:spacing w:after="0" w:line="360" w:lineRule="auto"/>
      </w:pPr>
      <w:r w:rsidRPr="009178A2">
        <w:t xml:space="preserve">In het onderhavige wetsvoorstel is een verplichting opgenomen tot het doen van aangifte </w:t>
      </w:r>
      <w:r>
        <w:t>in</w:t>
      </w:r>
      <w:r w:rsidRPr="009178A2">
        <w:t xml:space="preserve"> gevallen waarin ter zake van een verkrijging een vrijstelling wordt toegepast. </w:t>
      </w:r>
      <w:r w:rsidR="00D32F81">
        <w:t xml:space="preserve">Het betreft hier de toepassing van elke mogelijke vrijstelling van de overdrachtsbelasting. </w:t>
      </w:r>
      <w:r w:rsidRPr="009178A2">
        <w:t xml:space="preserve">Hierdoor wordt eventuele discussie </w:t>
      </w:r>
      <w:r w:rsidRPr="00270856">
        <w:t>voorkomen</w:t>
      </w:r>
      <w:r w:rsidRPr="00ED1658">
        <w:t xml:space="preserve"> </w:t>
      </w:r>
      <w:r w:rsidRPr="009178A2">
        <w:t xml:space="preserve">over het al dan niet moeten doen van aangifte in dergelijke gevallen. </w:t>
      </w:r>
      <w:r w:rsidR="00CA53ED">
        <w:t>Indien de verkrijging niet plaatsvindt bij notariële akte zal de verkrijger, o</w:t>
      </w:r>
      <w:r>
        <w:t>m daadwerkelijk aangifte te kunnen doen, eerst om uitnodiging tot het doen van aangifte moeten verzoeken. Hiertoe zal in lagere regelgeving worden voorgeschreven dat de betreffende verkrijger daar binnen een maand na de verkrijging om moet verzoeken. De inspecteur zal vervolgens bij de uitnodiging tot het doen van aangifte een termijn van ten minste een maand stellen waarbinnen de aangifte moet worden gedaan. Als ter zake van de verkrijging waarop een vrijstelling wordt toegepast een notariële akte is opgemaakt, geldt, in afwijking van het voorgaande, dat aangifte wordt gedaan via de notaris – overeenkomstig de huidige praktijk</w:t>
      </w:r>
      <w:r w:rsidRPr="009178A2">
        <w:t xml:space="preserve"> voor </w:t>
      </w:r>
      <w:r>
        <w:t xml:space="preserve">dergelijke </w:t>
      </w:r>
      <w:r w:rsidRPr="009178A2">
        <w:t xml:space="preserve">verkrijgingen waarbij overdrachtsbelasting </w:t>
      </w:r>
      <w:r>
        <w:t>is verschuldigd</w:t>
      </w:r>
      <w:r w:rsidRPr="009178A2">
        <w:t>.</w:t>
      </w:r>
      <w:r>
        <w:t xml:space="preserve"> </w:t>
      </w:r>
    </w:p>
    <w:p w:rsidR="00486C72" w:rsidRPr="00773A13" w:rsidRDefault="00323773" w:rsidP="009D6FC4">
      <w:pPr>
        <w:pStyle w:val="Kop1"/>
        <w:numPr>
          <w:ilvl w:val="0"/>
          <w:numId w:val="23"/>
        </w:numPr>
        <w:rPr>
          <w:rFonts w:ascii="Verdana" w:hAnsi="Verdana"/>
          <w:i/>
          <w:color w:val="auto"/>
          <w:sz w:val="18"/>
        </w:rPr>
      </w:pPr>
      <w:bookmarkStart w:id="37" w:name="_Toc48903476"/>
      <w:bookmarkStart w:id="38" w:name="_Toc48904351"/>
      <w:bookmarkStart w:id="39" w:name="_Toc48904368"/>
      <w:bookmarkStart w:id="40" w:name="_Toc48904385"/>
      <w:bookmarkStart w:id="41" w:name="_Toc45889524"/>
      <w:bookmarkStart w:id="42" w:name="_Toc45889525"/>
      <w:bookmarkStart w:id="43" w:name="_Toc45889526"/>
      <w:bookmarkStart w:id="44" w:name="_Toc45889569"/>
      <w:bookmarkStart w:id="45" w:name="_Toc46407551"/>
      <w:bookmarkStart w:id="46" w:name="_Toc49418735"/>
      <w:bookmarkStart w:id="47" w:name="_Toc50568496"/>
      <w:bookmarkEnd w:id="37"/>
      <w:bookmarkEnd w:id="38"/>
      <w:bookmarkEnd w:id="39"/>
      <w:bookmarkEnd w:id="40"/>
      <w:bookmarkEnd w:id="41"/>
      <w:bookmarkEnd w:id="42"/>
      <w:bookmarkEnd w:id="43"/>
      <w:bookmarkEnd w:id="44"/>
      <w:r w:rsidRPr="00773A13">
        <w:rPr>
          <w:rFonts w:ascii="Verdana" w:hAnsi="Verdana"/>
          <w:i/>
          <w:color w:val="auto"/>
          <w:sz w:val="18"/>
        </w:rPr>
        <w:t xml:space="preserve">Budgettaire </w:t>
      </w:r>
      <w:r w:rsidR="00486C72" w:rsidRPr="00773A13">
        <w:rPr>
          <w:rFonts w:ascii="Verdana" w:hAnsi="Verdana"/>
          <w:i/>
          <w:color w:val="auto"/>
          <w:sz w:val="18"/>
        </w:rPr>
        <w:t>aspecten</w:t>
      </w:r>
      <w:bookmarkEnd w:id="45"/>
      <w:bookmarkEnd w:id="46"/>
      <w:bookmarkEnd w:id="47"/>
    </w:p>
    <w:p w:rsidR="00255864" w:rsidRPr="00277EF0" w:rsidRDefault="00255864" w:rsidP="00277EF0"/>
    <w:p w:rsidR="00620259" w:rsidRPr="0091100C" w:rsidRDefault="00620259" w:rsidP="00620259">
      <w:pPr>
        <w:spacing w:after="0" w:line="360" w:lineRule="auto"/>
        <w:rPr>
          <w:rFonts w:cs="Verdana"/>
          <w:szCs w:val="18"/>
        </w:rPr>
      </w:pPr>
      <w:r w:rsidRPr="00AC7637">
        <w:rPr>
          <w:color w:val="000000" w:themeColor="text1"/>
        </w:rPr>
        <w:lastRenderedPageBreak/>
        <w:t>De</w:t>
      </w:r>
      <w:r>
        <w:rPr>
          <w:color w:val="000000" w:themeColor="text1"/>
        </w:rPr>
        <w:t xml:space="preserve"> kosten</w:t>
      </w:r>
      <w:r w:rsidRPr="001834C2">
        <w:rPr>
          <w:color w:val="000000" w:themeColor="text1"/>
        </w:rPr>
        <w:t xml:space="preserve"> voor </w:t>
      </w:r>
      <w:r>
        <w:rPr>
          <w:color w:val="000000" w:themeColor="text1"/>
        </w:rPr>
        <w:t xml:space="preserve">de startersfaciliteit </w:t>
      </w:r>
      <w:r w:rsidRPr="00AC7637">
        <w:rPr>
          <w:color w:val="000000" w:themeColor="text1"/>
        </w:rPr>
        <w:t>bedra</w:t>
      </w:r>
      <w:r>
        <w:rPr>
          <w:color w:val="000000" w:themeColor="text1"/>
        </w:rPr>
        <w:t>gen</w:t>
      </w:r>
      <w:r w:rsidRPr="00AC7637">
        <w:rPr>
          <w:color w:val="000000" w:themeColor="text1"/>
        </w:rPr>
        <w:t xml:space="preserve"> </w:t>
      </w:r>
      <w:r>
        <w:rPr>
          <w:color w:val="000000" w:themeColor="text1"/>
        </w:rPr>
        <w:t>in 2021</w:t>
      </w:r>
      <w:r w:rsidRPr="00AC7637">
        <w:rPr>
          <w:color w:val="000000" w:themeColor="text1"/>
        </w:rPr>
        <w:t xml:space="preserve"> </w:t>
      </w:r>
      <w:r>
        <w:rPr>
          <w:color w:val="000000" w:themeColor="text1"/>
        </w:rPr>
        <w:t>€ 388</w:t>
      </w:r>
      <w:r w:rsidRPr="001834C2">
        <w:rPr>
          <w:color w:val="000000" w:themeColor="text1"/>
        </w:rPr>
        <w:t xml:space="preserve"> miljoen en </w:t>
      </w:r>
      <w:r>
        <w:rPr>
          <w:color w:val="000000" w:themeColor="text1"/>
        </w:rPr>
        <w:t xml:space="preserve">jaarlijks </w:t>
      </w:r>
      <w:r w:rsidRPr="00AB2C64">
        <w:rPr>
          <w:color w:val="000000" w:themeColor="text1"/>
        </w:rPr>
        <w:t>structureel (</w:t>
      </w:r>
      <w:r>
        <w:rPr>
          <w:color w:val="000000" w:themeColor="text1"/>
        </w:rPr>
        <w:t xml:space="preserve">vanaf </w:t>
      </w:r>
      <w:r w:rsidRPr="00AB2C64">
        <w:rPr>
          <w:color w:val="000000" w:themeColor="text1"/>
        </w:rPr>
        <w:t>2037</w:t>
      </w:r>
      <w:r w:rsidRPr="00AC7637">
        <w:rPr>
          <w:color w:val="000000" w:themeColor="text1"/>
        </w:rPr>
        <w:t>)</w:t>
      </w:r>
      <w:r>
        <w:rPr>
          <w:color w:val="000000" w:themeColor="text1"/>
        </w:rPr>
        <w:t xml:space="preserve"> € 221</w:t>
      </w:r>
      <w:r w:rsidRPr="001834C2">
        <w:rPr>
          <w:color w:val="000000" w:themeColor="text1"/>
        </w:rPr>
        <w:t xml:space="preserve"> miljoen. </w:t>
      </w:r>
      <w:r w:rsidRPr="00FC40C8">
        <w:rPr>
          <w:color w:val="000000" w:themeColor="text1"/>
        </w:rPr>
        <w:t xml:space="preserve">De </w:t>
      </w:r>
      <w:r>
        <w:rPr>
          <w:color w:val="000000" w:themeColor="text1"/>
        </w:rPr>
        <w:t xml:space="preserve">beperking van het verlaagde tarief tot </w:t>
      </w:r>
      <w:r w:rsidRPr="001834C2">
        <w:rPr>
          <w:color w:val="000000" w:themeColor="text1"/>
        </w:rPr>
        <w:t xml:space="preserve">natuurlijke personen die </w:t>
      </w:r>
      <w:r>
        <w:rPr>
          <w:color w:val="000000" w:themeColor="text1"/>
        </w:rPr>
        <w:t>de woning anders dan tijdelijk als hoofdverblijf gaan gebruiken</w:t>
      </w:r>
      <w:r w:rsidR="00993069">
        <w:rPr>
          <w:color w:val="000000" w:themeColor="text1"/>
        </w:rPr>
        <w:t>, zoals beleggers,</w:t>
      </w:r>
      <w:r>
        <w:rPr>
          <w:color w:val="000000" w:themeColor="text1"/>
        </w:rPr>
        <w:t xml:space="preserve"> </w:t>
      </w:r>
      <w:r w:rsidR="00876711">
        <w:rPr>
          <w:color w:val="000000" w:themeColor="text1"/>
        </w:rPr>
        <w:t xml:space="preserve">leidt </w:t>
      </w:r>
      <w:r>
        <w:rPr>
          <w:color w:val="000000" w:themeColor="text1"/>
        </w:rPr>
        <w:t xml:space="preserve">tot </w:t>
      </w:r>
      <w:r w:rsidRPr="00FC40C8">
        <w:rPr>
          <w:color w:val="000000" w:themeColor="text1"/>
        </w:rPr>
        <w:t xml:space="preserve">een budgettaire opbrengst van </w:t>
      </w:r>
      <w:r w:rsidRPr="00802B44">
        <w:rPr>
          <w:color w:val="000000" w:themeColor="text1"/>
        </w:rPr>
        <w:t>€ 600</w:t>
      </w:r>
      <w:r w:rsidRPr="001834C2">
        <w:rPr>
          <w:color w:val="000000" w:themeColor="text1"/>
        </w:rPr>
        <w:t xml:space="preserve"> miljoen </w:t>
      </w:r>
      <w:r w:rsidRPr="00FC40C8">
        <w:rPr>
          <w:color w:val="000000" w:themeColor="text1"/>
        </w:rPr>
        <w:t>jaarlijks structureel vanaf 2021</w:t>
      </w:r>
      <w:r>
        <w:rPr>
          <w:color w:val="000000" w:themeColor="text1"/>
        </w:rPr>
        <w:t xml:space="preserve">. </w:t>
      </w:r>
      <w:r w:rsidRPr="002608D8">
        <w:rPr>
          <w:color w:val="000000" w:themeColor="text1"/>
        </w:rPr>
        <w:t xml:space="preserve">Het verhogen van het algemene tarief naar 8% leidt </w:t>
      </w:r>
      <w:r>
        <w:rPr>
          <w:color w:val="000000" w:themeColor="text1"/>
        </w:rPr>
        <w:t>daarnaast tot</w:t>
      </w:r>
      <w:r w:rsidRPr="002608D8">
        <w:rPr>
          <w:color w:val="000000" w:themeColor="text1"/>
        </w:rPr>
        <w:t xml:space="preserve"> een budgettaire opbrengst van € </w:t>
      </w:r>
      <w:r>
        <w:rPr>
          <w:color w:val="000000" w:themeColor="text1"/>
        </w:rPr>
        <w:t>2</w:t>
      </w:r>
      <w:r w:rsidRPr="002608D8">
        <w:rPr>
          <w:color w:val="000000" w:themeColor="text1"/>
        </w:rPr>
        <w:t>49 miljoen jaarlijks structureel vanaf 2021</w:t>
      </w:r>
      <w:r>
        <w:rPr>
          <w:color w:val="000000" w:themeColor="text1"/>
        </w:rPr>
        <w:t xml:space="preserve"> als gevolg van het hoger belasten van niet-woningen, zoals bedrijf</w:t>
      </w:r>
      <w:r w:rsidR="005C71D6">
        <w:rPr>
          <w:color w:val="000000" w:themeColor="text1"/>
        </w:rPr>
        <w:t>spanden en -terreinen</w:t>
      </w:r>
      <w:r w:rsidRPr="002608D8">
        <w:rPr>
          <w:color w:val="000000" w:themeColor="text1"/>
        </w:rPr>
        <w:t>.</w:t>
      </w:r>
      <w:r>
        <w:rPr>
          <w:color w:val="000000" w:themeColor="text1"/>
        </w:rPr>
        <w:t xml:space="preserve"> </w:t>
      </w:r>
      <w:r w:rsidRPr="00FC40C8">
        <w:rPr>
          <w:color w:val="000000" w:themeColor="text1"/>
        </w:rPr>
        <w:t xml:space="preserve">Per saldo is er in 2021 een budgettair overschot van </w:t>
      </w:r>
      <w:r w:rsidRPr="00802B44">
        <w:rPr>
          <w:color w:val="000000" w:themeColor="text1"/>
        </w:rPr>
        <w:t xml:space="preserve">€ </w:t>
      </w:r>
      <w:r w:rsidRPr="002608D8">
        <w:rPr>
          <w:color w:val="000000" w:themeColor="text1"/>
        </w:rPr>
        <w:t>461</w:t>
      </w:r>
      <w:r w:rsidRPr="001834C2">
        <w:rPr>
          <w:color w:val="000000" w:themeColor="text1"/>
        </w:rPr>
        <w:t xml:space="preserve"> miljoen </w:t>
      </w:r>
      <w:r w:rsidRPr="00FC40C8">
        <w:rPr>
          <w:color w:val="000000" w:themeColor="text1"/>
        </w:rPr>
        <w:t>en structureel (vanaf 203</w:t>
      </w:r>
      <w:r>
        <w:rPr>
          <w:color w:val="000000" w:themeColor="text1"/>
        </w:rPr>
        <w:t>7</w:t>
      </w:r>
      <w:r w:rsidRPr="00FC40C8">
        <w:rPr>
          <w:color w:val="000000" w:themeColor="text1"/>
        </w:rPr>
        <w:t xml:space="preserve">) </w:t>
      </w:r>
      <w:r>
        <w:rPr>
          <w:color w:val="000000" w:themeColor="text1"/>
        </w:rPr>
        <w:t>€ 628</w:t>
      </w:r>
      <w:r w:rsidRPr="00FC40C8">
        <w:rPr>
          <w:color w:val="000000" w:themeColor="text1"/>
        </w:rPr>
        <w:t xml:space="preserve"> miljoen (zie onderstaande tabel).</w:t>
      </w:r>
    </w:p>
    <w:p w:rsidR="003D5195" w:rsidRDefault="003D5195" w:rsidP="003D5195">
      <w:pPr>
        <w:spacing w:after="0" w:line="360" w:lineRule="auto"/>
        <w:rPr>
          <w:color w:val="000000" w:themeColor="text1"/>
        </w:rPr>
      </w:pPr>
    </w:p>
    <w:p w:rsidR="00850662" w:rsidRPr="00850662" w:rsidRDefault="003D5195" w:rsidP="00A705A0">
      <w:pPr>
        <w:spacing w:after="0" w:line="240" w:lineRule="auto"/>
        <w:rPr>
          <w:color w:val="000000" w:themeColor="text1"/>
        </w:rPr>
      </w:pPr>
      <w:r w:rsidRPr="0023379D">
        <w:rPr>
          <w:rFonts w:eastAsia="Times New Roman" w:cs="Times New Roman"/>
          <w:b/>
          <w:bCs/>
          <w:color w:val="171616"/>
        </w:rPr>
        <w:t xml:space="preserve">Tabel: Budgettaire effecten </w:t>
      </w:r>
      <w:r w:rsidR="00620259">
        <w:rPr>
          <w:rFonts w:eastAsia="Times New Roman" w:cs="Times New Roman"/>
          <w:b/>
          <w:bCs/>
          <w:color w:val="171616"/>
        </w:rPr>
        <w:t>wetsvoorstel</w:t>
      </w:r>
      <w:r w:rsidRPr="0023379D">
        <w:rPr>
          <w:rFonts w:eastAsia="Times New Roman" w:cs="Times New Roman"/>
          <w:b/>
          <w:bCs/>
          <w:color w:val="171616"/>
        </w:rPr>
        <w:t xml:space="preserve"> </w:t>
      </w:r>
      <w:bookmarkStart w:id="48" w:name="_Toc48224487"/>
      <w:bookmarkStart w:id="49" w:name="_Toc48234418"/>
      <w:bookmarkStart w:id="50" w:name="_Toc48313358"/>
      <w:bookmarkStart w:id="51" w:name="_Toc46407552"/>
      <w:bookmarkEnd w:id="48"/>
      <w:bookmarkEnd w:id="49"/>
      <w:bookmarkEnd w:id="50"/>
    </w:p>
    <w:tbl>
      <w:tblPr>
        <w:tblStyle w:val="Rastertabel4-Accent1"/>
        <w:tblW w:w="9017" w:type="dxa"/>
        <w:tblLook w:val="04A0" w:firstRow="1" w:lastRow="0" w:firstColumn="1" w:lastColumn="0" w:noHBand="0" w:noVBand="1"/>
      </w:tblPr>
      <w:tblGrid>
        <w:gridCol w:w="2685"/>
        <w:gridCol w:w="996"/>
        <w:gridCol w:w="992"/>
        <w:gridCol w:w="992"/>
        <w:gridCol w:w="993"/>
        <w:gridCol w:w="942"/>
        <w:gridCol w:w="1417"/>
      </w:tblGrid>
      <w:tr w:rsidR="00850662" w:rsidRPr="00620259" w:rsidTr="00BB578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85" w:type="dxa"/>
            <w:noWrap/>
            <w:hideMark/>
          </w:tcPr>
          <w:p w:rsidR="00850662" w:rsidRPr="00620259" w:rsidRDefault="00850662" w:rsidP="00BB578F">
            <w:pPr>
              <w:spacing w:line="240" w:lineRule="auto"/>
              <w:rPr>
                <w:rFonts w:eastAsia="Times New Roman" w:cs="Times New Roman"/>
                <w:bCs w:val="0"/>
                <w:color w:val="FFFFFF"/>
                <w:szCs w:val="18"/>
              </w:rPr>
            </w:pPr>
            <w:r w:rsidRPr="00620259">
              <w:rPr>
                <w:rFonts w:eastAsia="Times New Roman" w:cs="Times New Roman"/>
                <w:bCs w:val="0"/>
                <w:color w:val="FFFFFF"/>
                <w:szCs w:val="18"/>
              </w:rPr>
              <w:t>(Bedragen in mln</w:t>
            </w:r>
            <w:r w:rsidR="00532AAF">
              <w:rPr>
                <w:rFonts w:eastAsia="Times New Roman" w:cs="Times New Roman"/>
                <w:bCs w:val="0"/>
                <w:color w:val="FFFFFF"/>
                <w:szCs w:val="18"/>
              </w:rPr>
              <w:t>.</w:t>
            </w:r>
            <w:r w:rsidRPr="00620259">
              <w:rPr>
                <w:rFonts w:eastAsia="Times New Roman" w:cs="Times New Roman"/>
                <w:bCs w:val="0"/>
                <w:color w:val="FFFFFF"/>
                <w:szCs w:val="18"/>
              </w:rPr>
              <w:t xml:space="preserve"> euro)</w:t>
            </w:r>
          </w:p>
        </w:tc>
        <w:tc>
          <w:tcPr>
            <w:tcW w:w="996" w:type="dxa"/>
            <w:noWrap/>
            <w:hideMark/>
          </w:tcPr>
          <w:p w:rsidR="00850662" w:rsidRPr="00620259" w:rsidRDefault="00850662" w:rsidP="00BB578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FFFFFF"/>
                <w:szCs w:val="18"/>
              </w:rPr>
            </w:pPr>
            <w:r w:rsidRPr="00620259">
              <w:rPr>
                <w:rFonts w:eastAsia="Times New Roman" w:cs="Times New Roman"/>
                <w:bCs w:val="0"/>
                <w:color w:val="FFFFFF"/>
                <w:szCs w:val="18"/>
              </w:rPr>
              <w:t>2021</w:t>
            </w:r>
          </w:p>
        </w:tc>
        <w:tc>
          <w:tcPr>
            <w:tcW w:w="992" w:type="dxa"/>
            <w:noWrap/>
            <w:hideMark/>
          </w:tcPr>
          <w:p w:rsidR="00850662" w:rsidRPr="00620259" w:rsidRDefault="00850662" w:rsidP="00BB578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FFFFFF"/>
                <w:szCs w:val="18"/>
              </w:rPr>
            </w:pPr>
            <w:r w:rsidRPr="00620259">
              <w:rPr>
                <w:rFonts w:eastAsia="Times New Roman" w:cs="Times New Roman"/>
                <w:bCs w:val="0"/>
                <w:color w:val="FFFFFF"/>
                <w:szCs w:val="18"/>
              </w:rPr>
              <w:t>2022</w:t>
            </w:r>
          </w:p>
        </w:tc>
        <w:tc>
          <w:tcPr>
            <w:tcW w:w="992" w:type="dxa"/>
            <w:noWrap/>
            <w:hideMark/>
          </w:tcPr>
          <w:p w:rsidR="00850662" w:rsidRPr="00620259" w:rsidRDefault="00850662" w:rsidP="00BB578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FFFFFF"/>
                <w:szCs w:val="18"/>
              </w:rPr>
            </w:pPr>
            <w:r w:rsidRPr="00620259">
              <w:rPr>
                <w:rFonts w:eastAsia="Times New Roman" w:cs="Times New Roman"/>
                <w:bCs w:val="0"/>
                <w:color w:val="FFFFFF"/>
                <w:szCs w:val="18"/>
              </w:rPr>
              <w:t>2023</w:t>
            </w:r>
          </w:p>
        </w:tc>
        <w:tc>
          <w:tcPr>
            <w:tcW w:w="993" w:type="dxa"/>
          </w:tcPr>
          <w:p w:rsidR="00850662" w:rsidRPr="00620259" w:rsidRDefault="00850662" w:rsidP="00BB578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FFFFFF"/>
                <w:szCs w:val="18"/>
              </w:rPr>
            </w:pPr>
            <w:r w:rsidRPr="00620259">
              <w:rPr>
                <w:rFonts w:eastAsia="Times New Roman" w:cs="Times New Roman"/>
                <w:bCs w:val="0"/>
                <w:color w:val="FFFFFF"/>
                <w:szCs w:val="18"/>
              </w:rPr>
              <w:t>2024</w:t>
            </w:r>
          </w:p>
        </w:tc>
        <w:tc>
          <w:tcPr>
            <w:tcW w:w="942" w:type="dxa"/>
          </w:tcPr>
          <w:p w:rsidR="00850662" w:rsidRPr="00620259" w:rsidRDefault="00850662" w:rsidP="00BB578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FFFFFF"/>
                <w:szCs w:val="18"/>
              </w:rPr>
            </w:pPr>
            <w:r w:rsidRPr="00620259">
              <w:rPr>
                <w:rFonts w:eastAsia="Times New Roman" w:cs="Times New Roman"/>
                <w:bCs w:val="0"/>
                <w:color w:val="FFFFFF"/>
                <w:szCs w:val="18"/>
              </w:rPr>
              <w:t>2025</w:t>
            </w:r>
          </w:p>
        </w:tc>
        <w:tc>
          <w:tcPr>
            <w:tcW w:w="1417" w:type="dxa"/>
            <w:noWrap/>
            <w:hideMark/>
          </w:tcPr>
          <w:p w:rsidR="00850662" w:rsidRPr="00620259" w:rsidRDefault="00850662" w:rsidP="00E45880">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FFFFFF"/>
                <w:szCs w:val="18"/>
              </w:rPr>
            </w:pPr>
            <w:r w:rsidRPr="00620259">
              <w:rPr>
                <w:rFonts w:eastAsia="Times New Roman" w:cs="Times New Roman"/>
                <w:bCs w:val="0"/>
                <w:color w:val="FFFFFF"/>
                <w:szCs w:val="18"/>
              </w:rPr>
              <w:t>203</w:t>
            </w:r>
            <w:r w:rsidR="00E45880" w:rsidRPr="00620259">
              <w:rPr>
                <w:rFonts w:eastAsia="Times New Roman" w:cs="Times New Roman"/>
                <w:bCs w:val="0"/>
                <w:color w:val="FFFFFF"/>
                <w:szCs w:val="18"/>
              </w:rPr>
              <w:t>7</w:t>
            </w:r>
            <w:r w:rsidRPr="00620259">
              <w:rPr>
                <w:rFonts w:eastAsia="Times New Roman" w:cs="Times New Roman"/>
                <w:bCs w:val="0"/>
                <w:color w:val="FFFFFF"/>
                <w:szCs w:val="18"/>
              </w:rPr>
              <w:t xml:space="preserve"> (struc.)</w:t>
            </w:r>
          </w:p>
        </w:tc>
      </w:tr>
      <w:tr w:rsidR="00850662" w:rsidRPr="00620259" w:rsidTr="00BB578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85" w:type="dxa"/>
            <w:hideMark/>
          </w:tcPr>
          <w:p w:rsidR="00850662" w:rsidRPr="00620259" w:rsidRDefault="00850662" w:rsidP="00850662">
            <w:pPr>
              <w:spacing w:line="240" w:lineRule="auto"/>
              <w:rPr>
                <w:rFonts w:eastAsia="Times New Roman" w:cs="Times New Roman"/>
                <w:b w:val="0"/>
                <w:color w:val="171616"/>
                <w:szCs w:val="18"/>
              </w:rPr>
            </w:pPr>
            <w:r w:rsidRPr="00620259">
              <w:rPr>
                <w:rFonts w:eastAsia="Times New Roman" w:cs="Times New Roman"/>
                <w:b w:val="0"/>
                <w:color w:val="171616"/>
                <w:szCs w:val="18"/>
              </w:rPr>
              <w:t xml:space="preserve">1. Raming vrijstelling starters </w:t>
            </w:r>
          </w:p>
        </w:tc>
        <w:tc>
          <w:tcPr>
            <w:tcW w:w="996" w:type="dxa"/>
            <w:noWrap/>
            <w:vAlign w:val="bottom"/>
            <w:hideMark/>
          </w:tcPr>
          <w:p w:rsidR="00850662" w:rsidRPr="00620259" w:rsidRDefault="00850662" w:rsidP="0085066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171616"/>
                <w:szCs w:val="18"/>
              </w:rPr>
            </w:pPr>
            <w:r w:rsidRPr="00620259">
              <w:rPr>
                <w:color w:val="000000"/>
                <w:szCs w:val="18"/>
                <w:lang w:eastAsia="nl-NL"/>
              </w:rPr>
              <w:t>-388</w:t>
            </w:r>
          </w:p>
        </w:tc>
        <w:tc>
          <w:tcPr>
            <w:tcW w:w="992" w:type="dxa"/>
            <w:noWrap/>
            <w:vAlign w:val="bottom"/>
            <w:hideMark/>
          </w:tcPr>
          <w:p w:rsidR="00850662" w:rsidRPr="00620259" w:rsidRDefault="00850662" w:rsidP="0085066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171616"/>
                <w:szCs w:val="18"/>
              </w:rPr>
            </w:pPr>
            <w:r w:rsidRPr="00620259">
              <w:rPr>
                <w:color w:val="000000"/>
                <w:szCs w:val="18"/>
                <w:lang w:eastAsia="nl-NL"/>
              </w:rPr>
              <w:t>-374</w:t>
            </w:r>
          </w:p>
        </w:tc>
        <w:tc>
          <w:tcPr>
            <w:tcW w:w="992" w:type="dxa"/>
            <w:noWrap/>
            <w:vAlign w:val="bottom"/>
            <w:hideMark/>
          </w:tcPr>
          <w:p w:rsidR="00850662" w:rsidRPr="00620259" w:rsidRDefault="00850662" w:rsidP="0085066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171616"/>
                <w:szCs w:val="18"/>
              </w:rPr>
            </w:pPr>
            <w:r w:rsidRPr="00620259">
              <w:rPr>
                <w:color w:val="000000"/>
                <w:szCs w:val="18"/>
                <w:lang w:eastAsia="nl-NL"/>
              </w:rPr>
              <w:t>-359</w:t>
            </w:r>
          </w:p>
        </w:tc>
        <w:tc>
          <w:tcPr>
            <w:tcW w:w="993" w:type="dxa"/>
            <w:vAlign w:val="bottom"/>
          </w:tcPr>
          <w:p w:rsidR="00850662" w:rsidRPr="00620259" w:rsidRDefault="00850662" w:rsidP="0085066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szCs w:val="18"/>
                <w:lang w:eastAsia="nl-NL"/>
              </w:rPr>
            </w:pPr>
            <w:r w:rsidRPr="00620259">
              <w:rPr>
                <w:color w:val="000000"/>
                <w:szCs w:val="18"/>
                <w:lang w:eastAsia="nl-NL"/>
              </w:rPr>
              <w:t>-345</w:t>
            </w:r>
          </w:p>
        </w:tc>
        <w:tc>
          <w:tcPr>
            <w:tcW w:w="942" w:type="dxa"/>
            <w:vAlign w:val="bottom"/>
          </w:tcPr>
          <w:p w:rsidR="00850662" w:rsidRPr="00620259" w:rsidRDefault="00850662" w:rsidP="0085066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szCs w:val="18"/>
                <w:lang w:eastAsia="nl-NL"/>
              </w:rPr>
            </w:pPr>
            <w:r w:rsidRPr="00620259">
              <w:rPr>
                <w:color w:val="000000"/>
                <w:szCs w:val="18"/>
                <w:lang w:eastAsia="nl-NL"/>
              </w:rPr>
              <w:t>-330</w:t>
            </w:r>
          </w:p>
        </w:tc>
        <w:tc>
          <w:tcPr>
            <w:tcW w:w="1417" w:type="dxa"/>
            <w:noWrap/>
            <w:vAlign w:val="bottom"/>
            <w:hideMark/>
          </w:tcPr>
          <w:p w:rsidR="00850662" w:rsidRPr="00620259" w:rsidRDefault="00850662" w:rsidP="0085066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171616"/>
                <w:szCs w:val="18"/>
              </w:rPr>
            </w:pPr>
            <w:r w:rsidRPr="00620259">
              <w:rPr>
                <w:color w:val="000000"/>
                <w:szCs w:val="18"/>
                <w:lang w:eastAsia="nl-NL"/>
              </w:rPr>
              <w:t>-221</w:t>
            </w:r>
          </w:p>
        </w:tc>
      </w:tr>
      <w:tr w:rsidR="00850662" w:rsidRPr="00620259" w:rsidTr="00BB578F">
        <w:trPr>
          <w:trHeight w:val="315"/>
        </w:trPr>
        <w:tc>
          <w:tcPr>
            <w:cnfStyle w:val="001000000000" w:firstRow="0" w:lastRow="0" w:firstColumn="1" w:lastColumn="0" w:oddVBand="0" w:evenVBand="0" w:oddHBand="0" w:evenHBand="0" w:firstRowFirstColumn="0" w:firstRowLastColumn="0" w:lastRowFirstColumn="0" w:lastRowLastColumn="0"/>
            <w:tcW w:w="2685" w:type="dxa"/>
            <w:hideMark/>
          </w:tcPr>
          <w:p w:rsidR="00850662" w:rsidRPr="00620259" w:rsidRDefault="00850662" w:rsidP="00566C4C">
            <w:pPr>
              <w:spacing w:line="240" w:lineRule="auto"/>
              <w:rPr>
                <w:rFonts w:eastAsia="Times New Roman" w:cs="Times New Roman"/>
                <w:b w:val="0"/>
                <w:color w:val="171616"/>
                <w:szCs w:val="18"/>
              </w:rPr>
            </w:pPr>
            <w:r w:rsidRPr="00620259">
              <w:rPr>
                <w:rFonts w:eastAsia="Times New Roman" w:cs="Times New Roman"/>
                <w:b w:val="0"/>
                <w:color w:val="171616"/>
                <w:szCs w:val="18"/>
              </w:rPr>
              <w:t>2. Raming beperking verlaagde tarief van 2%</w:t>
            </w:r>
            <w:r w:rsidR="00E45880" w:rsidRPr="00620259">
              <w:rPr>
                <w:rFonts w:eastAsia="Times New Roman" w:cs="Times New Roman"/>
                <w:b w:val="0"/>
                <w:color w:val="171616"/>
                <w:szCs w:val="18"/>
              </w:rPr>
              <w:t xml:space="preserve"> (algemeen tarief 8%)</w:t>
            </w:r>
          </w:p>
        </w:tc>
        <w:tc>
          <w:tcPr>
            <w:tcW w:w="996" w:type="dxa"/>
            <w:noWrap/>
            <w:vAlign w:val="bottom"/>
            <w:hideMark/>
          </w:tcPr>
          <w:p w:rsidR="00850662" w:rsidRPr="00620259" w:rsidRDefault="00850662" w:rsidP="0085066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171616"/>
                <w:szCs w:val="18"/>
              </w:rPr>
            </w:pPr>
            <w:r w:rsidRPr="00620259">
              <w:rPr>
                <w:color w:val="000000"/>
                <w:szCs w:val="18"/>
                <w:lang w:eastAsia="nl-NL"/>
              </w:rPr>
              <w:t>600</w:t>
            </w:r>
          </w:p>
        </w:tc>
        <w:tc>
          <w:tcPr>
            <w:tcW w:w="992" w:type="dxa"/>
            <w:noWrap/>
            <w:vAlign w:val="bottom"/>
            <w:hideMark/>
          </w:tcPr>
          <w:p w:rsidR="00850662" w:rsidRPr="00620259" w:rsidRDefault="00850662" w:rsidP="0085066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171616"/>
                <w:szCs w:val="18"/>
              </w:rPr>
            </w:pPr>
            <w:r w:rsidRPr="00620259">
              <w:rPr>
                <w:color w:val="000000"/>
                <w:szCs w:val="18"/>
                <w:lang w:eastAsia="nl-NL"/>
              </w:rPr>
              <w:t>600</w:t>
            </w:r>
          </w:p>
        </w:tc>
        <w:tc>
          <w:tcPr>
            <w:tcW w:w="992" w:type="dxa"/>
            <w:noWrap/>
            <w:vAlign w:val="bottom"/>
            <w:hideMark/>
          </w:tcPr>
          <w:p w:rsidR="00850662" w:rsidRPr="00620259" w:rsidRDefault="00850662" w:rsidP="0085066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171616"/>
                <w:szCs w:val="18"/>
              </w:rPr>
            </w:pPr>
            <w:r w:rsidRPr="00620259">
              <w:rPr>
                <w:color w:val="000000"/>
                <w:szCs w:val="18"/>
                <w:lang w:eastAsia="nl-NL"/>
              </w:rPr>
              <w:t>600</w:t>
            </w:r>
          </w:p>
        </w:tc>
        <w:tc>
          <w:tcPr>
            <w:tcW w:w="993" w:type="dxa"/>
            <w:vAlign w:val="bottom"/>
          </w:tcPr>
          <w:p w:rsidR="00850662" w:rsidRPr="00620259" w:rsidRDefault="00850662" w:rsidP="0085066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Cs w:val="18"/>
              </w:rPr>
            </w:pPr>
            <w:r w:rsidRPr="00620259">
              <w:rPr>
                <w:color w:val="000000"/>
                <w:szCs w:val="18"/>
                <w:lang w:eastAsia="nl-NL"/>
              </w:rPr>
              <w:t>600</w:t>
            </w:r>
          </w:p>
        </w:tc>
        <w:tc>
          <w:tcPr>
            <w:tcW w:w="942" w:type="dxa"/>
            <w:vAlign w:val="bottom"/>
          </w:tcPr>
          <w:p w:rsidR="00850662" w:rsidRPr="00620259" w:rsidRDefault="00850662" w:rsidP="00850662">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Cs w:val="18"/>
              </w:rPr>
            </w:pPr>
            <w:r w:rsidRPr="00620259">
              <w:rPr>
                <w:color w:val="000000"/>
                <w:szCs w:val="18"/>
                <w:lang w:eastAsia="nl-NL"/>
              </w:rPr>
              <w:t>600</w:t>
            </w:r>
          </w:p>
        </w:tc>
        <w:tc>
          <w:tcPr>
            <w:tcW w:w="1417" w:type="dxa"/>
            <w:noWrap/>
            <w:vAlign w:val="bottom"/>
            <w:hideMark/>
          </w:tcPr>
          <w:p w:rsidR="00850662" w:rsidRPr="00620259" w:rsidRDefault="00850662" w:rsidP="0085066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171616"/>
                <w:szCs w:val="18"/>
              </w:rPr>
            </w:pPr>
            <w:r w:rsidRPr="00620259">
              <w:rPr>
                <w:color w:val="000000"/>
                <w:szCs w:val="18"/>
                <w:lang w:eastAsia="nl-NL"/>
              </w:rPr>
              <w:t>600</w:t>
            </w:r>
          </w:p>
        </w:tc>
      </w:tr>
      <w:tr w:rsidR="00850662" w:rsidRPr="00620259" w:rsidTr="00E45880">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685" w:type="dxa"/>
          </w:tcPr>
          <w:p w:rsidR="00850662" w:rsidRPr="00620259" w:rsidRDefault="00850662" w:rsidP="00620259">
            <w:pPr>
              <w:spacing w:line="240" w:lineRule="auto"/>
              <w:rPr>
                <w:rFonts w:eastAsia="Times New Roman" w:cs="Times New Roman"/>
                <w:b w:val="0"/>
                <w:color w:val="171616"/>
                <w:szCs w:val="18"/>
              </w:rPr>
            </w:pPr>
            <w:r w:rsidRPr="00620259">
              <w:rPr>
                <w:rFonts w:eastAsia="Times New Roman" w:cs="Times New Roman"/>
                <w:b w:val="0"/>
                <w:color w:val="171616"/>
                <w:szCs w:val="18"/>
              </w:rPr>
              <w:t>3. Verhoging algemene tarief overdrachtsbelasting (effect niet-woningen</w:t>
            </w:r>
            <w:r w:rsidR="00620259" w:rsidRPr="00620259">
              <w:rPr>
                <w:rFonts w:eastAsia="Times New Roman" w:cs="Times New Roman"/>
                <w:b w:val="0"/>
                <w:color w:val="171616"/>
                <w:szCs w:val="18"/>
              </w:rPr>
              <w:t>)</w:t>
            </w:r>
          </w:p>
        </w:tc>
        <w:tc>
          <w:tcPr>
            <w:tcW w:w="996" w:type="dxa"/>
            <w:noWrap/>
            <w:vAlign w:val="bottom"/>
          </w:tcPr>
          <w:p w:rsidR="00850662" w:rsidRPr="00620259" w:rsidRDefault="00850662" w:rsidP="0085066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18"/>
              </w:rPr>
            </w:pPr>
            <w:r w:rsidRPr="00620259">
              <w:rPr>
                <w:color w:val="000000"/>
                <w:szCs w:val="18"/>
                <w:lang w:eastAsia="nl-NL"/>
              </w:rPr>
              <w:t>249</w:t>
            </w:r>
          </w:p>
        </w:tc>
        <w:tc>
          <w:tcPr>
            <w:tcW w:w="992" w:type="dxa"/>
            <w:noWrap/>
            <w:vAlign w:val="bottom"/>
          </w:tcPr>
          <w:p w:rsidR="00850662" w:rsidRPr="00620259" w:rsidRDefault="00850662" w:rsidP="0085066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18"/>
              </w:rPr>
            </w:pPr>
            <w:r w:rsidRPr="00620259">
              <w:rPr>
                <w:color w:val="000000"/>
                <w:szCs w:val="18"/>
                <w:lang w:eastAsia="nl-NL"/>
              </w:rPr>
              <w:t>249</w:t>
            </w:r>
          </w:p>
        </w:tc>
        <w:tc>
          <w:tcPr>
            <w:tcW w:w="992" w:type="dxa"/>
            <w:noWrap/>
            <w:vAlign w:val="bottom"/>
          </w:tcPr>
          <w:p w:rsidR="00850662" w:rsidRPr="00620259" w:rsidRDefault="00850662" w:rsidP="0085066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18"/>
              </w:rPr>
            </w:pPr>
            <w:r w:rsidRPr="00620259">
              <w:rPr>
                <w:color w:val="000000"/>
                <w:szCs w:val="18"/>
                <w:lang w:eastAsia="nl-NL"/>
              </w:rPr>
              <w:t>249</w:t>
            </w:r>
          </w:p>
        </w:tc>
        <w:tc>
          <w:tcPr>
            <w:tcW w:w="993" w:type="dxa"/>
            <w:vAlign w:val="bottom"/>
          </w:tcPr>
          <w:p w:rsidR="00850662" w:rsidRPr="00620259" w:rsidRDefault="00850662" w:rsidP="0085066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18"/>
              </w:rPr>
            </w:pPr>
            <w:r w:rsidRPr="00620259">
              <w:rPr>
                <w:color w:val="000000"/>
                <w:szCs w:val="18"/>
                <w:lang w:eastAsia="nl-NL"/>
              </w:rPr>
              <w:t>249</w:t>
            </w:r>
          </w:p>
        </w:tc>
        <w:tc>
          <w:tcPr>
            <w:tcW w:w="942" w:type="dxa"/>
            <w:vAlign w:val="bottom"/>
          </w:tcPr>
          <w:p w:rsidR="00850662" w:rsidRPr="00620259" w:rsidRDefault="00850662" w:rsidP="0085066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18"/>
              </w:rPr>
            </w:pPr>
            <w:r w:rsidRPr="00620259">
              <w:rPr>
                <w:color w:val="000000"/>
                <w:szCs w:val="18"/>
                <w:lang w:eastAsia="nl-NL"/>
              </w:rPr>
              <w:t>249</w:t>
            </w:r>
          </w:p>
        </w:tc>
        <w:tc>
          <w:tcPr>
            <w:tcW w:w="1417" w:type="dxa"/>
            <w:noWrap/>
            <w:vAlign w:val="bottom"/>
          </w:tcPr>
          <w:p w:rsidR="00850662" w:rsidRPr="00620259" w:rsidRDefault="00850662" w:rsidP="00850662">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18"/>
              </w:rPr>
            </w:pPr>
            <w:r w:rsidRPr="00620259">
              <w:rPr>
                <w:color w:val="000000"/>
                <w:szCs w:val="18"/>
                <w:lang w:eastAsia="nl-NL"/>
              </w:rPr>
              <w:t>249</w:t>
            </w:r>
          </w:p>
        </w:tc>
      </w:tr>
      <w:tr w:rsidR="00850662" w:rsidRPr="00620259" w:rsidTr="00BB578F">
        <w:trPr>
          <w:trHeight w:val="315"/>
        </w:trPr>
        <w:tc>
          <w:tcPr>
            <w:cnfStyle w:val="001000000000" w:firstRow="0" w:lastRow="0" w:firstColumn="1" w:lastColumn="0" w:oddVBand="0" w:evenVBand="0" w:oddHBand="0" w:evenHBand="0" w:firstRowFirstColumn="0" w:firstRowLastColumn="0" w:lastRowFirstColumn="0" w:lastRowLastColumn="0"/>
            <w:tcW w:w="2685" w:type="dxa"/>
            <w:shd w:val="clear" w:color="auto" w:fill="5B9BD5" w:themeFill="accent1"/>
            <w:noWrap/>
            <w:hideMark/>
          </w:tcPr>
          <w:p w:rsidR="00850662" w:rsidRPr="00620259" w:rsidRDefault="00620259" w:rsidP="00620259">
            <w:pPr>
              <w:spacing w:line="240" w:lineRule="auto"/>
              <w:rPr>
                <w:rFonts w:eastAsia="Times New Roman" w:cs="Times New Roman"/>
                <w:bCs w:val="0"/>
                <w:color w:val="FFFFFF"/>
                <w:szCs w:val="18"/>
              </w:rPr>
            </w:pPr>
            <w:r w:rsidRPr="00620259">
              <w:rPr>
                <w:rFonts w:eastAsia="Times New Roman" w:cs="Times New Roman"/>
                <w:bCs w:val="0"/>
                <w:color w:val="FFFFFF"/>
                <w:szCs w:val="18"/>
              </w:rPr>
              <w:t>Saldo</w:t>
            </w:r>
          </w:p>
        </w:tc>
        <w:tc>
          <w:tcPr>
            <w:tcW w:w="996" w:type="dxa"/>
            <w:shd w:val="clear" w:color="auto" w:fill="5B9BD5" w:themeFill="accent1"/>
            <w:noWrap/>
            <w:vAlign w:val="bottom"/>
            <w:hideMark/>
          </w:tcPr>
          <w:p w:rsidR="00850662" w:rsidRPr="00620259" w:rsidRDefault="00850662" w:rsidP="0085066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FFFFFF" w:themeColor="background1"/>
                <w:szCs w:val="18"/>
              </w:rPr>
            </w:pPr>
            <w:r w:rsidRPr="00620259">
              <w:rPr>
                <w:b/>
                <w:bCs/>
                <w:color w:val="FFFFFF" w:themeColor="background1"/>
                <w:szCs w:val="18"/>
                <w:lang w:eastAsia="nl-NL"/>
              </w:rPr>
              <w:t>461</w:t>
            </w:r>
          </w:p>
        </w:tc>
        <w:tc>
          <w:tcPr>
            <w:tcW w:w="992" w:type="dxa"/>
            <w:shd w:val="clear" w:color="auto" w:fill="5B9BD5" w:themeFill="accent1"/>
            <w:noWrap/>
            <w:vAlign w:val="bottom"/>
            <w:hideMark/>
          </w:tcPr>
          <w:p w:rsidR="00850662" w:rsidRPr="00620259" w:rsidRDefault="00850662" w:rsidP="0085066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FFFFFF" w:themeColor="background1"/>
                <w:szCs w:val="18"/>
              </w:rPr>
            </w:pPr>
            <w:r w:rsidRPr="00620259">
              <w:rPr>
                <w:b/>
                <w:bCs/>
                <w:color w:val="FFFFFF" w:themeColor="background1"/>
                <w:szCs w:val="18"/>
                <w:lang w:eastAsia="nl-NL"/>
              </w:rPr>
              <w:t>475</w:t>
            </w:r>
          </w:p>
        </w:tc>
        <w:tc>
          <w:tcPr>
            <w:tcW w:w="992" w:type="dxa"/>
            <w:shd w:val="clear" w:color="auto" w:fill="5B9BD5" w:themeFill="accent1"/>
            <w:noWrap/>
            <w:vAlign w:val="bottom"/>
            <w:hideMark/>
          </w:tcPr>
          <w:p w:rsidR="00850662" w:rsidRPr="00620259" w:rsidRDefault="00850662" w:rsidP="0085066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FFFFFF" w:themeColor="background1"/>
                <w:szCs w:val="18"/>
              </w:rPr>
            </w:pPr>
            <w:r w:rsidRPr="00620259">
              <w:rPr>
                <w:b/>
                <w:bCs/>
                <w:color w:val="FFFFFF" w:themeColor="background1"/>
                <w:szCs w:val="18"/>
                <w:lang w:eastAsia="nl-NL"/>
              </w:rPr>
              <w:t>490</w:t>
            </w:r>
          </w:p>
        </w:tc>
        <w:tc>
          <w:tcPr>
            <w:tcW w:w="993" w:type="dxa"/>
            <w:shd w:val="clear" w:color="auto" w:fill="5B9BD5" w:themeFill="accent1"/>
            <w:vAlign w:val="bottom"/>
          </w:tcPr>
          <w:p w:rsidR="00850662" w:rsidRPr="00620259" w:rsidRDefault="00850662" w:rsidP="0085066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FFFFFF" w:themeColor="background1"/>
                <w:szCs w:val="18"/>
              </w:rPr>
            </w:pPr>
            <w:r w:rsidRPr="00620259">
              <w:rPr>
                <w:b/>
                <w:bCs/>
                <w:color w:val="FFFFFF" w:themeColor="background1"/>
                <w:szCs w:val="18"/>
                <w:lang w:eastAsia="nl-NL"/>
              </w:rPr>
              <w:t>504</w:t>
            </w:r>
          </w:p>
        </w:tc>
        <w:tc>
          <w:tcPr>
            <w:tcW w:w="942" w:type="dxa"/>
            <w:shd w:val="clear" w:color="auto" w:fill="5B9BD5" w:themeFill="accent1"/>
            <w:vAlign w:val="bottom"/>
          </w:tcPr>
          <w:p w:rsidR="00850662" w:rsidRPr="00620259" w:rsidRDefault="00850662" w:rsidP="0085066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FFFFFF" w:themeColor="background1"/>
                <w:szCs w:val="18"/>
              </w:rPr>
            </w:pPr>
            <w:r w:rsidRPr="00620259">
              <w:rPr>
                <w:b/>
                <w:bCs/>
                <w:color w:val="FFFFFF" w:themeColor="background1"/>
                <w:szCs w:val="18"/>
                <w:lang w:eastAsia="nl-NL"/>
              </w:rPr>
              <w:t>519</w:t>
            </w:r>
          </w:p>
        </w:tc>
        <w:tc>
          <w:tcPr>
            <w:tcW w:w="1417" w:type="dxa"/>
            <w:shd w:val="clear" w:color="auto" w:fill="5B9BD5" w:themeFill="accent1"/>
            <w:noWrap/>
            <w:vAlign w:val="bottom"/>
            <w:hideMark/>
          </w:tcPr>
          <w:p w:rsidR="00850662" w:rsidRPr="00620259" w:rsidRDefault="00850662" w:rsidP="0085066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FFFFFF" w:themeColor="background1"/>
                <w:szCs w:val="18"/>
              </w:rPr>
            </w:pPr>
            <w:r w:rsidRPr="00620259">
              <w:rPr>
                <w:b/>
                <w:bCs/>
                <w:color w:val="FFFFFF" w:themeColor="background1"/>
                <w:szCs w:val="18"/>
                <w:lang w:eastAsia="nl-NL"/>
              </w:rPr>
              <w:t>628</w:t>
            </w:r>
          </w:p>
        </w:tc>
      </w:tr>
    </w:tbl>
    <w:p w:rsidR="00031B0F" w:rsidRPr="00031B0F" w:rsidRDefault="00031B0F" w:rsidP="00031B0F">
      <w:pPr>
        <w:pStyle w:val="Kop1"/>
        <w:numPr>
          <w:ilvl w:val="0"/>
          <w:numId w:val="23"/>
        </w:numPr>
        <w:rPr>
          <w:rFonts w:ascii="Verdana" w:hAnsi="Verdana"/>
          <w:i/>
          <w:color w:val="auto"/>
          <w:sz w:val="18"/>
        </w:rPr>
      </w:pPr>
      <w:bookmarkStart w:id="52" w:name="_Toc50568497"/>
      <w:r>
        <w:rPr>
          <w:rFonts w:ascii="Verdana" w:hAnsi="Verdana"/>
          <w:i/>
          <w:color w:val="auto"/>
          <w:sz w:val="18"/>
        </w:rPr>
        <w:t>Evaluatie en horizonbepaling</w:t>
      </w:r>
      <w:bookmarkEnd w:id="52"/>
    </w:p>
    <w:p w:rsidR="00031B0F" w:rsidRPr="00046FC3" w:rsidRDefault="00031B0F" w:rsidP="00031B0F">
      <w:pPr>
        <w:spacing w:after="0" w:line="360" w:lineRule="auto"/>
      </w:pPr>
      <w:r w:rsidRPr="0095653D">
        <w:t>Met het wetvoorstel wordt beoogd om</w:t>
      </w:r>
      <w:r w:rsidRPr="00031B0F">
        <w:t xml:space="preserve"> de positie van starters op de woningmarkt ten opzichte van beleggers te verbeteren.</w:t>
      </w:r>
      <w:r>
        <w:t xml:space="preserve"> Doordat de starter</w:t>
      </w:r>
      <w:r w:rsidR="008128D5">
        <w:t>s</w:t>
      </w:r>
      <w:r>
        <w:t>maatregel de kosten koper van starters verlaag</w:t>
      </w:r>
      <w:r w:rsidR="008128D5">
        <w:t>t</w:t>
      </w:r>
      <w:r>
        <w:t xml:space="preserve"> en de beperking van het verlaagde tarief de kosten koper van de beleggers verhoog</w:t>
      </w:r>
      <w:r w:rsidR="008128D5">
        <w:t>t</w:t>
      </w:r>
      <w:r>
        <w:t xml:space="preserve">, wordt verwacht dat hiermee het aantal woningtransacties door starters toeneemt en de woningtransacties door beleggers afneemt. </w:t>
      </w:r>
      <w:r w:rsidR="00A61B98">
        <w:rPr>
          <w:rFonts w:eastAsia="PMingLiU" w:cs="Times New Roman"/>
          <w:szCs w:val="18"/>
          <w:lang w:eastAsia="zh-TW"/>
        </w:rPr>
        <w:t xml:space="preserve">Het kabinet vindt het </w:t>
      </w:r>
      <w:r w:rsidR="00046FC3">
        <w:rPr>
          <w:rFonts w:eastAsia="PMingLiU" w:cs="Times New Roman"/>
          <w:szCs w:val="18"/>
          <w:lang w:eastAsia="zh-TW"/>
        </w:rPr>
        <w:t>belangrijk om de daadwerkelijke</w:t>
      </w:r>
      <w:r w:rsidR="00603ACB" w:rsidRPr="00332523">
        <w:rPr>
          <w:rFonts w:eastAsia="PMingLiU" w:cs="Times New Roman"/>
          <w:szCs w:val="18"/>
          <w:lang w:eastAsia="zh-TW"/>
        </w:rPr>
        <w:t xml:space="preserve"> </w:t>
      </w:r>
      <w:r w:rsidR="00603ACB">
        <w:rPr>
          <w:rFonts w:eastAsia="PMingLiU" w:cs="Times New Roman"/>
          <w:szCs w:val="18"/>
          <w:lang w:eastAsia="zh-TW"/>
        </w:rPr>
        <w:t xml:space="preserve">effecten van de maatregelen te evalueren. Het budgettair beslag van de </w:t>
      </w:r>
      <w:r w:rsidR="00A61B98">
        <w:rPr>
          <w:rFonts w:eastAsia="PMingLiU" w:cs="Times New Roman"/>
          <w:szCs w:val="18"/>
          <w:lang w:eastAsia="zh-TW"/>
        </w:rPr>
        <w:t>starters</w:t>
      </w:r>
      <w:r w:rsidR="00603ACB">
        <w:rPr>
          <w:rFonts w:eastAsia="PMingLiU" w:cs="Times New Roman"/>
          <w:szCs w:val="18"/>
          <w:lang w:eastAsia="zh-TW"/>
        </w:rPr>
        <w:t>maatregel is aanzienlijk en de onzekerheid over de daadwerkelijk effecten op de positie van starters op een woningmarkt, die gekenmerkt wordt door aanzienlijke aanbodbeperkingen, is</w:t>
      </w:r>
      <w:r w:rsidR="00603ACB" w:rsidRPr="00603ACB">
        <w:rPr>
          <w:rFonts w:eastAsia="PMingLiU" w:cs="Times New Roman"/>
          <w:szCs w:val="18"/>
          <w:lang w:eastAsia="zh-TW"/>
        </w:rPr>
        <w:t xml:space="preserve"> </w:t>
      </w:r>
      <w:r w:rsidR="00603ACB">
        <w:rPr>
          <w:rFonts w:eastAsia="PMingLiU" w:cs="Times New Roman"/>
          <w:szCs w:val="18"/>
          <w:lang w:eastAsia="zh-TW"/>
        </w:rPr>
        <w:t xml:space="preserve">ongewis. </w:t>
      </w:r>
      <w:r w:rsidRPr="00031B0F">
        <w:t>Of</w:t>
      </w:r>
      <w:r w:rsidR="00603ACB">
        <w:t xml:space="preserve"> de beoogde doelstellingen worden gerealiseerd</w:t>
      </w:r>
      <w:r w:rsidRPr="00031B0F">
        <w:t xml:space="preserve">, en of dit met de voorgestelde maatregelen op doeltreffend en doelmatige wijze gebeurt, zal </w:t>
      </w:r>
      <w:r w:rsidR="00603ACB">
        <w:t xml:space="preserve">daarom </w:t>
      </w:r>
      <w:r w:rsidRPr="00031B0F">
        <w:t xml:space="preserve">geëvalueerd worden. Het voornemen is </w:t>
      </w:r>
      <w:r>
        <w:t xml:space="preserve">om </w:t>
      </w:r>
      <w:r w:rsidRPr="00031B0F">
        <w:t>hiermee te starten in de loop van 2</w:t>
      </w:r>
      <w:r w:rsidRPr="006F2C2A">
        <w:t>024. De resultaten zullen in het voorj</w:t>
      </w:r>
      <w:r w:rsidR="00046FC3">
        <w:t>aar van 2025 beschikbaar komen.</w:t>
      </w:r>
    </w:p>
    <w:p w:rsidR="00031B0F" w:rsidRPr="00031B0F" w:rsidRDefault="00031B0F" w:rsidP="00031B0F">
      <w:pPr>
        <w:spacing w:after="0"/>
      </w:pPr>
    </w:p>
    <w:p w:rsidR="00031B0F" w:rsidRPr="0095653D" w:rsidRDefault="00031B0F" w:rsidP="00031B0F">
      <w:pPr>
        <w:spacing w:after="0" w:line="360" w:lineRule="auto"/>
      </w:pPr>
      <w:r>
        <w:t xml:space="preserve">De evaluatie zal </w:t>
      </w:r>
      <w:r w:rsidR="00BE0450">
        <w:t xml:space="preserve">betrekking hebben op </w:t>
      </w:r>
      <w:r>
        <w:t xml:space="preserve">de startersmaatregel, waarvoor </w:t>
      </w:r>
      <w:r w:rsidR="00A61B98">
        <w:t>ook een</w:t>
      </w:r>
      <w:r>
        <w:t xml:space="preserve"> horizonbepaling geldt, en </w:t>
      </w:r>
      <w:r w:rsidR="00BE0450">
        <w:t>het hoofdverblijfcriterium</w:t>
      </w:r>
      <w:r>
        <w:t xml:space="preserve">. </w:t>
      </w:r>
      <w:r w:rsidRPr="006F2C2A">
        <w:t>In deze evaluatie zal gekeken worden naar de doelmatigheid en doeltreffendheid van de voorgestelde maatregelen,</w:t>
      </w:r>
      <w:r>
        <w:t xml:space="preserve"> </w:t>
      </w:r>
      <w:r w:rsidRPr="0095653D">
        <w:t>waarbij onder andere in ogenschouw zal worden genomen:</w:t>
      </w:r>
    </w:p>
    <w:p w:rsidR="00031B0F" w:rsidRPr="00031B0F" w:rsidRDefault="00532AAF" w:rsidP="00031B0F">
      <w:pPr>
        <w:pStyle w:val="Lijstalinea"/>
        <w:numPr>
          <w:ilvl w:val="0"/>
          <w:numId w:val="26"/>
        </w:numPr>
        <w:spacing w:after="0" w:line="360" w:lineRule="auto"/>
      </w:pPr>
      <w:r>
        <w:t>D</w:t>
      </w:r>
      <w:r w:rsidR="00031B0F" w:rsidRPr="0095653D">
        <w:t xml:space="preserve">e ontwikkeling van het aantal transacties naar hoogte van </w:t>
      </w:r>
      <w:r w:rsidR="00057D6F">
        <w:t>het</w:t>
      </w:r>
      <w:r w:rsidR="00031B0F" w:rsidRPr="0095653D">
        <w:t xml:space="preserve"> tarief van de overdrachtsbelasting dat van toepassing is</w:t>
      </w:r>
      <w:r w:rsidR="00031B0F" w:rsidRPr="00031B0F">
        <w:t>;</w:t>
      </w:r>
    </w:p>
    <w:p w:rsidR="00031B0F" w:rsidRPr="006F2C2A" w:rsidRDefault="00532AAF" w:rsidP="00031B0F">
      <w:pPr>
        <w:pStyle w:val="Lijstalinea"/>
        <w:numPr>
          <w:ilvl w:val="0"/>
          <w:numId w:val="26"/>
        </w:numPr>
        <w:spacing w:after="0" w:line="360" w:lineRule="auto"/>
      </w:pPr>
      <w:r>
        <w:t>D</w:t>
      </w:r>
      <w:r w:rsidR="00031B0F" w:rsidRPr="006F2C2A">
        <w:t>e ontwikkeling van de opbrengst van de overdrachtsbelasting;</w:t>
      </w:r>
    </w:p>
    <w:p w:rsidR="00031B0F" w:rsidRPr="006F2C2A" w:rsidRDefault="00532AAF" w:rsidP="00031B0F">
      <w:pPr>
        <w:pStyle w:val="Lijstalinea"/>
        <w:numPr>
          <w:ilvl w:val="0"/>
          <w:numId w:val="26"/>
        </w:numPr>
        <w:spacing w:after="0" w:line="360" w:lineRule="auto"/>
      </w:pPr>
      <w:r>
        <w:t>H</w:t>
      </w:r>
      <w:r w:rsidR="00031B0F" w:rsidRPr="006F2C2A">
        <w:t>et leeftijdscriterium;</w:t>
      </w:r>
    </w:p>
    <w:p w:rsidR="00031B0F" w:rsidRPr="006F2C2A" w:rsidRDefault="00532AAF" w:rsidP="00031B0F">
      <w:pPr>
        <w:pStyle w:val="Lijstalinea"/>
        <w:numPr>
          <w:ilvl w:val="0"/>
          <w:numId w:val="26"/>
        </w:numPr>
        <w:spacing w:after="0" w:line="360" w:lineRule="auto"/>
      </w:pPr>
      <w:r>
        <w:lastRenderedPageBreak/>
        <w:t>D</w:t>
      </w:r>
      <w:r w:rsidR="00031B0F" w:rsidRPr="006F2C2A">
        <w:t>e uitvoerbaarheid bij de Belastingdienst en het Notariaat;</w:t>
      </w:r>
    </w:p>
    <w:p w:rsidR="00031B0F" w:rsidRPr="006F2C2A" w:rsidRDefault="00532AAF" w:rsidP="00031B0F">
      <w:pPr>
        <w:pStyle w:val="Lijstalinea"/>
        <w:numPr>
          <w:ilvl w:val="0"/>
          <w:numId w:val="26"/>
        </w:numPr>
        <w:spacing w:after="0" w:line="360" w:lineRule="auto"/>
      </w:pPr>
      <w:r>
        <w:t>D</w:t>
      </w:r>
      <w:r w:rsidR="00031B0F" w:rsidRPr="006F2C2A">
        <w:t>e handhaafbaarheid.</w:t>
      </w:r>
    </w:p>
    <w:p w:rsidR="00031B0F" w:rsidRDefault="00031B0F" w:rsidP="00031B0F">
      <w:pPr>
        <w:spacing w:after="0" w:line="360" w:lineRule="auto"/>
      </w:pPr>
      <w:r w:rsidRPr="006F2C2A">
        <w:t xml:space="preserve">De ontwikkelingen zullen vergeleken worden met de verwachte effecten die in het wetsvoorstel zijn aangegeven. </w:t>
      </w:r>
    </w:p>
    <w:p w:rsidR="00031B0F" w:rsidRDefault="00031B0F" w:rsidP="00031B0F">
      <w:pPr>
        <w:spacing w:after="0"/>
      </w:pPr>
    </w:p>
    <w:p w:rsidR="00C42FA3" w:rsidRDefault="00031B0F" w:rsidP="009D6FC4">
      <w:pPr>
        <w:spacing w:after="0" w:line="360" w:lineRule="auto"/>
      </w:pPr>
      <w:r>
        <w:t xml:space="preserve">Aan de startersvrijstelling wordt </w:t>
      </w:r>
      <w:r w:rsidR="00704E6B">
        <w:t xml:space="preserve">bovendien </w:t>
      </w:r>
      <w:r w:rsidRPr="00C66A20">
        <w:t>een horizonbepaling gekoppeld. Dit is in lijn met de motie Dijkgraaf</w:t>
      </w:r>
      <w:r>
        <w:t>,</w:t>
      </w:r>
      <w:r w:rsidRPr="00C66A20">
        <w:t xml:space="preserve"> waarin de regering wordt opgeroepen tot het opnemen van horizonbepalingen bij bestaande fiscale instrumenten.</w:t>
      </w:r>
      <w:r>
        <w:rPr>
          <w:rStyle w:val="Voetnootmarkering"/>
        </w:rPr>
        <w:footnoteReference w:id="19"/>
      </w:r>
      <w:r>
        <w:t xml:space="preserve"> Met het opnemen van de horizonbepaling</w:t>
      </w:r>
      <w:r w:rsidR="00C42FA3">
        <w:t xml:space="preserve"> </w:t>
      </w:r>
      <w:r w:rsidR="00D32F81">
        <w:t xml:space="preserve">wordt vooralsnog voorgesteld </w:t>
      </w:r>
      <w:r w:rsidR="00057D6F">
        <w:t xml:space="preserve">de startersvrijstelling </w:t>
      </w:r>
      <w:r w:rsidR="00D32F81">
        <w:t xml:space="preserve">met ingang van </w:t>
      </w:r>
      <w:r w:rsidR="00D32F81" w:rsidRPr="00C66A20">
        <w:t xml:space="preserve">1 januari </w:t>
      </w:r>
      <w:r w:rsidR="00D32F81">
        <w:t>2026</w:t>
      </w:r>
      <w:r w:rsidR="00D32F81" w:rsidRPr="00C66A20">
        <w:t xml:space="preserve"> te laten vervallen</w:t>
      </w:r>
      <w:r w:rsidR="00D32F81">
        <w:t xml:space="preserve">. </w:t>
      </w:r>
      <w:r w:rsidR="00704E6B">
        <w:t xml:space="preserve">Mocht een positieve evaluatie van deze vrijstelling daar aanleiding voor geven, dan </w:t>
      </w:r>
      <w:r w:rsidR="00046FC3">
        <w:t>kan</w:t>
      </w:r>
      <w:r w:rsidR="00D32F81">
        <w:t xml:space="preserve"> de startersvrijstelling worden verlengd.</w:t>
      </w:r>
    </w:p>
    <w:p w:rsidR="00486C72" w:rsidRPr="00773A13" w:rsidRDefault="00486C72" w:rsidP="009D6FC4">
      <w:pPr>
        <w:pStyle w:val="Kop1"/>
        <w:numPr>
          <w:ilvl w:val="0"/>
          <w:numId w:val="23"/>
        </w:numPr>
        <w:rPr>
          <w:rFonts w:ascii="Verdana" w:hAnsi="Verdana"/>
          <w:i/>
          <w:color w:val="auto"/>
          <w:sz w:val="18"/>
        </w:rPr>
      </w:pPr>
      <w:bookmarkStart w:id="53" w:name="_Toc49418736"/>
      <w:bookmarkStart w:id="54" w:name="_Toc50568498"/>
      <w:r w:rsidRPr="00773A13">
        <w:rPr>
          <w:rFonts w:ascii="Verdana" w:hAnsi="Verdana"/>
          <w:i/>
          <w:color w:val="auto"/>
          <w:sz w:val="18"/>
        </w:rPr>
        <w:t>Uitvoerings</w:t>
      </w:r>
      <w:r w:rsidR="00CB6FC9" w:rsidRPr="00773A13">
        <w:rPr>
          <w:rFonts w:ascii="Verdana" w:hAnsi="Verdana"/>
          <w:i/>
          <w:color w:val="auto"/>
          <w:sz w:val="18"/>
        </w:rPr>
        <w:t>- en handhavings</w:t>
      </w:r>
      <w:r w:rsidRPr="00773A13">
        <w:rPr>
          <w:rFonts w:ascii="Verdana" w:hAnsi="Verdana"/>
          <w:i/>
          <w:color w:val="auto"/>
          <w:sz w:val="18"/>
        </w:rPr>
        <w:t>aspecten</w:t>
      </w:r>
      <w:bookmarkEnd w:id="51"/>
      <w:bookmarkEnd w:id="53"/>
      <w:bookmarkEnd w:id="54"/>
    </w:p>
    <w:p w:rsidR="00C906F0" w:rsidRDefault="00B30007" w:rsidP="00C906F0">
      <w:pPr>
        <w:spacing w:after="0" w:line="360" w:lineRule="auto"/>
      </w:pPr>
      <w:r>
        <w:rPr>
          <w:szCs w:val="18"/>
        </w:rPr>
        <w:t xml:space="preserve">De </w:t>
      </w:r>
      <w:r w:rsidRPr="00E328DA">
        <w:rPr>
          <w:szCs w:val="18"/>
        </w:rPr>
        <w:t>maatregelen van dit wetsvoorstel zijn door de Be</w:t>
      </w:r>
      <w:r>
        <w:rPr>
          <w:szCs w:val="18"/>
        </w:rPr>
        <w:t xml:space="preserve">lastingdienst beoordeeld met een </w:t>
      </w:r>
      <w:r w:rsidRPr="00E328DA">
        <w:rPr>
          <w:szCs w:val="18"/>
        </w:rPr>
        <w:t>uitvoeringstoets</w:t>
      </w:r>
      <w:r w:rsidR="00094C94" w:rsidRPr="00094C94">
        <w:t>, waarbij alle handhavingsaspecten kritisch zijn afgewogen.</w:t>
      </w:r>
      <w:r w:rsidRPr="00E328DA">
        <w:rPr>
          <w:szCs w:val="18"/>
        </w:rPr>
        <w:t xml:space="preserve"> Voor alle maatregelen geldt dat </w:t>
      </w:r>
      <w:r w:rsidR="00094C94" w:rsidRPr="00094C94">
        <w:t xml:space="preserve">het eindoordeel van </w:t>
      </w:r>
      <w:r w:rsidRPr="00E328DA">
        <w:rPr>
          <w:szCs w:val="18"/>
        </w:rPr>
        <w:t xml:space="preserve">de Belastingdienst </w:t>
      </w:r>
      <w:r w:rsidR="00094C94" w:rsidRPr="00094C94">
        <w:t>is dat zij</w:t>
      </w:r>
      <w:r w:rsidRPr="00E328DA">
        <w:rPr>
          <w:szCs w:val="18"/>
        </w:rPr>
        <w:t xml:space="preserve"> uitvoerbaar </w:t>
      </w:r>
      <w:r w:rsidR="00C074BE">
        <w:t>zijn</w:t>
      </w:r>
      <w:r w:rsidRPr="00E328DA">
        <w:rPr>
          <w:szCs w:val="18"/>
        </w:rPr>
        <w:t xml:space="preserve"> per de voorgestelde data van inwerkingtreding. De gevolgen voor de uitvoering zijn </w:t>
      </w:r>
      <w:r w:rsidR="00094C94">
        <w:rPr>
          <w:szCs w:val="18"/>
        </w:rPr>
        <w:t xml:space="preserve">uitgebreid </w:t>
      </w:r>
      <w:r w:rsidRPr="00E328DA">
        <w:rPr>
          <w:szCs w:val="18"/>
        </w:rPr>
        <w:t>bes</w:t>
      </w:r>
      <w:r>
        <w:rPr>
          <w:szCs w:val="18"/>
        </w:rPr>
        <w:t>chreven in de uitvoeringstoets die als bijlage is</w:t>
      </w:r>
      <w:r w:rsidRPr="00E328DA">
        <w:rPr>
          <w:szCs w:val="18"/>
        </w:rPr>
        <w:t xml:space="preserve"> bijgevoegd. </w:t>
      </w:r>
    </w:p>
    <w:p w:rsidR="00C906F0" w:rsidRDefault="00C906F0" w:rsidP="00C906F0">
      <w:pPr>
        <w:spacing w:after="0" w:line="360" w:lineRule="auto"/>
      </w:pPr>
    </w:p>
    <w:p w:rsidR="00C906F0" w:rsidRDefault="00604E7E" w:rsidP="00C906F0">
      <w:pPr>
        <w:spacing w:after="0" w:line="360" w:lineRule="auto"/>
      </w:pPr>
      <w:r w:rsidRPr="001F4DEF">
        <w:t xml:space="preserve">Om </w:t>
      </w:r>
      <w:r>
        <w:t xml:space="preserve">uitvoering te geven aan </w:t>
      </w:r>
      <w:r w:rsidRPr="001F4DEF">
        <w:t>de gewenste mate van handhaving moet</w:t>
      </w:r>
      <w:r>
        <w:t>en</w:t>
      </w:r>
      <w:r w:rsidRPr="001F4DEF">
        <w:t xml:space="preserve"> er aanvullende gegevens worden toegevoegd aan de </w:t>
      </w:r>
      <w:r>
        <w:t xml:space="preserve">huidige aangifte, </w:t>
      </w:r>
      <w:r w:rsidRPr="001F4DEF">
        <w:t>waaro</w:t>
      </w:r>
      <w:r>
        <w:t xml:space="preserve">nder het burgerservicenummer (BSN) van de verkrijger. Hierdoor is het </w:t>
      </w:r>
      <w:r w:rsidRPr="001F4DEF">
        <w:t xml:space="preserve">mogelijk </w:t>
      </w:r>
      <w:r>
        <w:t xml:space="preserve">om </w:t>
      </w:r>
      <w:r w:rsidRPr="001F4DEF">
        <w:t xml:space="preserve">te </w:t>
      </w:r>
      <w:r>
        <w:t xml:space="preserve">controleren op leeftijd van de verkrijger </w:t>
      </w:r>
      <w:r w:rsidRPr="001F4DEF">
        <w:t>(meer</w:t>
      </w:r>
      <w:r>
        <w:t xml:space="preserve">derjarig en jonger dan 35 jaar) </w:t>
      </w:r>
      <w:r w:rsidRPr="001F4DEF">
        <w:t>en of het gekochte adres als hoofdverblijf</w:t>
      </w:r>
      <w:r>
        <w:t xml:space="preserve"> wordt gebruikt</w:t>
      </w:r>
      <w:r w:rsidRPr="001F4DEF">
        <w:t xml:space="preserve">. Daarnaast zal door de vastlegging </w:t>
      </w:r>
      <w:r>
        <w:t>van het BSN van de verkrijger</w:t>
      </w:r>
      <w:r w:rsidRPr="001F4DEF">
        <w:t xml:space="preserve"> </w:t>
      </w:r>
      <w:r>
        <w:t>eveneens</w:t>
      </w:r>
      <w:r w:rsidRPr="001F4DEF">
        <w:t xml:space="preserve"> controle kunnen plaatsvi</w:t>
      </w:r>
      <w:r>
        <w:t>nden op het eenmalig gebruik</w:t>
      </w:r>
      <w:r w:rsidRPr="001F4DEF">
        <w:t xml:space="preserve"> van de vrijstelling. </w:t>
      </w:r>
      <w:r w:rsidR="00094C94" w:rsidRPr="001F4DEF">
        <w:t>Om de</w:t>
      </w:r>
      <w:r w:rsidR="00094C94">
        <w:t>ze</w:t>
      </w:r>
      <w:r w:rsidR="00094C94" w:rsidRPr="001F4DEF">
        <w:t xml:space="preserve"> gegevens</w:t>
      </w:r>
      <w:r>
        <w:t xml:space="preserve"> geautomatiseerd</w:t>
      </w:r>
      <w:r w:rsidR="00094C94" w:rsidRPr="00094C94">
        <w:t xml:space="preserve"> te kunnen verkrijgen</w:t>
      </w:r>
      <w:r>
        <w:t>,</w:t>
      </w:r>
      <w:r w:rsidR="00094C94" w:rsidRPr="00094C94">
        <w:t xml:space="preserve"> moeten </w:t>
      </w:r>
      <w:r w:rsidR="00094C94">
        <w:t>d</w:t>
      </w:r>
      <w:r w:rsidR="00094C94" w:rsidRPr="00825A00">
        <w:t>e systemen bij het notariaat, bij de KNB en bij de Belastingdienst worden aangepast.</w:t>
      </w:r>
      <w:r w:rsidR="00094C94">
        <w:t xml:space="preserve"> </w:t>
      </w:r>
      <w:r w:rsidR="008728DB">
        <w:t xml:space="preserve">Dit zal in verschillende stappen worden gerealiseerd. Voor realisatie van de benodigde wijzigingen </w:t>
      </w:r>
      <w:r w:rsidR="008728DB" w:rsidRPr="008728DB">
        <w:t>moet eerst de aangifteverwerking aangepast worden. Daarmee wordt geborgd dat de gegevens die nodig zijn om toezicht uit te oefenen beschikbaar zijn. De aangepaste aangifteverwerking kan november 2021 gerealiseerd zijn</w:t>
      </w:r>
      <w:r w:rsidR="008728DB">
        <w:t>.</w:t>
      </w:r>
      <w:r w:rsidR="008728DB" w:rsidRPr="008728DB">
        <w:t xml:space="preserve"> Vervolgens moet ondersteuning van toezicht gerealiseerd worden. </w:t>
      </w:r>
      <w:r w:rsidR="008728DB">
        <w:t>Deze</w:t>
      </w:r>
      <w:r w:rsidR="008728DB" w:rsidRPr="001F4DEF">
        <w:t xml:space="preserve"> </w:t>
      </w:r>
      <w:r w:rsidR="008728DB">
        <w:t xml:space="preserve">laatste </w:t>
      </w:r>
      <w:r w:rsidR="008728DB" w:rsidRPr="001F4DEF">
        <w:t xml:space="preserve">aanpassingen </w:t>
      </w:r>
      <w:r w:rsidR="008728DB">
        <w:t xml:space="preserve">zijn naar verwachting op </w:t>
      </w:r>
      <w:r w:rsidR="008728DB" w:rsidRPr="001F4DEF">
        <w:t>1 januari 2023 gereed.</w:t>
      </w:r>
      <w:r w:rsidR="008728DB" w:rsidRPr="008728DB">
        <w:t xml:space="preserve"> </w:t>
      </w:r>
    </w:p>
    <w:p w:rsidR="00C906F0" w:rsidRDefault="00C906F0" w:rsidP="00C906F0">
      <w:pPr>
        <w:spacing w:after="0" w:line="360" w:lineRule="auto"/>
      </w:pPr>
    </w:p>
    <w:p w:rsidR="00604E7E" w:rsidRDefault="008728DB" w:rsidP="00C906F0">
      <w:pPr>
        <w:spacing w:after="0" w:line="360" w:lineRule="auto"/>
      </w:pPr>
      <w:r w:rsidRPr="008728DB">
        <w:t xml:space="preserve">De Belastingdienst </w:t>
      </w:r>
      <w:r>
        <w:t xml:space="preserve">zal </w:t>
      </w:r>
      <w:r w:rsidR="00057D6F">
        <w:t xml:space="preserve">slechts </w:t>
      </w:r>
      <w:r w:rsidRPr="008728DB">
        <w:t xml:space="preserve">beperkt </w:t>
      </w:r>
      <w:r w:rsidR="00057D6F">
        <w:t xml:space="preserve">en steekproefsgewijs </w:t>
      </w:r>
      <w:r w:rsidRPr="008728DB">
        <w:t xml:space="preserve">toezicht </w:t>
      </w:r>
      <w:r>
        <w:t xml:space="preserve">kunnen </w:t>
      </w:r>
      <w:r w:rsidRPr="008728DB">
        <w:t>uitoefenen</w:t>
      </w:r>
      <w:r>
        <w:t>,</w:t>
      </w:r>
      <w:r w:rsidRPr="008728DB">
        <w:t xml:space="preserve"> totdat het aangiftebericht zodanig is aa</w:t>
      </w:r>
      <w:r>
        <w:t>ngepast dat aangifteverwerking é</w:t>
      </w:r>
      <w:r w:rsidRPr="008728DB">
        <w:t>n toezicht op gestructureerde (en digitale) wijze kunnen plaatsvinden</w:t>
      </w:r>
      <w:r w:rsidR="00AB30E8">
        <w:t xml:space="preserve"> Ook in deze fase zullen afspraken met KNB gemaakt worden om dit handmatige, steekproefsg</w:t>
      </w:r>
      <w:r w:rsidR="009C789F">
        <w:t>e</w:t>
      </w:r>
      <w:r w:rsidR="00AB30E8">
        <w:t xml:space="preserve">wijze toezicht gemakkelijker te maken. </w:t>
      </w:r>
    </w:p>
    <w:p w:rsidR="00C074BE" w:rsidRDefault="00C074BE" w:rsidP="00C906F0">
      <w:pPr>
        <w:spacing w:after="0" w:line="360" w:lineRule="auto"/>
      </w:pPr>
    </w:p>
    <w:p w:rsidR="00B30007" w:rsidRPr="00E328DA" w:rsidRDefault="00B30007" w:rsidP="008128D5">
      <w:pPr>
        <w:spacing w:after="0" w:line="360" w:lineRule="auto"/>
        <w:rPr>
          <w:szCs w:val="18"/>
        </w:rPr>
      </w:pPr>
      <w:r w:rsidRPr="00E328DA">
        <w:rPr>
          <w:szCs w:val="18"/>
        </w:rPr>
        <w:t xml:space="preserve">Een aantal maatregelen uit dit wetsvoorstel leidt tot uitvoeringskosten bij de Belastingdienst. Deze </w:t>
      </w:r>
      <w:r>
        <w:rPr>
          <w:szCs w:val="18"/>
        </w:rPr>
        <w:t>uitvoeringskosten</w:t>
      </w:r>
      <w:r w:rsidRPr="00E328DA">
        <w:rPr>
          <w:szCs w:val="18"/>
        </w:rPr>
        <w:t xml:space="preserve"> zijn opgenomen in de hierna opgenomen tabel. De uitvoeringskosten worden gedekt op begroting IX.</w:t>
      </w:r>
    </w:p>
    <w:p w:rsidR="00B30007" w:rsidRDefault="00B30007" w:rsidP="00B30007">
      <w:pPr>
        <w:spacing w:after="0" w:line="360" w:lineRule="auto"/>
        <w:contextualSpacing/>
        <w:mirrorIndents/>
        <w:rPr>
          <w:szCs w:val="18"/>
        </w:rPr>
      </w:pPr>
    </w:p>
    <w:p w:rsidR="00B30007" w:rsidRDefault="00B30007" w:rsidP="00B30007">
      <w:pPr>
        <w:rPr>
          <w:i/>
          <w:szCs w:val="18"/>
        </w:rPr>
      </w:pPr>
      <w:r>
        <w:rPr>
          <w:szCs w:val="18"/>
        </w:rPr>
        <w:lastRenderedPageBreak/>
        <w:t xml:space="preserve">Tabel: </w:t>
      </w:r>
      <w:r w:rsidRPr="00E328DA">
        <w:rPr>
          <w:i/>
          <w:szCs w:val="18"/>
        </w:rPr>
        <w:t>Overzicht uitvoeringskosten Belastingdienst (</w:t>
      </w:r>
      <w:r>
        <w:rPr>
          <w:i/>
          <w:szCs w:val="18"/>
        </w:rPr>
        <w:t>b</w:t>
      </w:r>
      <w:r w:rsidRPr="00E328DA">
        <w:rPr>
          <w:i/>
          <w:szCs w:val="18"/>
        </w:rPr>
        <w:t>edragen x € 1.000)</w:t>
      </w:r>
    </w:p>
    <w:tbl>
      <w:tblPr>
        <w:tblW w:w="9346" w:type="dxa"/>
        <w:tblLayout w:type="fixed"/>
        <w:tblCellMar>
          <w:left w:w="70" w:type="dxa"/>
          <w:right w:w="70" w:type="dxa"/>
        </w:tblCellMar>
        <w:tblLook w:val="04A0" w:firstRow="1" w:lastRow="0" w:firstColumn="1" w:lastColumn="0" w:noHBand="0" w:noVBand="1"/>
      </w:tblPr>
      <w:tblGrid>
        <w:gridCol w:w="3676"/>
        <w:gridCol w:w="1134"/>
        <w:gridCol w:w="850"/>
        <w:gridCol w:w="851"/>
        <w:gridCol w:w="850"/>
        <w:gridCol w:w="993"/>
        <w:gridCol w:w="992"/>
      </w:tblGrid>
      <w:tr w:rsidR="00B30007" w:rsidRPr="00566C4C" w:rsidTr="008128D5">
        <w:trPr>
          <w:trHeight w:val="315"/>
        </w:trPr>
        <w:tc>
          <w:tcPr>
            <w:tcW w:w="9346" w:type="dxa"/>
            <w:gridSpan w:val="7"/>
            <w:tcBorders>
              <w:top w:val="single" w:sz="8" w:space="0" w:color="5B9BD5"/>
              <w:left w:val="single" w:sz="8" w:space="0" w:color="5B9BD5"/>
              <w:bottom w:val="single" w:sz="8" w:space="0" w:color="5B9BD5"/>
              <w:right w:val="single" w:sz="8" w:space="0" w:color="5B9BD5"/>
            </w:tcBorders>
            <w:shd w:val="clear" w:color="000000" w:fill="5B9BD5"/>
            <w:vAlign w:val="center"/>
            <w:hideMark/>
          </w:tcPr>
          <w:p w:rsidR="00B30007" w:rsidRPr="008128D5" w:rsidRDefault="00B30007" w:rsidP="00702B16">
            <w:pPr>
              <w:spacing w:after="0" w:line="240" w:lineRule="auto"/>
              <w:rPr>
                <w:color w:val="FFFFFF"/>
                <w:sz w:val="16"/>
              </w:rPr>
            </w:pPr>
            <w:r w:rsidRPr="008128D5">
              <w:rPr>
                <w:color w:val="FFFFFF"/>
                <w:sz w:val="16"/>
              </w:rPr>
              <w:t xml:space="preserve">Wet differentiatie overdrachtsbelasting </w:t>
            </w:r>
          </w:p>
        </w:tc>
      </w:tr>
      <w:tr w:rsidR="00E02273" w:rsidRPr="00566C4C" w:rsidTr="00AB3B5B">
        <w:trPr>
          <w:trHeight w:val="315"/>
        </w:trPr>
        <w:tc>
          <w:tcPr>
            <w:tcW w:w="3676" w:type="dxa"/>
            <w:tcBorders>
              <w:top w:val="nil"/>
              <w:left w:val="single" w:sz="8" w:space="0" w:color="9CC2E5"/>
              <w:bottom w:val="single" w:sz="8" w:space="0" w:color="9CC2E5"/>
              <w:right w:val="single" w:sz="8" w:space="0" w:color="9CC2E5"/>
            </w:tcBorders>
            <w:shd w:val="clear" w:color="000000" w:fill="DEEAF6"/>
            <w:vAlign w:val="center"/>
            <w:hideMark/>
          </w:tcPr>
          <w:p w:rsidR="00B30007" w:rsidRPr="008128D5" w:rsidRDefault="00B30007" w:rsidP="00702B16">
            <w:pPr>
              <w:spacing w:after="0" w:line="240" w:lineRule="auto"/>
              <w:rPr>
                <w:b/>
                <w:color w:val="000000"/>
                <w:sz w:val="16"/>
              </w:rPr>
            </w:pPr>
            <w:r w:rsidRPr="008128D5">
              <w:rPr>
                <w:b/>
                <w:color w:val="000000"/>
                <w:sz w:val="16"/>
              </w:rPr>
              <w:t>Bedragen * €1.000</w:t>
            </w:r>
          </w:p>
        </w:tc>
        <w:tc>
          <w:tcPr>
            <w:tcW w:w="1134" w:type="dxa"/>
            <w:tcBorders>
              <w:top w:val="nil"/>
              <w:left w:val="nil"/>
              <w:bottom w:val="single" w:sz="8" w:space="0" w:color="9CC2E5"/>
              <w:right w:val="single" w:sz="8" w:space="0" w:color="9CC2E5"/>
            </w:tcBorders>
            <w:shd w:val="clear" w:color="000000" w:fill="DEEAF6"/>
            <w:vAlign w:val="center"/>
            <w:hideMark/>
          </w:tcPr>
          <w:p w:rsidR="00B30007" w:rsidRPr="008128D5" w:rsidRDefault="00B30007" w:rsidP="00702B16">
            <w:pPr>
              <w:spacing w:after="0" w:line="240" w:lineRule="auto"/>
              <w:jc w:val="right"/>
              <w:rPr>
                <w:b/>
                <w:color w:val="000000"/>
                <w:sz w:val="16"/>
              </w:rPr>
            </w:pPr>
            <w:r w:rsidRPr="008128D5">
              <w:rPr>
                <w:b/>
                <w:color w:val="000000"/>
                <w:sz w:val="16"/>
              </w:rPr>
              <w:t>2020</w:t>
            </w:r>
          </w:p>
        </w:tc>
        <w:tc>
          <w:tcPr>
            <w:tcW w:w="850" w:type="dxa"/>
            <w:tcBorders>
              <w:top w:val="nil"/>
              <w:left w:val="nil"/>
              <w:bottom w:val="single" w:sz="8" w:space="0" w:color="9CC2E5"/>
              <w:right w:val="single" w:sz="8" w:space="0" w:color="9CC2E5"/>
            </w:tcBorders>
            <w:shd w:val="clear" w:color="000000" w:fill="DEEAF6"/>
            <w:vAlign w:val="center"/>
            <w:hideMark/>
          </w:tcPr>
          <w:p w:rsidR="00B30007" w:rsidRPr="008128D5" w:rsidRDefault="00B30007" w:rsidP="00702B16">
            <w:pPr>
              <w:spacing w:after="0" w:line="240" w:lineRule="auto"/>
              <w:jc w:val="right"/>
              <w:rPr>
                <w:b/>
                <w:color w:val="000000"/>
                <w:sz w:val="16"/>
              </w:rPr>
            </w:pPr>
            <w:r w:rsidRPr="008128D5">
              <w:rPr>
                <w:b/>
                <w:color w:val="000000"/>
                <w:sz w:val="16"/>
              </w:rPr>
              <w:t>2021</w:t>
            </w:r>
          </w:p>
        </w:tc>
        <w:tc>
          <w:tcPr>
            <w:tcW w:w="851" w:type="dxa"/>
            <w:tcBorders>
              <w:top w:val="nil"/>
              <w:left w:val="nil"/>
              <w:bottom w:val="single" w:sz="8" w:space="0" w:color="9CC2E5"/>
              <w:right w:val="single" w:sz="8" w:space="0" w:color="9CC2E5"/>
            </w:tcBorders>
            <w:shd w:val="clear" w:color="000000" w:fill="DEEAF6"/>
            <w:vAlign w:val="center"/>
            <w:hideMark/>
          </w:tcPr>
          <w:p w:rsidR="00B30007" w:rsidRPr="008128D5" w:rsidRDefault="00B30007" w:rsidP="00702B16">
            <w:pPr>
              <w:spacing w:after="0" w:line="240" w:lineRule="auto"/>
              <w:jc w:val="right"/>
              <w:rPr>
                <w:b/>
                <w:color w:val="000000"/>
                <w:sz w:val="16"/>
              </w:rPr>
            </w:pPr>
            <w:r w:rsidRPr="008128D5">
              <w:rPr>
                <w:b/>
                <w:color w:val="000000"/>
                <w:sz w:val="16"/>
              </w:rPr>
              <w:t>2022</w:t>
            </w:r>
          </w:p>
        </w:tc>
        <w:tc>
          <w:tcPr>
            <w:tcW w:w="850" w:type="dxa"/>
            <w:tcBorders>
              <w:top w:val="nil"/>
              <w:left w:val="nil"/>
              <w:bottom w:val="single" w:sz="8" w:space="0" w:color="9CC2E5"/>
              <w:right w:val="single" w:sz="8" w:space="0" w:color="9CC2E5"/>
            </w:tcBorders>
            <w:shd w:val="clear" w:color="000000" w:fill="DEEAF6"/>
            <w:vAlign w:val="center"/>
            <w:hideMark/>
          </w:tcPr>
          <w:p w:rsidR="00B30007" w:rsidRPr="008128D5" w:rsidRDefault="00B30007" w:rsidP="00702B16">
            <w:pPr>
              <w:spacing w:after="0" w:line="240" w:lineRule="auto"/>
              <w:jc w:val="right"/>
              <w:rPr>
                <w:b/>
                <w:color w:val="000000"/>
                <w:sz w:val="16"/>
              </w:rPr>
            </w:pPr>
            <w:r w:rsidRPr="008128D5">
              <w:rPr>
                <w:b/>
                <w:color w:val="000000"/>
                <w:sz w:val="16"/>
              </w:rPr>
              <w:t>2023</w:t>
            </w:r>
          </w:p>
        </w:tc>
        <w:tc>
          <w:tcPr>
            <w:tcW w:w="993" w:type="dxa"/>
            <w:tcBorders>
              <w:top w:val="nil"/>
              <w:left w:val="nil"/>
              <w:bottom w:val="single" w:sz="8" w:space="0" w:color="9CC2E5"/>
              <w:right w:val="single" w:sz="8" w:space="0" w:color="9CC2E5"/>
            </w:tcBorders>
            <w:shd w:val="clear" w:color="000000" w:fill="DEEAF6"/>
            <w:vAlign w:val="center"/>
            <w:hideMark/>
          </w:tcPr>
          <w:p w:rsidR="00B30007" w:rsidRPr="008128D5" w:rsidRDefault="00B30007" w:rsidP="00702B16">
            <w:pPr>
              <w:spacing w:after="0" w:line="240" w:lineRule="auto"/>
              <w:jc w:val="right"/>
              <w:rPr>
                <w:b/>
                <w:color w:val="000000"/>
                <w:sz w:val="16"/>
              </w:rPr>
            </w:pPr>
            <w:r w:rsidRPr="008128D5">
              <w:rPr>
                <w:b/>
                <w:color w:val="000000"/>
                <w:sz w:val="16"/>
              </w:rPr>
              <w:t>2024</w:t>
            </w:r>
          </w:p>
        </w:tc>
        <w:tc>
          <w:tcPr>
            <w:tcW w:w="992" w:type="dxa"/>
            <w:tcBorders>
              <w:top w:val="nil"/>
              <w:left w:val="nil"/>
              <w:bottom w:val="single" w:sz="8" w:space="0" w:color="9CC2E5"/>
              <w:right w:val="single" w:sz="8" w:space="0" w:color="9CC2E5"/>
            </w:tcBorders>
            <w:shd w:val="clear" w:color="000000" w:fill="DEEAF6"/>
            <w:vAlign w:val="center"/>
            <w:hideMark/>
          </w:tcPr>
          <w:p w:rsidR="00B30007" w:rsidRPr="008128D5" w:rsidRDefault="00B30007" w:rsidP="00702B16">
            <w:pPr>
              <w:spacing w:after="0" w:line="240" w:lineRule="auto"/>
              <w:jc w:val="right"/>
              <w:rPr>
                <w:b/>
                <w:color w:val="000000"/>
                <w:sz w:val="16"/>
              </w:rPr>
            </w:pPr>
            <w:r w:rsidRPr="008128D5">
              <w:rPr>
                <w:b/>
                <w:color w:val="000000"/>
                <w:sz w:val="16"/>
              </w:rPr>
              <w:t>2025</w:t>
            </w:r>
          </w:p>
        </w:tc>
      </w:tr>
      <w:tr w:rsidR="00B30007" w:rsidRPr="00566C4C" w:rsidTr="008128D5">
        <w:trPr>
          <w:trHeight w:val="315"/>
        </w:trPr>
        <w:tc>
          <w:tcPr>
            <w:tcW w:w="3676" w:type="dxa"/>
            <w:tcBorders>
              <w:top w:val="nil"/>
              <w:left w:val="single" w:sz="8" w:space="0" w:color="9CC2E5"/>
              <w:bottom w:val="single" w:sz="8" w:space="0" w:color="9CC2E5"/>
              <w:right w:val="single" w:sz="8" w:space="0" w:color="9CC2E5"/>
            </w:tcBorders>
            <w:shd w:val="clear" w:color="auto" w:fill="auto"/>
            <w:vAlign w:val="center"/>
            <w:hideMark/>
          </w:tcPr>
          <w:p w:rsidR="00B30007" w:rsidRPr="008128D5" w:rsidRDefault="00B30007" w:rsidP="00702B16">
            <w:pPr>
              <w:spacing w:after="0" w:line="240" w:lineRule="auto"/>
              <w:rPr>
                <w:b/>
                <w:color w:val="000000"/>
                <w:sz w:val="16"/>
              </w:rPr>
            </w:pPr>
            <w:r w:rsidRPr="008128D5">
              <w:rPr>
                <w:b/>
                <w:color w:val="000000"/>
                <w:sz w:val="16"/>
              </w:rPr>
              <w:t>Maatregel</w:t>
            </w:r>
          </w:p>
        </w:tc>
        <w:tc>
          <w:tcPr>
            <w:tcW w:w="1134" w:type="dxa"/>
            <w:tcBorders>
              <w:top w:val="nil"/>
              <w:left w:val="nil"/>
              <w:bottom w:val="single" w:sz="8" w:space="0" w:color="9CC2E5"/>
              <w:right w:val="single" w:sz="8" w:space="0" w:color="9CC2E5"/>
            </w:tcBorders>
            <w:shd w:val="clear" w:color="auto" w:fill="auto"/>
            <w:vAlign w:val="center"/>
            <w:hideMark/>
          </w:tcPr>
          <w:p w:rsidR="00B30007" w:rsidRPr="008128D5" w:rsidRDefault="00B30007" w:rsidP="00702B16">
            <w:pPr>
              <w:spacing w:after="0" w:line="240" w:lineRule="auto"/>
              <w:jc w:val="right"/>
              <w:rPr>
                <w:b/>
                <w:color w:val="000000"/>
                <w:sz w:val="16"/>
              </w:rPr>
            </w:pPr>
            <w:r w:rsidRPr="008128D5">
              <w:rPr>
                <w:b/>
                <w:color w:val="000000"/>
                <w:sz w:val="16"/>
              </w:rPr>
              <w:t> </w:t>
            </w:r>
          </w:p>
        </w:tc>
        <w:tc>
          <w:tcPr>
            <w:tcW w:w="850" w:type="dxa"/>
            <w:tcBorders>
              <w:top w:val="nil"/>
              <w:left w:val="nil"/>
              <w:bottom w:val="single" w:sz="8" w:space="0" w:color="9CC2E5"/>
              <w:right w:val="single" w:sz="8" w:space="0" w:color="9CC2E5"/>
            </w:tcBorders>
            <w:shd w:val="clear" w:color="auto" w:fill="auto"/>
            <w:vAlign w:val="center"/>
            <w:hideMark/>
          </w:tcPr>
          <w:p w:rsidR="00B30007" w:rsidRPr="008128D5" w:rsidRDefault="00B30007" w:rsidP="00702B16">
            <w:pPr>
              <w:spacing w:after="0" w:line="240" w:lineRule="auto"/>
              <w:jc w:val="right"/>
              <w:rPr>
                <w:b/>
                <w:color w:val="000000"/>
                <w:sz w:val="16"/>
              </w:rPr>
            </w:pPr>
            <w:r w:rsidRPr="008128D5">
              <w:rPr>
                <w:b/>
                <w:color w:val="000000"/>
                <w:sz w:val="16"/>
              </w:rPr>
              <w:t> </w:t>
            </w:r>
          </w:p>
        </w:tc>
        <w:tc>
          <w:tcPr>
            <w:tcW w:w="851" w:type="dxa"/>
            <w:tcBorders>
              <w:top w:val="nil"/>
              <w:left w:val="nil"/>
              <w:bottom w:val="single" w:sz="8" w:space="0" w:color="9CC2E5"/>
              <w:right w:val="single" w:sz="8" w:space="0" w:color="9CC2E5"/>
            </w:tcBorders>
            <w:shd w:val="clear" w:color="auto" w:fill="auto"/>
            <w:vAlign w:val="center"/>
            <w:hideMark/>
          </w:tcPr>
          <w:p w:rsidR="00B30007" w:rsidRPr="008128D5" w:rsidRDefault="00B30007" w:rsidP="00702B16">
            <w:pPr>
              <w:spacing w:after="0" w:line="240" w:lineRule="auto"/>
              <w:jc w:val="right"/>
              <w:rPr>
                <w:b/>
                <w:color w:val="000000"/>
                <w:sz w:val="16"/>
              </w:rPr>
            </w:pPr>
            <w:r w:rsidRPr="008128D5">
              <w:rPr>
                <w:b/>
                <w:color w:val="000000"/>
                <w:sz w:val="16"/>
              </w:rPr>
              <w:t> </w:t>
            </w:r>
          </w:p>
        </w:tc>
        <w:tc>
          <w:tcPr>
            <w:tcW w:w="850" w:type="dxa"/>
            <w:tcBorders>
              <w:top w:val="nil"/>
              <w:left w:val="nil"/>
              <w:bottom w:val="single" w:sz="8" w:space="0" w:color="9CC2E5"/>
              <w:right w:val="single" w:sz="8" w:space="0" w:color="9CC2E5"/>
            </w:tcBorders>
            <w:shd w:val="clear" w:color="auto" w:fill="auto"/>
            <w:vAlign w:val="center"/>
            <w:hideMark/>
          </w:tcPr>
          <w:p w:rsidR="00B30007" w:rsidRPr="008128D5" w:rsidRDefault="00B30007" w:rsidP="00702B16">
            <w:pPr>
              <w:spacing w:after="0" w:line="240" w:lineRule="auto"/>
              <w:jc w:val="right"/>
              <w:rPr>
                <w:b/>
                <w:color w:val="000000"/>
                <w:sz w:val="16"/>
              </w:rPr>
            </w:pPr>
            <w:r w:rsidRPr="008128D5">
              <w:rPr>
                <w:b/>
                <w:color w:val="000000"/>
                <w:sz w:val="16"/>
              </w:rPr>
              <w:t> </w:t>
            </w:r>
          </w:p>
        </w:tc>
        <w:tc>
          <w:tcPr>
            <w:tcW w:w="993" w:type="dxa"/>
            <w:tcBorders>
              <w:top w:val="nil"/>
              <w:left w:val="nil"/>
              <w:bottom w:val="single" w:sz="8" w:space="0" w:color="9CC2E5"/>
              <w:right w:val="single" w:sz="8" w:space="0" w:color="9CC2E5"/>
            </w:tcBorders>
            <w:shd w:val="clear" w:color="auto" w:fill="auto"/>
            <w:vAlign w:val="center"/>
            <w:hideMark/>
          </w:tcPr>
          <w:p w:rsidR="00B30007" w:rsidRPr="008128D5" w:rsidRDefault="00B30007" w:rsidP="00702B16">
            <w:pPr>
              <w:spacing w:after="0" w:line="240" w:lineRule="auto"/>
              <w:jc w:val="right"/>
              <w:rPr>
                <w:b/>
                <w:color w:val="000000"/>
                <w:sz w:val="16"/>
              </w:rPr>
            </w:pPr>
            <w:r w:rsidRPr="008128D5">
              <w:rPr>
                <w:b/>
                <w:color w:val="000000"/>
                <w:sz w:val="16"/>
              </w:rPr>
              <w:t> </w:t>
            </w:r>
          </w:p>
        </w:tc>
        <w:tc>
          <w:tcPr>
            <w:tcW w:w="992" w:type="dxa"/>
            <w:tcBorders>
              <w:top w:val="nil"/>
              <w:left w:val="nil"/>
              <w:bottom w:val="single" w:sz="8" w:space="0" w:color="9CC2E5"/>
              <w:right w:val="single" w:sz="8" w:space="0" w:color="9CC2E5"/>
            </w:tcBorders>
            <w:shd w:val="clear" w:color="auto" w:fill="auto"/>
            <w:vAlign w:val="center"/>
            <w:hideMark/>
          </w:tcPr>
          <w:p w:rsidR="00B30007" w:rsidRPr="008128D5" w:rsidRDefault="00B30007" w:rsidP="00702B16">
            <w:pPr>
              <w:spacing w:after="0" w:line="240" w:lineRule="auto"/>
              <w:jc w:val="right"/>
              <w:rPr>
                <w:b/>
                <w:color w:val="000000"/>
                <w:sz w:val="16"/>
              </w:rPr>
            </w:pPr>
            <w:r w:rsidRPr="008128D5">
              <w:rPr>
                <w:b/>
                <w:color w:val="000000"/>
                <w:sz w:val="16"/>
              </w:rPr>
              <w:t> </w:t>
            </w:r>
          </w:p>
        </w:tc>
      </w:tr>
      <w:tr w:rsidR="00E02273" w:rsidRPr="00566C4C" w:rsidTr="00AB3B5B">
        <w:trPr>
          <w:trHeight w:val="315"/>
        </w:trPr>
        <w:tc>
          <w:tcPr>
            <w:tcW w:w="3676" w:type="dxa"/>
            <w:tcBorders>
              <w:top w:val="nil"/>
              <w:left w:val="single" w:sz="8" w:space="0" w:color="9CC2E5"/>
              <w:bottom w:val="single" w:sz="8" w:space="0" w:color="9CC2E5"/>
              <w:right w:val="single" w:sz="8" w:space="0" w:color="9CC2E5"/>
            </w:tcBorders>
            <w:shd w:val="clear" w:color="000000" w:fill="DEEAF6"/>
            <w:vAlign w:val="center"/>
            <w:hideMark/>
          </w:tcPr>
          <w:p w:rsidR="00B30007" w:rsidRPr="008128D5" w:rsidRDefault="00B30007" w:rsidP="00702B16">
            <w:pPr>
              <w:spacing w:after="0" w:line="240" w:lineRule="auto"/>
              <w:rPr>
                <w:color w:val="000000"/>
                <w:sz w:val="16"/>
              </w:rPr>
            </w:pPr>
            <w:r w:rsidRPr="008128D5">
              <w:rPr>
                <w:color w:val="000000"/>
                <w:sz w:val="16"/>
              </w:rPr>
              <w:t xml:space="preserve">Tariefdifferentiatie </w:t>
            </w:r>
          </w:p>
        </w:tc>
        <w:tc>
          <w:tcPr>
            <w:tcW w:w="1134" w:type="dxa"/>
            <w:tcBorders>
              <w:top w:val="nil"/>
              <w:left w:val="nil"/>
              <w:bottom w:val="single" w:sz="8" w:space="0" w:color="9CC2E5"/>
              <w:right w:val="single" w:sz="8" w:space="0" w:color="9CC2E5"/>
            </w:tcBorders>
            <w:shd w:val="clear" w:color="000000" w:fill="DEEAF6"/>
            <w:vAlign w:val="center"/>
            <w:hideMark/>
          </w:tcPr>
          <w:p w:rsidR="00B30007" w:rsidRPr="008128D5" w:rsidRDefault="00B30007" w:rsidP="00702B16">
            <w:pPr>
              <w:spacing w:after="0" w:line="240" w:lineRule="auto"/>
              <w:jc w:val="right"/>
              <w:rPr>
                <w:color w:val="000000"/>
                <w:sz w:val="16"/>
              </w:rPr>
            </w:pPr>
            <w:r w:rsidRPr="008128D5">
              <w:rPr>
                <w:color w:val="000000"/>
                <w:sz w:val="16"/>
              </w:rPr>
              <w:t>1.020</w:t>
            </w:r>
          </w:p>
        </w:tc>
        <w:tc>
          <w:tcPr>
            <w:tcW w:w="850" w:type="dxa"/>
            <w:tcBorders>
              <w:top w:val="nil"/>
              <w:left w:val="nil"/>
              <w:bottom w:val="single" w:sz="8" w:space="0" w:color="9CC2E5"/>
              <w:right w:val="single" w:sz="8" w:space="0" w:color="9CC2E5"/>
            </w:tcBorders>
            <w:shd w:val="clear" w:color="000000" w:fill="DEEAF6"/>
            <w:vAlign w:val="center"/>
            <w:hideMark/>
          </w:tcPr>
          <w:p w:rsidR="00B30007" w:rsidRPr="008128D5" w:rsidRDefault="009C6F49" w:rsidP="00702B16">
            <w:pPr>
              <w:spacing w:after="0" w:line="240" w:lineRule="auto"/>
              <w:jc w:val="right"/>
              <w:rPr>
                <w:color w:val="000000"/>
                <w:sz w:val="16"/>
              </w:rPr>
            </w:pPr>
            <w:r w:rsidRPr="00D81EF0">
              <w:rPr>
                <w:rFonts w:eastAsia="Times New Roman" w:cs="Calibri"/>
                <w:color w:val="000000"/>
                <w:sz w:val="16"/>
                <w:szCs w:val="16"/>
                <w:lang w:eastAsia="nl-NL"/>
              </w:rPr>
              <w:t>1.320</w:t>
            </w:r>
          </w:p>
        </w:tc>
        <w:tc>
          <w:tcPr>
            <w:tcW w:w="851" w:type="dxa"/>
            <w:tcBorders>
              <w:top w:val="nil"/>
              <w:left w:val="nil"/>
              <w:bottom w:val="single" w:sz="8" w:space="0" w:color="9CC2E5"/>
              <w:right w:val="single" w:sz="8" w:space="0" w:color="9CC2E5"/>
            </w:tcBorders>
            <w:shd w:val="clear" w:color="000000" w:fill="DEEAF6"/>
            <w:vAlign w:val="center"/>
            <w:hideMark/>
          </w:tcPr>
          <w:p w:rsidR="00B30007" w:rsidRPr="008128D5" w:rsidRDefault="00F85EDF" w:rsidP="00702B16">
            <w:pPr>
              <w:spacing w:after="0" w:line="240" w:lineRule="auto"/>
              <w:jc w:val="right"/>
              <w:rPr>
                <w:color w:val="000000"/>
                <w:sz w:val="16"/>
              </w:rPr>
            </w:pPr>
            <w:r w:rsidRPr="008128D5">
              <w:rPr>
                <w:color w:val="000000"/>
                <w:sz w:val="16"/>
              </w:rPr>
              <w:t>38</w:t>
            </w:r>
            <w:r w:rsidR="00B30007" w:rsidRPr="008128D5">
              <w:rPr>
                <w:color w:val="000000"/>
                <w:sz w:val="16"/>
              </w:rPr>
              <w:t>0</w:t>
            </w:r>
          </w:p>
        </w:tc>
        <w:tc>
          <w:tcPr>
            <w:tcW w:w="850" w:type="dxa"/>
            <w:tcBorders>
              <w:top w:val="nil"/>
              <w:left w:val="nil"/>
              <w:bottom w:val="single" w:sz="8" w:space="0" w:color="9CC2E5"/>
              <w:right w:val="single" w:sz="8" w:space="0" w:color="9CC2E5"/>
            </w:tcBorders>
            <w:shd w:val="clear" w:color="000000" w:fill="DEEAF6"/>
            <w:vAlign w:val="center"/>
            <w:hideMark/>
          </w:tcPr>
          <w:p w:rsidR="00B30007" w:rsidRPr="008128D5" w:rsidRDefault="00F85EDF" w:rsidP="00F85EDF">
            <w:pPr>
              <w:spacing w:after="0" w:line="240" w:lineRule="auto"/>
              <w:jc w:val="right"/>
              <w:rPr>
                <w:color w:val="000000"/>
                <w:sz w:val="16"/>
              </w:rPr>
            </w:pPr>
            <w:r w:rsidRPr="008128D5">
              <w:rPr>
                <w:color w:val="000000"/>
                <w:sz w:val="16"/>
              </w:rPr>
              <w:t>380</w:t>
            </w:r>
          </w:p>
        </w:tc>
        <w:tc>
          <w:tcPr>
            <w:tcW w:w="993" w:type="dxa"/>
            <w:tcBorders>
              <w:top w:val="nil"/>
              <w:left w:val="nil"/>
              <w:bottom w:val="single" w:sz="8" w:space="0" w:color="9CC2E5"/>
              <w:right w:val="single" w:sz="8" w:space="0" w:color="9CC2E5"/>
            </w:tcBorders>
            <w:shd w:val="clear" w:color="000000" w:fill="DEEAF6"/>
            <w:vAlign w:val="center"/>
            <w:hideMark/>
          </w:tcPr>
          <w:p w:rsidR="00B30007" w:rsidRPr="008128D5" w:rsidRDefault="00F85EDF" w:rsidP="00702B16">
            <w:pPr>
              <w:spacing w:after="0" w:line="240" w:lineRule="auto"/>
              <w:jc w:val="right"/>
              <w:rPr>
                <w:color w:val="000000"/>
                <w:sz w:val="16"/>
              </w:rPr>
            </w:pPr>
            <w:r w:rsidRPr="008128D5">
              <w:rPr>
                <w:color w:val="000000"/>
                <w:sz w:val="16"/>
              </w:rPr>
              <w:t>38</w:t>
            </w:r>
            <w:r w:rsidR="00B30007" w:rsidRPr="008128D5">
              <w:rPr>
                <w:color w:val="000000"/>
                <w:sz w:val="16"/>
              </w:rPr>
              <w:t>0</w:t>
            </w:r>
          </w:p>
        </w:tc>
        <w:tc>
          <w:tcPr>
            <w:tcW w:w="992" w:type="dxa"/>
            <w:tcBorders>
              <w:top w:val="nil"/>
              <w:left w:val="nil"/>
              <w:bottom w:val="single" w:sz="8" w:space="0" w:color="9CC2E5"/>
              <w:right w:val="single" w:sz="8" w:space="0" w:color="9CC2E5"/>
            </w:tcBorders>
            <w:shd w:val="clear" w:color="000000" w:fill="DEEAF6"/>
            <w:vAlign w:val="center"/>
            <w:hideMark/>
          </w:tcPr>
          <w:p w:rsidR="00B30007" w:rsidRPr="008128D5" w:rsidRDefault="00F85EDF" w:rsidP="00702B16">
            <w:pPr>
              <w:spacing w:after="0" w:line="240" w:lineRule="auto"/>
              <w:jc w:val="right"/>
              <w:rPr>
                <w:color w:val="000000"/>
                <w:sz w:val="16"/>
              </w:rPr>
            </w:pPr>
            <w:r w:rsidRPr="008128D5">
              <w:rPr>
                <w:color w:val="000000"/>
                <w:sz w:val="16"/>
              </w:rPr>
              <w:t>38</w:t>
            </w:r>
            <w:r w:rsidR="00B30007" w:rsidRPr="008128D5">
              <w:rPr>
                <w:color w:val="000000"/>
                <w:sz w:val="16"/>
              </w:rPr>
              <w:t>0</w:t>
            </w:r>
          </w:p>
        </w:tc>
      </w:tr>
    </w:tbl>
    <w:p w:rsidR="002D142C" w:rsidRPr="00880FF3" w:rsidRDefault="002D142C" w:rsidP="002D142C">
      <w:pPr>
        <w:rPr>
          <w:szCs w:val="18"/>
        </w:rPr>
      </w:pPr>
    </w:p>
    <w:p w:rsidR="008A369F" w:rsidRPr="00191B4D" w:rsidRDefault="008A369F" w:rsidP="00277EF0">
      <w:pPr>
        <w:pStyle w:val="Kop1"/>
        <w:numPr>
          <w:ilvl w:val="0"/>
          <w:numId w:val="23"/>
        </w:numPr>
        <w:rPr>
          <w:rFonts w:ascii="Verdana" w:hAnsi="Verdana"/>
          <w:i/>
          <w:color w:val="auto"/>
          <w:sz w:val="18"/>
        </w:rPr>
      </w:pPr>
      <w:bookmarkStart w:id="55" w:name="_Toc49418737"/>
      <w:bookmarkStart w:id="56" w:name="_Toc50568499"/>
      <w:r w:rsidRPr="00277EF0">
        <w:rPr>
          <w:rFonts w:ascii="Verdana" w:hAnsi="Verdana"/>
          <w:i/>
          <w:color w:val="auto"/>
          <w:sz w:val="18"/>
        </w:rPr>
        <w:t>Advies en consultatie</w:t>
      </w:r>
      <w:bookmarkEnd w:id="55"/>
      <w:bookmarkEnd w:id="56"/>
      <w:r w:rsidRPr="00277EF0">
        <w:rPr>
          <w:rFonts w:ascii="Verdana" w:hAnsi="Verdana"/>
          <w:i/>
          <w:color w:val="auto"/>
          <w:sz w:val="18"/>
        </w:rPr>
        <w:t xml:space="preserve"> </w:t>
      </w:r>
    </w:p>
    <w:p w:rsidR="00255864" w:rsidRPr="00277EF0" w:rsidRDefault="00255864" w:rsidP="00277EF0">
      <w:pPr>
        <w:rPr>
          <w:lang w:eastAsia="nl-NL"/>
        </w:rPr>
      </w:pPr>
    </w:p>
    <w:p w:rsidR="0093518B" w:rsidRDefault="008A369F" w:rsidP="003D5195">
      <w:pPr>
        <w:spacing w:line="360" w:lineRule="auto"/>
        <w:rPr>
          <w:rFonts w:cs="Verdana"/>
          <w:color w:val="000000"/>
          <w:szCs w:val="18"/>
        </w:rPr>
      </w:pPr>
      <w:r w:rsidRPr="008A369F">
        <w:rPr>
          <w:rFonts w:cs="Verdana"/>
          <w:color w:val="000000"/>
          <w:szCs w:val="18"/>
        </w:rPr>
        <w:t xml:space="preserve">Over het conceptvoorstel voor </w:t>
      </w:r>
      <w:r>
        <w:t>de W</w:t>
      </w:r>
      <w:r w:rsidRPr="00773A13">
        <w:t>et differentiatie overdrachtsbelasting</w:t>
      </w:r>
      <w:r w:rsidRPr="008A369F">
        <w:rPr>
          <w:rFonts w:cs="Verdana"/>
          <w:color w:val="000000"/>
          <w:szCs w:val="18"/>
        </w:rPr>
        <w:t xml:space="preserve"> </w:t>
      </w:r>
      <w:r w:rsidR="00D32F81">
        <w:rPr>
          <w:rFonts w:cs="Verdana"/>
          <w:color w:val="000000"/>
          <w:szCs w:val="18"/>
        </w:rPr>
        <w:t xml:space="preserve">heeft op </w:t>
      </w:r>
      <w:r>
        <w:rPr>
          <w:rFonts w:cs="Verdana"/>
          <w:color w:val="000000"/>
          <w:szCs w:val="18"/>
        </w:rPr>
        <w:t>21 juli 2020</w:t>
      </w:r>
      <w:r w:rsidR="00D32F81">
        <w:rPr>
          <w:rFonts w:cs="Verdana"/>
          <w:color w:val="000000"/>
          <w:szCs w:val="18"/>
        </w:rPr>
        <w:t>,</w:t>
      </w:r>
      <w:r w:rsidR="00BE0450">
        <w:rPr>
          <w:rFonts w:cs="Verdana"/>
          <w:color w:val="000000"/>
          <w:szCs w:val="18"/>
        </w:rPr>
        <w:t xml:space="preserve"> 3 </w:t>
      </w:r>
      <w:r>
        <w:rPr>
          <w:rFonts w:cs="Verdana"/>
          <w:color w:val="000000"/>
          <w:szCs w:val="18"/>
        </w:rPr>
        <w:t>augustus 2020</w:t>
      </w:r>
      <w:r w:rsidR="00D32F81">
        <w:rPr>
          <w:rFonts w:cs="Verdana"/>
          <w:color w:val="000000"/>
          <w:szCs w:val="18"/>
        </w:rPr>
        <w:t xml:space="preserve"> en 21 augustus 2020 een</w:t>
      </w:r>
      <w:r>
        <w:rPr>
          <w:rFonts w:cs="Verdana"/>
          <w:color w:val="000000"/>
          <w:szCs w:val="18"/>
        </w:rPr>
        <w:t xml:space="preserve"> </w:t>
      </w:r>
      <w:r w:rsidR="00CA53ED">
        <w:rPr>
          <w:rFonts w:cs="Verdana"/>
          <w:color w:val="000000"/>
          <w:szCs w:val="18"/>
        </w:rPr>
        <w:t xml:space="preserve">informeel </w:t>
      </w:r>
      <w:r w:rsidRPr="008A369F">
        <w:rPr>
          <w:rFonts w:cs="Verdana"/>
          <w:color w:val="000000"/>
          <w:szCs w:val="18"/>
        </w:rPr>
        <w:t xml:space="preserve">overleg plaatsgevonden met </w:t>
      </w:r>
      <w:r w:rsidR="00CA53ED">
        <w:rPr>
          <w:rFonts w:cs="Verdana"/>
          <w:color w:val="000000"/>
          <w:szCs w:val="18"/>
        </w:rPr>
        <w:t xml:space="preserve">medewerkers van </w:t>
      </w:r>
      <w:r>
        <w:rPr>
          <w:rFonts w:cs="Verdana"/>
          <w:color w:val="000000"/>
          <w:szCs w:val="18"/>
        </w:rPr>
        <w:t>de Koninklijke Notariële beroepsorganisatie (KNB) en op 15 juli 2020 met</w:t>
      </w:r>
      <w:r w:rsidR="00CA53ED">
        <w:rPr>
          <w:rFonts w:cs="Verdana"/>
          <w:color w:val="000000"/>
          <w:szCs w:val="18"/>
        </w:rPr>
        <w:t xml:space="preserve"> medewerkers van</w:t>
      </w:r>
      <w:r>
        <w:rPr>
          <w:rFonts w:cs="Verdana"/>
          <w:color w:val="000000"/>
          <w:szCs w:val="18"/>
        </w:rPr>
        <w:t xml:space="preserve"> De Nederlandse Bank (DNB). </w:t>
      </w:r>
      <w:r w:rsidRPr="00B3048C">
        <w:rPr>
          <w:rFonts w:cs="Verdana"/>
          <w:color w:val="000000"/>
          <w:szCs w:val="18"/>
        </w:rPr>
        <w:t xml:space="preserve">De KNB is </w:t>
      </w:r>
      <w:r w:rsidR="00CA53ED">
        <w:rPr>
          <w:rFonts w:cs="Verdana"/>
          <w:color w:val="000000"/>
          <w:szCs w:val="18"/>
        </w:rPr>
        <w:t xml:space="preserve">op medewerkersniveau </w:t>
      </w:r>
      <w:r w:rsidRPr="00B3048C">
        <w:rPr>
          <w:rFonts w:cs="Verdana"/>
          <w:color w:val="000000"/>
          <w:szCs w:val="18"/>
        </w:rPr>
        <w:t>geconsulteerd over de uitvoering en heeft aangegeven dat er meerdere mogelijkheden zijn</w:t>
      </w:r>
      <w:r w:rsidR="002F3252">
        <w:rPr>
          <w:rFonts w:cs="Verdana"/>
          <w:color w:val="000000"/>
          <w:szCs w:val="18"/>
        </w:rPr>
        <w:t xml:space="preserve"> voor de implementatie</w:t>
      </w:r>
      <w:r w:rsidRPr="00B3048C">
        <w:rPr>
          <w:rFonts w:cs="Verdana"/>
          <w:color w:val="000000"/>
          <w:szCs w:val="18"/>
        </w:rPr>
        <w:t>.</w:t>
      </w:r>
      <w:r w:rsidR="00950BFF">
        <w:rPr>
          <w:rFonts w:cs="Verdana"/>
          <w:color w:val="000000"/>
          <w:szCs w:val="18"/>
        </w:rPr>
        <w:t xml:space="preserve"> De KNB </w:t>
      </w:r>
      <w:r w:rsidR="00CA53ED">
        <w:rPr>
          <w:rFonts w:cs="Verdana"/>
          <w:color w:val="000000"/>
          <w:szCs w:val="18"/>
        </w:rPr>
        <w:t>is</w:t>
      </w:r>
      <w:r w:rsidR="00950BFF">
        <w:rPr>
          <w:rFonts w:cs="Verdana"/>
          <w:color w:val="000000"/>
          <w:szCs w:val="18"/>
        </w:rPr>
        <w:t xml:space="preserve"> geen voorstander van een differentiatie in de overdrachtsbelasting op basis van het subject (de verkrijger). Op basis van huidige wetgeving is voor de overdrachtsbelasting alleen het object van belang (wel of geen woning) en is niet relevant wat de status van de verkrijger is. De KNB </w:t>
      </w:r>
      <w:r w:rsidR="00E74CCE">
        <w:rPr>
          <w:rFonts w:cs="Verdana"/>
          <w:color w:val="000000"/>
          <w:szCs w:val="18"/>
        </w:rPr>
        <w:t>is in principe</w:t>
      </w:r>
      <w:r w:rsidR="00950BFF">
        <w:rPr>
          <w:rFonts w:cs="Verdana"/>
          <w:color w:val="000000"/>
          <w:szCs w:val="18"/>
        </w:rPr>
        <w:t xml:space="preserve"> geen</w:t>
      </w:r>
      <w:r w:rsidR="00E74CCE">
        <w:rPr>
          <w:rFonts w:cs="Verdana"/>
          <w:color w:val="000000"/>
          <w:szCs w:val="18"/>
        </w:rPr>
        <w:t xml:space="preserve"> voorstander van</w:t>
      </w:r>
      <w:r w:rsidR="00693538">
        <w:rPr>
          <w:rFonts w:cs="Verdana"/>
          <w:color w:val="000000"/>
          <w:szCs w:val="18"/>
        </w:rPr>
        <w:t xml:space="preserve"> een</w:t>
      </w:r>
      <w:r w:rsidR="00950BFF">
        <w:rPr>
          <w:rFonts w:cs="Verdana"/>
          <w:color w:val="000000"/>
          <w:szCs w:val="18"/>
        </w:rPr>
        <w:t xml:space="preserve"> differentiatie in de overdrachtsbelasting voor starters en beleggers, omdat de wetgeving en uitvoering </w:t>
      </w:r>
      <w:r w:rsidR="00F45BF9">
        <w:rPr>
          <w:rFonts w:cs="Verdana"/>
          <w:color w:val="000000"/>
          <w:szCs w:val="18"/>
        </w:rPr>
        <w:t xml:space="preserve">voor het notariaat </w:t>
      </w:r>
      <w:r w:rsidR="00950BFF">
        <w:rPr>
          <w:rFonts w:cs="Verdana"/>
          <w:color w:val="000000"/>
          <w:szCs w:val="18"/>
        </w:rPr>
        <w:t xml:space="preserve">hierdoor complexer wordt. De KNB </w:t>
      </w:r>
      <w:r w:rsidR="00DB701F">
        <w:rPr>
          <w:rFonts w:cs="Verdana"/>
          <w:color w:val="000000"/>
          <w:szCs w:val="18"/>
        </w:rPr>
        <w:t>ondersteunt de keuze van het kabinet om de variant, die door het externe onderzoeksbureau Dialogic uitgebreid is onderzocht</w:t>
      </w:r>
      <w:r w:rsidR="00950BFF">
        <w:rPr>
          <w:rFonts w:cs="Verdana"/>
          <w:color w:val="000000"/>
          <w:szCs w:val="18"/>
        </w:rPr>
        <w:t xml:space="preserve">, waarbij de maatregelen worden gekoppeld aan woningbezit, niet </w:t>
      </w:r>
      <w:r w:rsidR="00DB701F">
        <w:rPr>
          <w:rFonts w:cs="Verdana"/>
          <w:color w:val="000000"/>
          <w:szCs w:val="18"/>
        </w:rPr>
        <w:t>door te voeren</w:t>
      </w:r>
      <w:r w:rsidR="00950BFF">
        <w:rPr>
          <w:rFonts w:cs="Verdana"/>
          <w:color w:val="000000"/>
          <w:szCs w:val="18"/>
        </w:rPr>
        <w:t xml:space="preserve">. </w:t>
      </w:r>
      <w:r w:rsidR="00AB30E8">
        <w:rPr>
          <w:rFonts w:cs="Verdana"/>
          <w:color w:val="000000"/>
          <w:szCs w:val="18"/>
        </w:rPr>
        <w:t>Deze variant</w:t>
      </w:r>
      <w:r w:rsidR="00950BFF">
        <w:rPr>
          <w:rFonts w:cs="Verdana"/>
          <w:color w:val="000000"/>
          <w:szCs w:val="18"/>
        </w:rPr>
        <w:t xml:space="preserve"> zou voor het notariaat niet uitvoerbaar zijn. De KNB meent dat de voorgestelde maatregelen uiteindelijk wel uitvoerbaar zijn voor het notariaat, maar </w:t>
      </w:r>
      <w:r w:rsidR="00F45BF9">
        <w:rPr>
          <w:rFonts w:cs="Verdana"/>
          <w:color w:val="000000"/>
          <w:szCs w:val="18"/>
        </w:rPr>
        <w:t xml:space="preserve">verwacht nog wel omvangrijke </w:t>
      </w:r>
      <w:r w:rsidR="00E74CCE">
        <w:rPr>
          <w:rFonts w:cs="Verdana"/>
          <w:color w:val="000000"/>
          <w:szCs w:val="18"/>
        </w:rPr>
        <w:t>uitdagingen in de uitvoering</w:t>
      </w:r>
      <w:r w:rsidR="00F45BF9">
        <w:rPr>
          <w:rFonts w:cs="Verdana"/>
          <w:color w:val="000000"/>
          <w:szCs w:val="18"/>
        </w:rPr>
        <w:t>. Dit heeft voornamelijk te maken met het feit dat het notariaat</w:t>
      </w:r>
      <w:r w:rsidR="00950BFF">
        <w:rPr>
          <w:rFonts w:cs="Verdana"/>
          <w:color w:val="000000"/>
          <w:szCs w:val="18"/>
        </w:rPr>
        <w:t xml:space="preserve"> </w:t>
      </w:r>
      <w:r w:rsidR="00CA53ED">
        <w:rPr>
          <w:rFonts w:cs="Verdana"/>
          <w:color w:val="000000"/>
          <w:szCs w:val="18"/>
        </w:rPr>
        <w:t>voor</w:t>
      </w:r>
      <w:r w:rsidR="00950BFF">
        <w:rPr>
          <w:rFonts w:cs="Verdana"/>
          <w:color w:val="000000"/>
          <w:szCs w:val="18"/>
        </w:rPr>
        <w:t xml:space="preserve"> de haalbaarheid van de inwerkingtredingsdatum van 1 januari 2021 afhankelijk </w:t>
      </w:r>
      <w:r w:rsidR="00F45BF9">
        <w:rPr>
          <w:rFonts w:cs="Verdana"/>
          <w:color w:val="000000"/>
          <w:szCs w:val="18"/>
        </w:rPr>
        <w:t xml:space="preserve">is </w:t>
      </w:r>
      <w:r w:rsidR="00950BFF">
        <w:rPr>
          <w:rFonts w:cs="Verdana"/>
          <w:color w:val="000000"/>
          <w:szCs w:val="18"/>
        </w:rPr>
        <w:t xml:space="preserve">van de vormgeving van de </w:t>
      </w:r>
      <w:r w:rsidR="00F45BF9">
        <w:rPr>
          <w:rFonts w:cs="Verdana"/>
          <w:color w:val="000000"/>
          <w:szCs w:val="18"/>
        </w:rPr>
        <w:t xml:space="preserve">schriftelijke </w:t>
      </w:r>
      <w:r w:rsidR="00950BFF">
        <w:rPr>
          <w:rFonts w:cs="Verdana"/>
          <w:color w:val="000000"/>
          <w:szCs w:val="18"/>
        </w:rPr>
        <w:t xml:space="preserve">verklaring en aanpassingen in de ICT-systemen. </w:t>
      </w:r>
      <w:r w:rsidR="00F45BF9">
        <w:rPr>
          <w:rFonts w:cs="Verdana"/>
          <w:color w:val="000000"/>
          <w:szCs w:val="18"/>
        </w:rPr>
        <w:t>De KNB is</w:t>
      </w:r>
      <w:r w:rsidR="00DB701F">
        <w:rPr>
          <w:rFonts w:cs="Verdana"/>
          <w:color w:val="000000"/>
          <w:szCs w:val="18"/>
        </w:rPr>
        <w:t xml:space="preserve"> daarom</w:t>
      </w:r>
      <w:r w:rsidR="009076BB">
        <w:rPr>
          <w:rFonts w:cs="Verdana"/>
          <w:color w:val="000000"/>
          <w:szCs w:val="18"/>
        </w:rPr>
        <w:t xml:space="preserve">, als een van de betrokken uitvoeringsorganisaties, aangesloten </w:t>
      </w:r>
      <w:r w:rsidR="00F45BF9">
        <w:rPr>
          <w:rFonts w:cs="Verdana"/>
          <w:color w:val="000000"/>
          <w:szCs w:val="18"/>
        </w:rPr>
        <w:t xml:space="preserve">bij </w:t>
      </w:r>
      <w:r w:rsidR="009076BB">
        <w:rPr>
          <w:rFonts w:cs="Verdana"/>
          <w:color w:val="000000"/>
          <w:szCs w:val="18"/>
        </w:rPr>
        <w:t>de uitwerking van dit proces</w:t>
      </w:r>
      <w:r w:rsidR="00F45BF9">
        <w:rPr>
          <w:rFonts w:cs="Verdana"/>
          <w:color w:val="000000"/>
          <w:szCs w:val="18"/>
        </w:rPr>
        <w:t>.</w:t>
      </w:r>
      <w:r w:rsidR="00950BFF">
        <w:rPr>
          <w:rFonts w:cs="Verdana"/>
          <w:color w:val="000000"/>
          <w:szCs w:val="18"/>
        </w:rPr>
        <w:t xml:space="preserve"> </w:t>
      </w:r>
      <w:r w:rsidRPr="00B3048C">
        <w:rPr>
          <w:rFonts w:cs="Verdana"/>
          <w:color w:val="000000"/>
          <w:szCs w:val="18"/>
        </w:rPr>
        <w:t>Met DNB is van gedachte</w:t>
      </w:r>
      <w:r w:rsidR="00D32F81">
        <w:rPr>
          <w:rFonts w:cs="Verdana"/>
          <w:color w:val="000000"/>
          <w:szCs w:val="18"/>
        </w:rPr>
        <w:t>n</w:t>
      </w:r>
      <w:r w:rsidRPr="00B3048C">
        <w:rPr>
          <w:rFonts w:cs="Verdana"/>
          <w:color w:val="000000"/>
          <w:szCs w:val="18"/>
        </w:rPr>
        <w:t xml:space="preserve"> gewisseld over beleidsmatige aspecten van het wetsvoorstel. DNB heeft aangegeven </w:t>
      </w:r>
      <w:r w:rsidR="00950BFF">
        <w:rPr>
          <w:rFonts w:cs="Verdana"/>
          <w:color w:val="000000"/>
          <w:szCs w:val="18"/>
        </w:rPr>
        <w:t>neutraal</w:t>
      </w:r>
      <w:r w:rsidR="00950BFF" w:rsidRPr="00B3048C">
        <w:rPr>
          <w:rFonts w:cs="Verdana"/>
          <w:color w:val="000000"/>
          <w:szCs w:val="18"/>
        </w:rPr>
        <w:t xml:space="preserve"> </w:t>
      </w:r>
      <w:r w:rsidR="00E40851">
        <w:rPr>
          <w:rFonts w:cs="Verdana"/>
          <w:color w:val="000000"/>
          <w:szCs w:val="18"/>
        </w:rPr>
        <w:t xml:space="preserve">te </w:t>
      </w:r>
      <w:r w:rsidR="00D32F81">
        <w:rPr>
          <w:rFonts w:cs="Verdana"/>
          <w:color w:val="000000"/>
          <w:szCs w:val="18"/>
        </w:rPr>
        <w:t>staan</w:t>
      </w:r>
      <w:r w:rsidR="00E40851">
        <w:rPr>
          <w:rFonts w:cs="Verdana"/>
          <w:color w:val="000000"/>
          <w:szCs w:val="18"/>
        </w:rPr>
        <w:t xml:space="preserve"> </w:t>
      </w:r>
      <w:r w:rsidR="00950BFF">
        <w:rPr>
          <w:rFonts w:cs="Verdana"/>
          <w:color w:val="000000"/>
          <w:szCs w:val="18"/>
        </w:rPr>
        <w:t>tegen</w:t>
      </w:r>
      <w:r w:rsidRPr="00B3048C">
        <w:rPr>
          <w:rFonts w:cs="Verdana"/>
          <w:color w:val="000000"/>
          <w:szCs w:val="18"/>
        </w:rPr>
        <w:t xml:space="preserve">over deze maatregel. Vanwege de politieke wens om de maatregel per </w:t>
      </w:r>
      <w:r w:rsidR="00F836D2">
        <w:rPr>
          <w:rFonts w:cs="Verdana"/>
          <w:color w:val="000000"/>
          <w:szCs w:val="18"/>
        </w:rPr>
        <w:t>1 januari 2021</w:t>
      </w:r>
      <w:r w:rsidRPr="00B3048C">
        <w:rPr>
          <w:rFonts w:cs="Verdana"/>
          <w:color w:val="000000"/>
          <w:szCs w:val="18"/>
        </w:rPr>
        <w:t xml:space="preserve"> in te voeren </w:t>
      </w:r>
      <w:r w:rsidR="00E40851">
        <w:rPr>
          <w:rFonts w:cs="Verdana"/>
          <w:color w:val="000000"/>
          <w:szCs w:val="18"/>
        </w:rPr>
        <w:t>kon</w:t>
      </w:r>
      <w:r w:rsidRPr="00B3048C">
        <w:rPr>
          <w:rFonts w:cs="Verdana"/>
          <w:color w:val="000000"/>
          <w:szCs w:val="18"/>
        </w:rPr>
        <w:t xml:space="preserve"> in het tijdspad niet meer </w:t>
      </w:r>
      <w:r w:rsidR="00E40851">
        <w:rPr>
          <w:rFonts w:cs="Verdana"/>
          <w:color w:val="000000"/>
          <w:szCs w:val="18"/>
        </w:rPr>
        <w:t xml:space="preserve">worden </w:t>
      </w:r>
      <w:r w:rsidRPr="00B3048C">
        <w:rPr>
          <w:rFonts w:cs="Verdana"/>
          <w:color w:val="000000"/>
          <w:szCs w:val="18"/>
        </w:rPr>
        <w:t xml:space="preserve">voorzien in een </w:t>
      </w:r>
      <w:r w:rsidR="00F836D2">
        <w:rPr>
          <w:rFonts w:cs="Verdana"/>
          <w:color w:val="000000"/>
          <w:szCs w:val="18"/>
        </w:rPr>
        <w:t>afzonderlijke internetconsultatie</w:t>
      </w:r>
      <w:r w:rsidRPr="00B3048C">
        <w:rPr>
          <w:rFonts w:cs="Verdana"/>
          <w:color w:val="000000"/>
          <w:szCs w:val="18"/>
        </w:rPr>
        <w:t>.</w:t>
      </w:r>
      <w:r w:rsidR="00F16E3D">
        <w:rPr>
          <w:rFonts w:cs="Verdana"/>
          <w:color w:val="000000"/>
          <w:szCs w:val="18"/>
        </w:rPr>
        <w:t xml:space="preserve"> Het kabinet acht het noodzakelijk om de inwerkingtredingsdatum van deze maatregelen niet uit te stellen, omdat de woningmarktontwikkelingen aangeven dat de koopstarter zo snel mogelijk geholpen moet worden. </w:t>
      </w:r>
      <w:r w:rsidR="00F16E3D" w:rsidRPr="008A26B8">
        <w:rPr>
          <w:rFonts w:cs="Verdana"/>
          <w:color w:val="000000"/>
          <w:szCs w:val="18"/>
        </w:rPr>
        <w:t>De huidige woningmarktontwikkelingen geven aan dat er steeds minder starters een woning kopen. In 2013 was dit nog 50%, terwijl dit aandeel in 2019 was geslonken naar 30%.</w:t>
      </w:r>
      <w:r w:rsidR="00F16E3D" w:rsidRPr="008A26B8">
        <w:rPr>
          <w:vertAlign w:val="superscript"/>
        </w:rPr>
        <w:footnoteReference w:id="20"/>
      </w:r>
      <w:r w:rsidR="00F16E3D" w:rsidRPr="00F16E3D">
        <w:rPr>
          <w:rFonts w:cs="Verdana"/>
          <w:color w:val="000000"/>
          <w:szCs w:val="18"/>
        </w:rPr>
        <w:t xml:space="preserve"> </w:t>
      </w:r>
      <w:r w:rsidR="00F16E3D" w:rsidRPr="008A26B8">
        <w:rPr>
          <w:rFonts w:cs="Verdana"/>
          <w:color w:val="000000"/>
          <w:szCs w:val="18"/>
        </w:rPr>
        <w:t xml:space="preserve">Het is </w:t>
      </w:r>
      <w:r w:rsidR="00F16E3D">
        <w:rPr>
          <w:rFonts w:cs="Verdana"/>
          <w:color w:val="000000"/>
          <w:szCs w:val="18"/>
        </w:rPr>
        <w:t>on</w:t>
      </w:r>
      <w:r w:rsidR="00F16E3D" w:rsidRPr="008A26B8">
        <w:rPr>
          <w:rFonts w:cs="Verdana"/>
          <w:color w:val="000000"/>
          <w:szCs w:val="18"/>
        </w:rPr>
        <w:t xml:space="preserve">bekend hoe de woningmarkt zich de komende jaren gaat ontwikkelen. Dit kan betekenen dat de urgentie om starters te helpen met de jaren weer af gaat nemen en </w:t>
      </w:r>
      <w:r w:rsidR="00F16E3D">
        <w:rPr>
          <w:rFonts w:cs="Verdana"/>
          <w:color w:val="000000"/>
          <w:szCs w:val="18"/>
        </w:rPr>
        <w:t>de startersvrijstelling te laat komt</w:t>
      </w:r>
      <w:r w:rsidR="00F16E3D" w:rsidRPr="008A26B8">
        <w:rPr>
          <w:rFonts w:cs="Verdana"/>
          <w:color w:val="000000"/>
          <w:szCs w:val="18"/>
        </w:rPr>
        <w:t>.</w:t>
      </w:r>
      <w:r w:rsidR="00F16E3D">
        <w:rPr>
          <w:rFonts w:cs="Verdana"/>
          <w:color w:val="000000"/>
          <w:szCs w:val="18"/>
        </w:rPr>
        <w:t xml:space="preserve"> Vanwege de onbekende woningmarktontwikkelingen, is er wel voor gekozen om </w:t>
      </w:r>
      <w:r w:rsidR="00F16E3D" w:rsidRPr="008A26B8">
        <w:rPr>
          <w:rFonts w:cs="Verdana"/>
          <w:color w:val="000000"/>
          <w:szCs w:val="18"/>
        </w:rPr>
        <w:t xml:space="preserve">een horizonbepaling op te nemen voor de startersvrijstelling, zodat binnen 5 jaar kan worden </w:t>
      </w:r>
      <w:r w:rsidR="00F16E3D" w:rsidRPr="008A26B8">
        <w:rPr>
          <w:rFonts w:cs="Verdana"/>
          <w:color w:val="000000"/>
          <w:szCs w:val="18"/>
        </w:rPr>
        <w:lastRenderedPageBreak/>
        <w:t>geëvalueerd of een voortzetting van de vrijstelling noodzakelijk is. Zo niet, dan zal de vrijstelling komen te vervallen.</w:t>
      </w:r>
      <w:r w:rsidR="00F16E3D">
        <w:rPr>
          <w:rFonts w:cs="Verdana"/>
          <w:color w:val="000000"/>
          <w:szCs w:val="18"/>
        </w:rPr>
        <w:t xml:space="preserve"> </w:t>
      </w:r>
    </w:p>
    <w:p w:rsidR="003D5195" w:rsidRPr="003D5195" w:rsidRDefault="003D5195" w:rsidP="003D5195">
      <w:pPr>
        <w:spacing w:line="360" w:lineRule="auto"/>
        <w:rPr>
          <w:rFonts w:cs="Verdana"/>
          <w:color w:val="000000"/>
          <w:szCs w:val="18"/>
        </w:rPr>
      </w:pPr>
      <w:r>
        <w:rPr>
          <w:rFonts w:cs="Verdana"/>
          <w:color w:val="000000"/>
          <w:szCs w:val="18"/>
        </w:rPr>
        <w:t xml:space="preserve">Uit het </w:t>
      </w:r>
      <w:r w:rsidR="00CA53ED">
        <w:rPr>
          <w:rFonts w:cs="Verdana"/>
          <w:color w:val="000000"/>
          <w:szCs w:val="18"/>
        </w:rPr>
        <w:t>a</w:t>
      </w:r>
      <w:r>
        <w:rPr>
          <w:rFonts w:cs="Verdana"/>
          <w:color w:val="000000"/>
          <w:szCs w:val="18"/>
        </w:rPr>
        <w:t xml:space="preserve">dvies van de Raad </w:t>
      </w:r>
      <w:r w:rsidR="00CA53ED">
        <w:rPr>
          <w:rFonts w:cs="Verdana"/>
          <w:color w:val="000000"/>
          <w:szCs w:val="18"/>
        </w:rPr>
        <w:t xml:space="preserve">voor de </w:t>
      </w:r>
      <w:r>
        <w:rPr>
          <w:rFonts w:cs="Verdana"/>
          <w:color w:val="000000"/>
          <w:szCs w:val="18"/>
        </w:rPr>
        <w:t xml:space="preserve">Rechtspraak volgt dat </w:t>
      </w:r>
      <w:r w:rsidR="0093518B">
        <w:rPr>
          <w:rFonts w:cs="Verdana"/>
          <w:color w:val="000000"/>
          <w:szCs w:val="18"/>
        </w:rPr>
        <w:t xml:space="preserve">zij geen </w:t>
      </w:r>
      <w:r w:rsidR="0093518B" w:rsidRPr="003D5195">
        <w:rPr>
          <w:rFonts w:cs="Verdana"/>
          <w:color w:val="000000"/>
          <w:szCs w:val="18"/>
        </w:rPr>
        <w:t>substantiële verandering in de werklast als gevolg van dit conceptwetsvoorstel</w:t>
      </w:r>
      <w:r w:rsidR="0093518B">
        <w:rPr>
          <w:rFonts w:cs="Verdana"/>
          <w:color w:val="000000"/>
          <w:szCs w:val="18"/>
        </w:rPr>
        <w:t xml:space="preserve"> verwachten</w:t>
      </w:r>
      <w:r w:rsidR="0093518B" w:rsidRPr="003D5195">
        <w:rPr>
          <w:rFonts w:cs="Verdana"/>
          <w:color w:val="000000"/>
          <w:szCs w:val="18"/>
        </w:rPr>
        <w:t>.</w:t>
      </w:r>
      <w:r w:rsidR="0093518B">
        <w:rPr>
          <w:rFonts w:cs="Verdana"/>
          <w:color w:val="000000"/>
          <w:szCs w:val="18"/>
        </w:rPr>
        <w:t xml:space="preserve"> De Raad geeft wel aan dat er </w:t>
      </w:r>
      <w:r>
        <w:rPr>
          <w:rFonts w:cs="Verdana"/>
          <w:color w:val="000000"/>
          <w:szCs w:val="18"/>
        </w:rPr>
        <w:t xml:space="preserve">mogelijk sprake </w:t>
      </w:r>
      <w:r w:rsidR="00BE0450">
        <w:rPr>
          <w:rFonts w:cs="Verdana"/>
          <w:color w:val="000000"/>
          <w:szCs w:val="18"/>
        </w:rPr>
        <w:t>zal</w:t>
      </w:r>
      <w:r>
        <w:rPr>
          <w:rFonts w:cs="Verdana"/>
          <w:color w:val="000000"/>
          <w:szCs w:val="18"/>
        </w:rPr>
        <w:t xml:space="preserve"> zijn van enige </w:t>
      </w:r>
      <w:r w:rsidRPr="003D5195">
        <w:rPr>
          <w:rFonts w:cs="Verdana"/>
          <w:color w:val="000000"/>
          <w:szCs w:val="18"/>
        </w:rPr>
        <w:t>werklastverzwaring</w:t>
      </w:r>
      <w:r>
        <w:rPr>
          <w:rFonts w:cs="Verdana"/>
          <w:color w:val="000000"/>
          <w:szCs w:val="18"/>
        </w:rPr>
        <w:t xml:space="preserve"> door</w:t>
      </w:r>
      <w:r w:rsidR="00E40851">
        <w:rPr>
          <w:rFonts w:cs="Verdana"/>
          <w:color w:val="000000"/>
          <w:szCs w:val="18"/>
        </w:rPr>
        <w:t xml:space="preserve"> de </w:t>
      </w:r>
      <w:r>
        <w:rPr>
          <w:rFonts w:cs="Verdana"/>
          <w:color w:val="000000"/>
          <w:szCs w:val="18"/>
        </w:rPr>
        <w:t xml:space="preserve">introductie van het hoofdverblijfcriterium, vanwege de kans op procedures over </w:t>
      </w:r>
      <w:r w:rsidR="0093518B">
        <w:rPr>
          <w:rFonts w:cs="Verdana"/>
          <w:color w:val="000000"/>
          <w:szCs w:val="18"/>
        </w:rPr>
        <w:t xml:space="preserve">het bewust of onbewust onjuist verklaren dat de woning </w:t>
      </w:r>
      <w:r w:rsidR="005D4EE3">
        <w:rPr>
          <w:rFonts w:cs="Verdana"/>
          <w:color w:val="000000"/>
          <w:szCs w:val="18"/>
        </w:rPr>
        <w:t xml:space="preserve">anders dan tijdelijk </w:t>
      </w:r>
      <w:r w:rsidR="0093518B">
        <w:rPr>
          <w:rFonts w:cs="Verdana"/>
          <w:color w:val="000000"/>
          <w:szCs w:val="18"/>
        </w:rPr>
        <w:t xml:space="preserve">als hoofdverblijf zal worden gebruikt. Daarnaast voorziet de Raad mogelijke discussies over het tijdstip waarop de vrijstelling en aanscherping van het verlaagde tarief ingaat. Bij </w:t>
      </w:r>
      <w:r w:rsidR="00CA53ED">
        <w:rPr>
          <w:rFonts w:cs="Verdana"/>
          <w:color w:val="000000"/>
          <w:szCs w:val="18"/>
        </w:rPr>
        <w:t xml:space="preserve">de </w:t>
      </w:r>
      <w:r w:rsidR="0093518B">
        <w:rPr>
          <w:rFonts w:cs="Verdana"/>
          <w:color w:val="000000"/>
          <w:szCs w:val="18"/>
        </w:rPr>
        <w:t xml:space="preserve">verlaging van het tarief voor woningen in 2011 vond een vergelijkbare discussie plaats, </w:t>
      </w:r>
      <w:r w:rsidRPr="003D5195">
        <w:rPr>
          <w:rFonts w:cs="Verdana"/>
          <w:color w:val="000000"/>
          <w:szCs w:val="18"/>
        </w:rPr>
        <w:t>omdat kopers van een woning net buiten de termijn vielen</w:t>
      </w:r>
      <w:r w:rsidR="0093518B">
        <w:rPr>
          <w:rFonts w:cs="Verdana"/>
          <w:color w:val="000000"/>
          <w:szCs w:val="18"/>
        </w:rPr>
        <w:t xml:space="preserve"> en daardoor nog 6% overdrachtsbelasting verschuldigd waren</w:t>
      </w:r>
      <w:r w:rsidRPr="003D5195">
        <w:rPr>
          <w:rFonts w:cs="Verdana"/>
          <w:color w:val="000000"/>
          <w:szCs w:val="18"/>
        </w:rPr>
        <w:t xml:space="preserve">. Een tijdelijke piek in het aantal zaken is </w:t>
      </w:r>
      <w:r w:rsidR="0093518B">
        <w:rPr>
          <w:rFonts w:cs="Verdana"/>
          <w:color w:val="000000"/>
          <w:szCs w:val="18"/>
        </w:rPr>
        <w:t xml:space="preserve">volgens de Raad dan ook </w:t>
      </w:r>
      <w:r w:rsidRPr="003D5195">
        <w:rPr>
          <w:rFonts w:cs="Verdana"/>
          <w:color w:val="000000"/>
          <w:szCs w:val="18"/>
        </w:rPr>
        <w:t xml:space="preserve">niet ondenkbaar. </w:t>
      </w:r>
    </w:p>
    <w:p w:rsidR="00FB15EC" w:rsidRPr="003D5195" w:rsidRDefault="00FB15EC" w:rsidP="003D5195">
      <w:pPr>
        <w:spacing w:line="360" w:lineRule="auto"/>
        <w:rPr>
          <w:rFonts w:cs="Verdana"/>
          <w:color w:val="000000"/>
          <w:szCs w:val="18"/>
        </w:rPr>
      </w:pPr>
      <w:r w:rsidRPr="00FB15EC">
        <w:rPr>
          <w:rFonts w:cs="Verdana"/>
          <w:color w:val="000000"/>
          <w:szCs w:val="18"/>
        </w:rPr>
        <w:t>Daarnaast heeft het Adviescollege Toetsing Regeldruk (ATR) een advies uitgebracht over het wetsvoorstel. Het advies van het ATR is ter harte genomen</w:t>
      </w:r>
      <w:r>
        <w:rPr>
          <w:rFonts w:cs="Verdana"/>
          <w:color w:val="000000"/>
          <w:szCs w:val="18"/>
        </w:rPr>
        <w:t>, door de rechtvaardiging van de opname van een leeftijdsgrens verder te onderbouwen</w:t>
      </w:r>
      <w:r w:rsidR="00143816">
        <w:rPr>
          <w:rFonts w:cs="Verdana"/>
          <w:color w:val="000000"/>
          <w:szCs w:val="18"/>
        </w:rPr>
        <w:t xml:space="preserve"> en de gevolgen aan te geven, wanneer geen leeftijdsgrens wordt gehanteerd</w:t>
      </w:r>
      <w:r>
        <w:rPr>
          <w:rFonts w:cs="Verdana"/>
          <w:color w:val="000000"/>
          <w:szCs w:val="18"/>
        </w:rPr>
        <w:t xml:space="preserve">. </w:t>
      </w:r>
    </w:p>
    <w:p w:rsidR="003A3DF8" w:rsidRPr="00773A13" w:rsidRDefault="00486C72" w:rsidP="009D6FC4">
      <w:pPr>
        <w:pStyle w:val="Kop1"/>
        <w:numPr>
          <w:ilvl w:val="0"/>
          <w:numId w:val="23"/>
        </w:numPr>
        <w:rPr>
          <w:rFonts w:ascii="Verdana" w:hAnsi="Verdana"/>
          <w:i/>
          <w:color w:val="auto"/>
          <w:sz w:val="18"/>
        </w:rPr>
      </w:pPr>
      <w:bookmarkStart w:id="57" w:name="_Toc48234421"/>
      <w:bookmarkStart w:id="58" w:name="_Toc48313361"/>
      <w:bookmarkStart w:id="59" w:name="_Toc46407553"/>
      <w:bookmarkStart w:id="60" w:name="_Toc49418738"/>
      <w:bookmarkStart w:id="61" w:name="_Toc50568500"/>
      <w:bookmarkEnd w:id="57"/>
      <w:bookmarkEnd w:id="58"/>
      <w:r w:rsidRPr="00773A13">
        <w:rPr>
          <w:rFonts w:ascii="Verdana" w:hAnsi="Verdana"/>
          <w:i/>
          <w:color w:val="auto"/>
          <w:sz w:val="18"/>
        </w:rPr>
        <w:t>Administratieve lasten</w:t>
      </w:r>
      <w:bookmarkEnd w:id="59"/>
      <w:bookmarkEnd w:id="60"/>
      <w:bookmarkEnd w:id="61"/>
      <w:r w:rsidR="00601B43" w:rsidRPr="00773A13">
        <w:rPr>
          <w:rFonts w:ascii="Verdana" w:hAnsi="Verdana"/>
          <w:i/>
          <w:color w:val="auto"/>
          <w:sz w:val="18"/>
        </w:rPr>
        <w:t xml:space="preserve"> </w:t>
      </w:r>
    </w:p>
    <w:p w:rsidR="00205C21" w:rsidRPr="00277EF0" w:rsidRDefault="00205C21" w:rsidP="00277EF0"/>
    <w:p w:rsidR="00C653B0" w:rsidRDefault="00A118D2" w:rsidP="003A0D21">
      <w:pPr>
        <w:spacing w:line="360" w:lineRule="auto"/>
      </w:pPr>
      <w:r w:rsidRPr="00773A13">
        <w:t xml:space="preserve">De maatregelen in dit wetsvoorstel hebben beperkte structurele gevolgen voor de administratieve lasten </w:t>
      </w:r>
      <w:r w:rsidR="00A30148">
        <w:t xml:space="preserve">(hierna: AL) </w:t>
      </w:r>
      <w:r w:rsidRPr="00773A13">
        <w:t>van burgers en bedrijven.</w:t>
      </w:r>
      <w:r w:rsidR="00C653B0">
        <w:t xml:space="preserve"> </w:t>
      </w:r>
      <w:r w:rsidRPr="00773A13">
        <w:t xml:space="preserve">Het gaat onder meer om de invoering van de </w:t>
      </w:r>
      <w:r w:rsidR="00444ABE" w:rsidRPr="00773A13">
        <w:t xml:space="preserve">schriftelijke </w:t>
      </w:r>
      <w:r w:rsidRPr="00773A13">
        <w:t xml:space="preserve">verklaring. De </w:t>
      </w:r>
      <w:r w:rsidR="00444ABE" w:rsidRPr="00773A13">
        <w:t xml:space="preserve">schriftelijke </w:t>
      </w:r>
      <w:r w:rsidRPr="00773A13">
        <w:t xml:space="preserve">verklaring heeft een effect op de regeldruk </w:t>
      </w:r>
      <w:r w:rsidR="00F22CF2" w:rsidRPr="00773A13">
        <w:t xml:space="preserve">voor </w:t>
      </w:r>
      <w:r w:rsidRPr="00773A13">
        <w:t xml:space="preserve">notarissen en </w:t>
      </w:r>
      <w:r w:rsidR="00205C21">
        <w:t xml:space="preserve">mogelijk </w:t>
      </w:r>
      <w:r w:rsidR="00912898">
        <w:t xml:space="preserve">op </w:t>
      </w:r>
      <w:r w:rsidR="00205C21">
        <w:t>natuurlijke personen</w:t>
      </w:r>
      <w:r w:rsidRPr="00773A13">
        <w:t xml:space="preserve"> die een woning kopen </w:t>
      </w:r>
      <w:r w:rsidR="004E1339" w:rsidRPr="00773A13">
        <w:t>die</w:t>
      </w:r>
      <w:r w:rsidRPr="00773A13">
        <w:t xml:space="preserve"> </w:t>
      </w:r>
      <w:r w:rsidR="005D4EE3">
        <w:t xml:space="preserve">zij </w:t>
      </w:r>
      <w:r w:rsidR="00E7003D" w:rsidRPr="00773A13">
        <w:t xml:space="preserve">anders dan tijdelijk </w:t>
      </w:r>
      <w:r w:rsidR="005D4EE3">
        <w:t>als hoofdverblijf gaan gebruiken</w:t>
      </w:r>
      <w:r w:rsidRPr="00773A13">
        <w:t xml:space="preserve">. </w:t>
      </w:r>
      <w:r w:rsidR="00205C21" w:rsidRPr="00773A13">
        <w:t>De maatregelen in dit wetsvoorstel hebben beperkte structurele gevolgen</w:t>
      </w:r>
      <w:r w:rsidRPr="00773A13">
        <w:t xml:space="preserve"> voor de </w:t>
      </w:r>
      <w:r w:rsidR="00205C21" w:rsidRPr="00773A13">
        <w:t xml:space="preserve">administratieve lasten van burgers en bedrijven. </w:t>
      </w:r>
      <w:r w:rsidR="003A0D21">
        <w:t xml:space="preserve">De KNB verwacht dat </w:t>
      </w:r>
      <w:r w:rsidR="00191B4D">
        <w:t xml:space="preserve">de nieuwe maatregelen leiden </w:t>
      </w:r>
      <w:r w:rsidR="003A0D21">
        <w:t xml:space="preserve">tot enkele aanpassingen in het bestaande proces van </w:t>
      </w:r>
      <w:r w:rsidR="00CA53ED">
        <w:t>de</w:t>
      </w:r>
      <w:r w:rsidR="003A0D21">
        <w:t xml:space="preserve"> notaris. Deze wijzigingen zien op het vooronderzoek, </w:t>
      </w:r>
      <w:r w:rsidR="00CA53ED">
        <w:t>werkzaamheden rondom de</w:t>
      </w:r>
      <w:r w:rsidR="00191B4D">
        <w:t xml:space="preserve"> schriftelijke verklaring en </w:t>
      </w:r>
      <w:r w:rsidR="003A0D21">
        <w:t xml:space="preserve">het verstrekken van gegevens </w:t>
      </w:r>
      <w:r w:rsidR="00191B4D">
        <w:t>via</w:t>
      </w:r>
      <w:r w:rsidR="003A0D21">
        <w:t xml:space="preserve"> </w:t>
      </w:r>
      <w:r w:rsidR="007E79D6">
        <w:t>de</w:t>
      </w:r>
      <w:r w:rsidR="006528FF">
        <w:t xml:space="preserve"> aangifte</w:t>
      </w:r>
      <w:r w:rsidR="007E79D6">
        <w:t xml:space="preserve"> overdrachtsbelasting</w:t>
      </w:r>
      <w:r w:rsidR="006528FF">
        <w:t xml:space="preserve">. </w:t>
      </w:r>
    </w:p>
    <w:p w:rsidR="006528FF" w:rsidRPr="00E25269" w:rsidRDefault="00130C33" w:rsidP="006528FF">
      <w:pPr>
        <w:spacing w:line="360" w:lineRule="auto"/>
        <w:rPr>
          <w:u w:val="single"/>
        </w:rPr>
      </w:pPr>
      <w:r w:rsidRPr="00E25269">
        <w:rPr>
          <w:u w:val="single"/>
        </w:rPr>
        <w:t xml:space="preserve">Vooronderzoek </w:t>
      </w:r>
    </w:p>
    <w:p w:rsidR="006528FF" w:rsidRDefault="006528FF" w:rsidP="006528FF">
      <w:pPr>
        <w:spacing w:line="360" w:lineRule="auto"/>
        <w:rPr>
          <w:szCs w:val="18"/>
        </w:rPr>
      </w:pPr>
      <w:r>
        <w:t xml:space="preserve">De notaris zal vooronderzoek moeten doen om in te schatten </w:t>
      </w:r>
      <w:r w:rsidR="00130C33" w:rsidRPr="006528FF">
        <w:rPr>
          <w:szCs w:val="18"/>
        </w:rPr>
        <w:t xml:space="preserve">of aan de voorwaarden van de vrijstelling of toepassing van het verlaagde tarief van 2% wordt voldaan. </w:t>
      </w:r>
      <w:r>
        <w:rPr>
          <w:szCs w:val="18"/>
        </w:rPr>
        <w:t>Dit leidt tot een administratieve lastenverzwaring, die</w:t>
      </w:r>
      <w:r w:rsidR="00130C33" w:rsidRPr="006528FF">
        <w:rPr>
          <w:szCs w:val="18"/>
        </w:rPr>
        <w:t xml:space="preserve"> betrekking </w:t>
      </w:r>
      <w:r w:rsidR="00653852">
        <w:rPr>
          <w:szCs w:val="18"/>
        </w:rPr>
        <w:t xml:space="preserve">heeft </w:t>
      </w:r>
      <w:r w:rsidR="00130C33" w:rsidRPr="006528FF">
        <w:rPr>
          <w:szCs w:val="18"/>
        </w:rPr>
        <w:t>op maximaal</w:t>
      </w:r>
      <w:r w:rsidR="00AB160C">
        <w:rPr>
          <w:szCs w:val="18"/>
        </w:rPr>
        <w:t xml:space="preserve"> 2</w:t>
      </w:r>
      <w:r w:rsidR="001576CD">
        <w:rPr>
          <w:szCs w:val="18"/>
        </w:rPr>
        <w:t>93</w:t>
      </w:r>
      <w:r w:rsidR="00BB578F">
        <w:rPr>
          <w:szCs w:val="18"/>
        </w:rPr>
        <w:t xml:space="preserve"> duizend</w:t>
      </w:r>
      <w:r w:rsidR="00130C33" w:rsidRPr="006528FF">
        <w:rPr>
          <w:szCs w:val="18"/>
        </w:rPr>
        <w:t xml:space="preserve"> woningtransacties</w:t>
      </w:r>
      <w:r w:rsidR="00653852">
        <w:rPr>
          <w:szCs w:val="18"/>
        </w:rPr>
        <w:t xml:space="preserve"> (cijfers 2018</w:t>
      </w:r>
      <w:r w:rsidR="00653852" w:rsidRPr="002608D8">
        <w:rPr>
          <w:szCs w:val="18"/>
        </w:rPr>
        <w:t>)</w:t>
      </w:r>
      <w:r w:rsidR="00130C33" w:rsidRPr="002608D8">
        <w:rPr>
          <w:szCs w:val="18"/>
        </w:rPr>
        <w:t>.</w:t>
      </w:r>
      <w:r w:rsidR="00B20D34" w:rsidRPr="002608D8">
        <w:rPr>
          <w:szCs w:val="18"/>
        </w:rPr>
        <w:t xml:space="preserve"> Hiervan heeft </w:t>
      </w:r>
      <w:r w:rsidR="00653852" w:rsidRPr="002608D8">
        <w:rPr>
          <w:szCs w:val="18"/>
        </w:rPr>
        <w:t>(structureel) circa 152 duizend</w:t>
      </w:r>
      <w:r w:rsidR="00B20D34" w:rsidRPr="002608D8">
        <w:rPr>
          <w:szCs w:val="18"/>
        </w:rPr>
        <w:t xml:space="preserve"> betrekking op het verlaagde tarief van 2%</w:t>
      </w:r>
      <w:r w:rsidR="001576CD" w:rsidRPr="002608D8">
        <w:rPr>
          <w:szCs w:val="18"/>
        </w:rPr>
        <w:t>,</w:t>
      </w:r>
      <w:r w:rsidR="00130C33" w:rsidRPr="002608D8">
        <w:rPr>
          <w:szCs w:val="18"/>
        </w:rPr>
        <w:t xml:space="preserve"> </w:t>
      </w:r>
      <w:r w:rsidR="00653852" w:rsidRPr="002608D8">
        <w:rPr>
          <w:szCs w:val="18"/>
        </w:rPr>
        <w:t>55 duizend</w:t>
      </w:r>
      <w:r w:rsidR="00B20D34" w:rsidRPr="002608D8">
        <w:rPr>
          <w:szCs w:val="18"/>
        </w:rPr>
        <w:t xml:space="preserve"> op de startersvrijstelling</w:t>
      </w:r>
      <w:r w:rsidR="001576CD" w:rsidRPr="002608D8">
        <w:rPr>
          <w:szCs w:val="18"/>
        </w:rPr>
        <w:t xml:space="preserve"> en de overige 86</w:t>
      </w:r>
      <w:r w:rsidR="00BB578F" w:rsidRPr="002608D8">
        <w:rPr>
          <w:szCs w:val="18"/>
        </w:rPr>
        <w:t xml:space="preserve"> duizend</w:t>
      </w:r>
      <w:r w:rsidR="001576CD" w:rsidRPr="002608D8">
        <w:rPr>
          <w:szCs w:val="18"/>
        </w:rPr>
        <w:t xml:space="preserve"> op woningtransacties die niet in aanmerking komen voor het verlaagde tarief of de vrijstelling</w:t>
      </w:r>
      <w:r w:rsidR="00B20D34" w:rsidRPr="002608D8">
        <w:rPr>
          <w:szCs w:val="18"/>
        </w:rPr>
        <w:t xml:space="preserve">. </w:t>
      </w:r>
      <w:r w:rsidR="00653852" w:rsidRPr="002608D8">
        <w:rPr>
          <w:szCs w:val="18"/>
        </w:rPr>
        <w:t>Deze laatste groep zal dan onder het algemene tarief van 8% v</w:t>
      </w:r>
      <w:r w:rsidR="00653852">
        <w:rPr>
          <w:szCs w:val="18"/>
        </w:rPr>
        <w:t xml:space="preserve">allen. </w:t>
      </w:r>
      <w:r>
        <w:rPr>
          <w:szCs w:val="18"/>
        </w:rPr>
        <w:t xml:space="preserve">Echter, de notaris zal in minder gevallen vooronderzoek moeten doen naar de kwalificatie van een onroerende zaak als woning of niet-woning. Indien de verkrijger de woning niet anders dan tijdelijk als hoofdverblijf gaat gebruiken, is er geen verschil in tarief meer tussen woningen en niet-woningen. </w:t>
      </w:r>
      <w:r w:rsidR="00CA53ED">
        <w:rPr>
          <w:szCs w:val="18"/>
        </w:rPr>
        <w:t xml:space="preserve">In beide gevallen </w:t>
      </w:r>
      <w:r w:rsidR="00CA53ED">
        <w:rPr>
          <w:szCs w:val="18"/>
        </w:rPr>
        <w:lastRenderedPageBreak/>
        <w:t>wordt de</w:t>
      </w:r>
      <w:r>
        <w:rPr>
          <w:szCs w:val="18"/>
        </w:rPr>
        <w:t xml:space="preserve"> verkrijging dan tegen het algemene tarief belast.</w:t>
      </w:r>
      <w:r>
        <w:t xml:space="preserve"> </w:t>
      </w:r>
      <w:r>
        <w:rPr>
          <w:szCs w:val="18"/>
        </w:rPr>
        <w:t>Dit leidt tot een administratieve lastenverlichting, die</w:t>
      </w:r>
      <w:r w:rsidRPr="006528FF">
        <w:rPr>
          <w:szCs w:val="18"/>
        </w:rPr>
        <w:t xml:space="preserve"> betrekking </w:t>
      </w:r>
      <w:r w:rsidR="00653852">
        <w:rPr>
          <w:szCs w:val="18"/>
        </w:rPr>
        <w:t xml:space="preserve">heeft </w:t>
      </w:r>
      <w:r w:rsidRPr="006528FF">
        <w:rPr>
          <w:szCs w:val="18"/>
        </w:rPr>
        <w:t xml:space="preserve">op </w:t>
      </w:r>
      <w:r>
        <w:t>cir</w:t>
      </w:r>
      <w:r w:rsidRPr="00E25269">
        <w:rPr>
          <w:szCs w:val="18"/>
        </w:rPr>
        <w:t xml:space="preserve">ca </w:t>
      </w:r>
      <w:r w:rsidR="00E25269" w:rsidRPr="00E25269">
        <w:rPr>
          <w:szCs w:val="18"/>
        </w:rPr>
        <w:t>86</w:t>
      </w:r>
      <w:r w:rsidR="00BB578F">
        <w:rPr>
          <w:szCs w:val="18"/>
        </w:rPr>
        <w:t xml:space="preserve"> duizend</w:t>
      </w:r>
      <w:r w:rsidRPr="00E25269">
        <w:rPr>
          <w:szCs w:val="18"/>
        </w:rPr>
        <w:t xml:space="preserve"> w</w:t>
      </w:r>
      <w:r>
        <w:t>oningtransacties.</w:t>
      </w:r>
    </w:p>
    <w:p w:rsidR="006528FF" w:rsidRPr="00191B4D" w:rsidRDefault="00C653B0" w:rsidP="006528FF">
      <w:pPr>
        <w:spacing w:line="360" w:lineRule="auto"/>
        <w:rPr>
          <w:szCs w:val="18"/>
          <w:u w:val="single"/>
        </w:rPr>
      </w:pPr>
      <w:r>
        <w:rPr>
          <w:szCs w:val="18"/>
          <w:u w:val="single"/>
        </w:rPr>
        <w:t>S</w:t>
      </w:r>
      <w:r w:rsidR="00191B4D">
        <w:rPr>
          <w:szCs w:val="18"/>
          <w:u w:val="single"/>
        </w:rPr>
        <w:t>chriftelijke verklaring</w:t>
      </w:r>
    </w:p>
    <w:p w:rsidR="007E79D6" w:rsidRDefault="007E79D6" w:rsidP="006528FF">
      <w:pPr>
        <w:spacing w:line="360" w:lineRule="auto"/>
      </w:pPr>
      <w:r>
        <w:rPr>
          <w:szCs w:val="18"/>
        </w:rPr>
        <w:t xml:space="preserve">De notaris zal bij toepassing van de startersvrijstelling of het verlaagde tarief van 2% </w:t>
      </w:r>
      <w:r w:rsidR="009F08D6">
        <w:rPr>
          <w:szCs w:val="18"/>
        </w:rPr>
        <w:t xml:space="preserve">direct voorafgaand aan de levering </w:t>
      </w:r>
      <w:r>
        <w:t xml:space="preserve">een schriftelijke verklaring </w:t>
      </w:r>
      <w:r w:rsidR="00CA53ED">
        <w:t xml:space="preserve">van de verkrijger (natuurlijk persoon) moeten ontvangen </w:t>
      </w:r>
      <w:r>
        <w:t xml:space="preserve">dat </w:t>
      </w:r>
      <w:r w:rsidR="00CA53ED">
        <w:t>hij</w:t>
      </w:r>
      <w:r>
        <w:t xml:space="preserve"> de woning </w:t>
      </w:r>
      <w:r w:rsidR="005D4EE3">
        <w:t xml:space="preserve">anders dan tijdelijk </w:t>
      </w:r>
      <w:r>
        <w:t xml:space="preserve">als hoofdverblijf gaat gebruiken en – in geval van de startersvrijstelling - de vrijstelling niet eerder heeft toegepast. De notarissen zullen daarnaast zorgdragen voor het toesturen van de schriftelijke verklaring aan de inspecteur, zodat het </w:t>
      </w:r>
      <w:r w:rsidR="009F08D6">
        <w:t xml:space="preserve">beoogde </w:t>
      </w:r>
      <w:r>
        <w:t>toekomstige gebruik</w:t>
      </w:r>
      <w:r w:rsidR="009F08D6">
        <w:t xml:space="preserve"> door</w:t>
      </w:r>
      <w:r>
        <w:t xml:space="preserve"> de verkrijger kenbaar is voor de inspecteur. Dit zal gebeuren door </w:t>
      </w:r>
      <w:r w:rsidR="00E2159F">
        <w:t xml:space="preserve">in de notariële akte de toepassing van de vrijstelling of het verlaagde tarief kenbaar te maken en de schriftelijke </w:t>
      </w:r>
      <w:r>
        <w:t>verklaring</w:t>
      </w:r>
      <w:r w:rsidR="00E2159F">
        <w:t xml:space="preserve"> als annex </w:t>
      </w:r>
      <w:r w:rsidRPr="008A26B8">
        <w:t>aan de notariële akte toe te voegen</w:t>
      </w:r>
      <w:r>
        <w:t xml:space="preserve">. </w:t>
      </w:r>
      <w:r w:rsidR="00CA53ED">
        <w:t>De werkzaamheden in verband met de verklaring</w:t>
      </w:r>
      <w:r w:rsidR="00AB160C">
        <w:t xml:space="preserve"> leiden tot een administratieve lastenverzwaring voor het notariaat</w:t>
      </w:r>
      <w:r w:rsidR="00C653B0">
        <w:t xml:space="preserve"> (verwerking) en de burger (ondertekening)</w:t>
      </w:r>
      <w:r w:rsidR="00AB160C">
        <w:t xml:space="preserve">. De schriftelijke verklaring voor de toepassing van </w:t>
      </w:r>
      <w:r w:rsidR="00B20D34">
        <w:t xml:space="preserve">het verlaagde tarief van 2% of </w:t>
      </w:r>
      <w:r w:rsidR="00AB160C">
        <w:t xml:space="preserve">de </w:t>
      </w:r>
      <w:r w:rsidR="00B20D34">
        <w:t>starters</w:t>
      </w:r>
      <w:r w:rsidR="00AB160C">
        <w:t xml:space="preserve">vrijstelling zal </w:t>
      </w:r>
      <w:r w:rsidR="00653852">
        <w:t xml:space="preserve">(structureel) </w:t>
      </w:r>
      <w:r w:rsidR="00AB160C">
        <w:t>in potentie</w:t>
      </w:r>
      <w:r w:rsidR="00653852">
        <w:t xml:space="preserve"> bij</w:t>
      </w:r>
      <w:r w:rsidR="00AB160C">
        <w:t xml:space="preserve"> </w:t>
      </w:r>
      <w:r w:rsidR="00AB160C" w:rsidRPr="008A26B8">
        <w:t>2</w:t>
      </w:r>
      <w:r w:rsidR="00B20D34">
        <w:t>07</w:t>
      </w:r>
      <w:r w:rsidR="00653852">
        <w:t xml:space="preserve"> duizend</w:t>
      </w:r>
      <w:r w:rsidR="00AB160C">
        <w:t xml:space="preserve"> woningtransacties een rol gaan spelen.</w:t>
      </w:r>
    </w:p>
    <w:p w:rsidR="007E79D6" w:rsidRPr="00191B4D" w:rsidRDefault="007E79D6" w:rsidP="007E79D6">
      <w:pPr>
        <w:spacing w:line="260" w:lineRule="atLeast"/>
        <w:rPr>
          <w:szCs w:val="18"/>
          <w:u w:val="single"/>
        </w:rPr>
      </w:pPr>
      <w:r w:rsidRPr="00191B4D">
        <w:rPr>
          <w:szCs w:val="18"/>
          <w:u w:val="single"/>
        </w:rPr>
        <w:t>Aangifte overdrachtsbelasting</w:t>
      </w:r>
    </w:p>
    <w:p w:rsidR="00191B4D" w:rsidRDefault="007E79D6" w:rsidP="005E1FED">
      <w:pPr>
        <w:spacing w:line="360" w:lineRule="auto"/>
        <w:rPr>
          <w:szCs w:val="18"/>
        </w:rPr>
      </w:pPr>
      <w:r>
        <w:t xml:space="preserve">De notaris </w:t>
      </w:r>
      <w:r>
        <w:rPr>
          <w:szCs w:val="18"/>
        </w:rPr>
        <w:t xml:space="preserve">geeft bij de registratie van de notariële akte in het Centraal Digitaal Repertorium (CDR)-systeem de indicatie mee dat overdrachtsbelasting verschuldigd is en geeft in het digitale overdrachtsbelastingbericht (OVB-bericht) aan dat een vrijstelling van toepassing is. </w:t>
      </w:r>
      <w:r w:rsidR="00AB160C">
        <w:rPr>
          <w:szCs w:val="18"/>
        </w:rPr>
        <w:t xml:space="preserve">Vanaf 1 november 2021 zal Belastingdienst extra </w:t>
      </w:r>
      <w:r w:rsidR="00AB160C" w:rsidRPr="00AB160C">
        <w:t>gegevens</w:t>
      </w:r>
      <w:r w:rsidR="00AB160C">
        <w:rPr>
          <w:szCs w:val="18"/>
        </w:rPr>
        <w:t xml:space="preserve"> vragen om de controle op de juiste toepassing van deze faciliteit zoveel mogelijk te automatiseren. </w:t>
      </w:r>
      <w:r w:rsidR="00191B4D">
        <w:rPr>
          <w:szCs w:val="18"/>
        </w:rPr>
        <w:t xml:space="preserve">De KNB verwacht dat dit leidt tot een </w:t>
      </w:r>
      <w:r w:rsidR="00191B4D" w:rsidRPr="00191B4D">
        <w:rPr>
          <w:szCs w:val="18"/>
        </w:rPr>
        <w:t>toename van handmatig werk en op een verschuiving in uitvoering van administratief personeel naar juridisch geschoolde personen.</w:t>
      </w:r>
      <w:r w:rsidR="00191B4D">
        <w:rPr>
          <w:szCs w:val="18"/>
        </w:rPr>
        <w:t xml:space="preserve"> De notaris zal </w:t>
      </w:r>
      <w:r w:rsidR="00191B4D" w:rsidRPr="00AB5DA9">
        <w:rPr>
          <w:szCs w:val="18"/>
        </w:rPr>
        <w:t>extra indicaties in het aangiftebericht</w:t>
      </w:r>
      <w:r w:rsidR="00191B4D">
        <w:rPr>
          <w:szCs w:val="18"/>
        </w:rPr>
        <w:t xml:space="preserve"> moeten invullen, wat leidt tot </w:t>
      </w:r>
      <w:r w:rsidR="00191B4D" w:rsidRPr="00AB5DA9">
        <w:rPr>
          <w:szCs w:val="18"/>
        </w:rPr>
        <w:t>meer handelingen</w:t>
      </w:r>
      <w:r w:rsidR="00ED1057">
        <w:rPr>
          <w:szCs w:val="18"/>
        </w:rPr>
        <w:t xml:space="preserve"> en </w:t>
      </w:r>
      <w:r w:rsidR="00191B4D" w:rsidRPr="00AB5DA9">
        <w:rPr>
          <w:szCs w:val="18"/>
        </w:rPr>
        <w:t>controles.</w:t>
      </w:r>
      <w:r w:rsidR="00ED1057">
        <w:rPr>
          <w:szCs w:val="18"/>
        </w:rPr>
        <w:t xml:space="preserve"> Ook vraagt het in bepaalde gevallen om het handmatig </w:t>
      </w:r>
      <w:r w:rsidR="00191B4D">
        <w:rPr>
          <w:szCs w:val="18"/>
        </w:rPr>
        <w:t xml:space="preserve">invoeren van extra gegevens. Een voorbeeld hiervan is het </w:t>
      </w:r>
      <w:r w:rsidR="000261F5">
        <w:t>BSN</w:t>
      </w:r>
      <w:r w:rsidR="00191B4D">
        <w:rPr>
          <w:szCs w:val="18"/>
        </w:rPr>
        <w:t xml:space="preserve">, dat niet in de akte zelf staat. Dat vraagt om een handmatige invoer (vanaf het identiteitsbewijs) in de cliëntkaart door een medewerker. Dat maakt het proces aan notariszijde complexer en duurder. </w:t>
      </w:r>
    </w:p>
    <w:p w:rsidR="00AB160C" w:rsidRPr="00191B4D" w:rsidRDefault="00AB160C" w:rsidP="006528FF">
      <w:pPr>
        <w:spacing w:line="360" w:lineRule="auto"/>
        <w:rPr>
          <w:szCs w:val="18"/>
          <w:u w:val="single"/>
        </w:rPr>
      </w:pPr>
      <w:r w:rsidRPr="00191B4D">
        <w:rPr>
          <w:szCs w:val="18"/>
          <w:u w:val="single"/>
        </w:rPr>
        <w:t>Onvoorzienbare omstandigheden</w:t>
      </w:r>
    </w:p>
    <w:p w:rsidR="00C653B0" w:rsidRDefault="00AB160C" w:rsidP="00277EF0">
      <w:pPr>
        <w:spacing w:line="360" w:lineRule="auto"/>
      </w:pPr>
      <w:r>
        <w:t xml:space="preserve">In geval zich onvoorziene omstandigheden voordoen, waardoor de natuurlijke persoon de woning </w:t>
      </w:r>
      <w:r w:rsidR="00412FA4">
        <w:t xml:space="preserve">niet – of slechts tijdelijk – </w:t>
      </w:r>
      <w:r>
        <w:t xml:space="preserve">als hoofdverblijf is gaan gebruiken, zal de natuurlijk persoon aannemelijk moeten maken dat toch terecht het verlaagde tarief van 2% is toegepast. De administratieve lastenverzwaring voor natuurlijke personen </w:t>
      </w:r>
      <w:r w:rsidR="00C653B0">
        <w:t>zijn echter</w:t>
      </w:r>
      <w:r w:rsidR="003B6F99">
        <w:t xml:space="preserve"> verwaar</w:t>
      </w:r>
      <w:r w:rsidR="00C653B0">
        <w:t>loosbaar, omdat hier geen aanvullende administratie van hoeft te worden bijgehouden. Ook wordt voor de administratieve lasten voor burgers geen rekening gehouden met eventuele discussies of procedures over de juistheid van de afgifte van de schriftelijke verklaring.</w:t>
      </w:r>
    </w:p>
    <w:p w:rsidR="00F33C95" w:rsidRDefault="00F33C95" w:rsidP="00F33C95">
      <w:pPr>
        <w:spacing w:line="360" w:lineRule="auto"/>
      </w:pPr>
      <w:bookmarkStart w:id="62" w:name="_Toc48313363"/>
      <w:bookmarkEnd w:id="62"/>
      <w:r>
        <w:t xml:space="preserve">De hierboven genoemde aanpassingen leiden tot een structurele administratieve lastenverzwaring van € 540.000. </w:t>
      </w:r>
    </w:p>
    <w:p w:rsidR="00382A9A" w:rsidRPr="00773A13" w:rsidRDefault="00A01346" w:rsidP="009D6FC4">
      <w:pPr>
        <w:pStyle w:val="Kop1"/>
        <w:numPr>
          <w:ilvl w:val="0"/>
          <w:numId w:val="23"/>
        </w:numPr>
        <w:rPr>
          <w:rFonts w:ascii="Verdana" w:hAnsi="Verdana"/>
          <w:i/>
          <w:color w:val="auto"/>
          <w:sz w:val="18"/>
        </w:rPr>
      </w:pPr>
      <w:bookmarkStart w:id="63" w:name="_Toc49418739"/>
      <w:bookmarkStart w:id="64" w:name="_Toc50568501"/>
      <w:r>
        <w:rPr>
          <w:rFonts w:ascii="Verdana" w:hAnsi="Verdana"/>
          <w:i/>
          <w:color w:val="auto"/>
          <w:sz w:val="18"/>
        </w:rPr>
        <w:lastRenderedPageBreak/>
        <w:t>Inwerkingtreding</w:t>
      </w:r>
      <w:bookmarkEnd w:id="63"/>
      <w:bookmarkEnd w:id="64"/>
    </w:p>
    <w:p w:rsidR="00190DAA" w:rsidRPr="00277EF0" w:rsidRDefault="00190DAA" w:rsidP="00277EF0"/>
    <w:p w:rsidR="0011488A" w:rsidRPr="00773A13" w:rsidRDefault="00382A9A" w:rsidP="009D6FC4">
      <w:pPr>
        <w:spacing w:after="0" w:line="360" w:lineRule="auto"/>
      </w:pPr>
      <w:r w:rsidRPr="00773A13">
        <w:t xml:space="preserve">Verkrijgers </w:t>
      </w:r>
      <w:r w:rsidR="003A3DF8" w:rsidRPr="00773A13">
        <w:t>kunnen</w:t>
      </w:r>
      <w:r w:rsidR="003A3DF8" w:rsidRPr="00773A13" w:rsidDel="00091EBC">
        <w:t xml:space="preserve"> </w:t>
      </w:r>
      <w:r w:rsidR="00FD1672" w:rsidRPr="00773A13">
        <w:t xml:space="preserve">met ingang </w:t>
      </w:r>
      <w:r w:rsidRPr="00773A13">
        <w:t>van 1 januari 2021 in aanmerking komen voor de vrijstelling</w:t>
      </w:r>
      <w:r w:rsidR="00C327C4" w:rsidRPr="00773A13">
        <w:t xml:space="preserve"> </w:t>
      </w:r>
      <w:r w:rsidR="007A096C" w:rsidRPr="00773A13">
        <w:t xml:space="preserve">en </w:t>
      </w:r>
      <w:r w:rsidR="00FD1672" w:rsidRPr="00773A13">
        <w:t xml:space="preserve">met ingang van die datum gaat </w:t>
      </w:r>
      <w:r w:rsidR="008E0213">
        <w:t xml:space="preserve">ook </w:t>
      </w:r>
      <w:r w:rsidR="007A096C" w:rsidRPr="00773A13">
        <w:t xml:space="preserve">het hoofdverblijfcriterium voor toepassing van </w:t>
      </w:r>
      <w:r w:rsidR="00C327C4" w:rsidRPr="00773A13">
        <w:t>het verlaagde tarief</w:t>
      </w:r>
      <w:r w:rsidR="007A096C" w:rsidRPr="00773A13">
        <w:t xml:space="preserve"> gelden</w:t>
      </w:r>
      <w:r w:rsidR="00091EBC" w:rsidRPr="00773A13">
        <w:t>.</w:t>
      </w:r>
      <w:r w:rsidR="005300F1" w:rsidRPr="00773A13">
        <w:t xml:space="preserve"> </w:t>
      </w:r>
      <w:r w:rsidR="000762F0" w:rsidRPr="00773A13">
        <w:t>Voor een eerdere inwerkingtreding is geen aanleiding</w:t>
      </w:r>
      <w:r w:rsidR="00865AF5">
        <w:t>,</w:t>
      </w:r>
      <w:r w:rsidR="006B62F3" w:rsidRPr="00773A13">
        <w:t xml:space="preserve"> </w:t>
      </w:r>
      <w:r w:rsidR="00FD1672" w:rsidRPr="00773A13">
        <w:t>aangezien</w:t>
      </w:r>
      <w:r w:rsidR="006B62F3" w:rsidRPr="00773A13">
        <w:t xml:space="preserve"> de </w:t>
      </w:r>
      <w:r w:rsidR="00FD1672" w:rsidRPr="00773A13">
        <w:t xml:space="preserve">toepassing van de </w:t>
      </w:r>
      <w:r w:rsidR="006B62F3" w:rsidRPr="00773A13">
        <w:t xml:space="preserve">startersvrijstelling </w:t>
      </w:r>
      <w:r w:rsidR="00FD1672" w:rsidRPr="00773A13">
        <w:t xml:space="preserve">geldt </w:t>
      </w:r>
      <w:r w:rsidR="006B62F3" w:rsidRPr="00773A13">
        <w:t>op het moment waarop de akte wordt opgemaakt bij de notaris</w:t>
      </w:r>
      <w:r w:rsidR="00865AF5">
        <w:t xml:space="preserve"> en niet het moment waarop de koopovereenkomst wordt getekend</w:t>
      </w:r>
      <w:r w:rsidR="000762F0" w:rsidRPr="00773A13">
        <w:t>.</w:t>
      </w:r>
      <w:r w:rsidR="006B62F3" w:rsidRPr="00773A13">
        <w:t xml:space="preserve"> De kans op een </w:t>
      </w:r>
      <w:r w:rsidR="003E097D">
        <w:t xml:space="preserve">ongewenst </w:t>
      </w:r>
      <w:r w:rsidR="006B62F3" w:rsidRPr="00773A13">
        <w:t xml:space="preserve">wachteffect </w:t>
      </w:r>
      <w:r w:rsidR="003E097D">
        <w:t>bij</w:t>
      </w:r>
      <w:r w:rsidR="00865AF5">
        <w:t xml:space="preserve"> koopstarters </w:t>
      </w:r>
      <w:r w:rsidR="006B62F3" w:rsidRPr="00773A13">
        <w:t xml:space="preserve">op de woningmarkt </w:t>
      </w:r>
      <w:r w:rsidR="00865AF5">
        <w:t xml:space="preserve">tot 1 januari 2021 </w:t>
      </w:r>
      <w:r w:rsidR="006B62F3" w:rsidRPr="00773A13">
        <w:t>is daarmee beperkt.</w:t>
      </w:r>
      <w:r w:rsidR="000762F0" w:rsidRPr="00773A13">
        <w:t xml:space="preserve"> </w:t>
      </w:r>
      <w:r w:rsidR="003E097D">
        <w:t xml:space="preserve">Ook de toename in woningtransactie door beleggers tot 1 januari 2021 is naar verwachting te overzien, gezien de korte tijd die tussen Prinsjesdag 2020 en de inwerkingtredingsdatum zit. </w:t>
      </w:r>
      <w:r w:rsidR="000762F0" w:rsidRPr="00773A13">
        <w:t xml:space="preserve">Bovendien is een eerdere inwerkingtreding niet haalbaar vanwege de invoering van een stelsel van </w:t>
      </w:r>
      <w:r w:rsidR="00933E34" w:rsidRPr="00773A13">
        <w:t xml:space="preserve">een </w:t>
      </w:r>
      <w:r w:rsidR="00444ABE" w:rsidRPr="00773A13">
        <w:t xml:space="preserve">schriftelijke </w:t>
      </w:r>
      <w:r w:rsidR="00933E34" w:rsidRPr="00773A13">
        <w:t>verklaring</w:t>
      </w:r>
      <w:r w:rsidR="000762F0" w:rsidRPr="00773A13">
        <w:t xml:space="preserve">. </w:t>
      </w:r>
    </w:p>
    <w:p w:rsidR="005300F1" w:rsidRPr="00773A13" w:rsidRDefault="005300F1" w:rsidP="009D6FC4">
      <w:pPr>
        <w:spacing w:after="160" w:line="360" w:lineRule="auto"/>
        <w:rPr>
          <w:i/>
        </w:rPr>
      </w:pPr>
    </w:p>
    <w:p w:rsidR="00DD602F" w:rsidRPr="00773A13" w:rsidRDefault="00DD602F" w:rsidP="009D6FC4">
      <w:pPr>
        <w:pStyle w:val="Kop1"/>
        <w:ind w:firstLine="0"/>
        <w:rPr>
          <w:rFonts w:ascii="Verdana" w:hAnsi="Verdana"/>
          <w:color w:val="auto"/>
          <w:sz w:val="32"/>
          <w:szCs w:val="32"/>
        </w:rPr>
      </w:pPr>
      <w:bookmarkStart w:id="65" w:name="_Toc524638724"/>
      <w:bookmarkStart w:id="66" w:name="_Toc45287152"/>
      <w:bookmarkStart w:id="67" w:name="_Toc46407556"/>
      <w:bookmarkStart w:id="68" w:name="_Toc49418740"/>
      <w:bookmarkStart w:id="69" w:name="_Toc50568502"/>
      <w:r w:rsidRPr="00773A13">
        <w:rPr>
          <w:rFonts w:ascii="Verdana" w:hAnsi="Verdana"/>
          <w:color w:val="auto"/>
          <w:sz w:val="32"/>
          <w:szCs w:val="32"/>
        </w:rPr>
        <w:t xml:space="preserve">II. </w:t>
      </w:r>
      <w:bookmarkStart w:id="70" w:name="_Toc509217291"/>
      <w:bookmarkStart w:id="71" w:name="_Toc509324751"/>
      <w:bookmarkStart w:id="72" w:name="_Toc520885982"/>
      <w:bookmarkStart w:id="73" w:name="_Toc515974588"/>
      <w:r w:rsidRPr="00773A13">
        <w:rPr>
          <w:rFonts w:ascii="Verdana" w:hAnsi="Verdana"/>
          <w:color w:val="auto"/>
          <w:sz w:val="32"/>
          <w:szCs w:val="32"/>
        </w:rPr>
        <w:t>ARTIKELSGEWIJZE TOELICHTING</w:t>
      </w:r>
      <w:bookmarkEnd w:id="65"/>
      <w:bookmarkEnd w:id="66"/>
      <w:bookmarkEnd w:id="67"/>
      <w:bookmarkEnd w:id="68"/>
      <w:bookmarkEnd w:id="70"/>
      <w:bookmarkEnd w:id="71"/>
      <w:bookmarkEnd w:id="72"/>
      <w:bookmarkEnd w:id="73"/>
      <w:bookmarkEnd w:id="69"/>
      <w:r w:rsidRPr="00773A13">
        <w:rPr>
          <w:rFonts w:ascii="Verdana" w:hAnsi="Verdana"/>
          <w:color w:val="auto"/>
          <w:sz w:val="32"/>
          <w:szCs w:val="32"/>
        </w:rPr>
        <w:t xml:space="preserve"> </w:t>
      </w:r>
    </w:p>
    <w:p w:rsidR="00DD602F" w:rsidRPr="00773A13" w:rsidRDefault="00DD602F" w:rsidP="009D6FC4">
      <w:pPr>
        <w:pStyle w:val="Geenafstand"/>
        <w:spacing w:line="360" w:lineRule="auto"/>
        <w:rPr>
          <w:u w:val="single"/>
        </w:rPr>
      </w:pPr>
    </w:p>
    <w:p w:rsidR="00DD602F" w:rsidRPr="00773A13" w:rsidRDefault="00DD602F" w:rsidP="009D6FC4">
      <w:pPr>
        <w:spacing w:after="0" w:line="360" w:lineRule="auto"/>
        <w:ind w:firstLine="709"/>
        <w:rPr>
          <w:i/>
        </w:rPr>
      </w:pPr>
      <w:r w:rsidRPr="00773A13">
        <w:rPr>
          <w:i/>
        </w:rPr>
        <w:t>Artikel I, onderdeel A (artikel 13</w:t>
      </w:r>
      <w:r w:rsidR="00EF00AD" w:rsidRPr="00773A13">
        <w:rPr>
          <w:i/>
        </w:rPr>
        <w:t xml:space="preserve"> </w:t>
      </w:r>
      <w:r w:rsidRPr="00773A13">
        <w:rPr>
          <w:i/>
        </w:rPr>
        <w:t>van de Wet op belastingen van rechtsverkeer)</w:t>
      </w:r>
    </w:p>
    <w:p w:rsidR="00DD602F" w:rsidRPr="00773A13" w:rsidRDefault="00DD602F" w:rsidP="001834C2">
      <w:pPr>
        <w:spacing w:after="0" w:line="360" w:lineRule="auto"/>
        <w:rPr>
          <w:i/>
        </w:rPr>
      </w:pPr>
    </w:p>
    <w:p w:rsidR="00816B5C" w:rsidRPr="002608D8" w:rsidRDefault="00DD602F" w:rsidP="009D6FC4">
      <w:pPr>
        <w:spacing w:after="0" w:line="360" w:lineRule="auto"/>
        <w:ind w:firstLine="709"/>
      </w:pPr>
      <w:r w:rsidRPr="00773A13">
        <w:t>Het voorgestelde artikel 13, vierde lid, WBR beoogt te voorkomen dat een natuurlijk persoon of niet-natuurlijk persoon een woning koopt</w:t>
      </w:r>
      <w:r w:rsidR="00412FA4">
        <w:t xml:space="preserve"> om deze niet</w:t>
      </w:r>
      <w:r w:rsidR="00C34ADE">
        <w:t>,</w:t>
      </w:r>
      <w:r w:rsidR="00412FA4">
        <w:t xml:space="preserve"> of slechts tijdelijk</w:t>
      </w:r>
      <w:r w:rsidR="00C34ADE">
        <w:t>,</w:t>
      </w:r>
      <w:r w:rsidR="00412FA4">
        <w:t xml:space="preserve"> </w:t>
      </w:r>
      <w:r w:rsidRPr="00773A13">
        <w:t xml:space="preserve">als hoofdverblijf te gaan gebruiken en via de faciliteit van artikel 13, eerste lid, WBR </w:t>
      </w:r>
      <w:r w:rsidR="00C34ADE">
        <w:t xml:space="preserve">toch </w:t>
      </w:r>
      <w:r w:rsidRPr="00773A13">
        <w:t>kan profiteren van een bij een eerdere verkrijging toegepast verlaagd tarief</w:t>
      </w:r>
      <w:r w:rsidR="006579C5">
        <w:t xml:space="preserve"> van 2%</w:t>
      </w:r>
      <w:r w:rsidRPr="00773A13">
        <w:t>. Genoemd vierde lid houdt</w:t>
      </w:r>
      <w:r w:rsidR="00E55AD6" w:rsidRPr="00773A13">
        <w:t>, in afwijking van het eerste lid,</w:t>
      </w:r>
      <w:r w:rsidRPr="00773A13">
        <w:t xml:space="preserve"> </w:t>
      </w:r>
      <w:r w:rsidR="00B43D4E">
        <w:t>waarbij een maatstafvermindering geldt</w:t>
      </w:r>
      <w:r w:rsidR="00E55AD6" w:rsidRPr="00773A13">
        <w:t>,</w:t>
      </w:r>
      <w:r w:rsidRPr="00773A13">
        <w:t xml:space="preserve"> in</w:t>
      </w:r>
      <w:r w:rsidR="00083860">
        <w:t>,</w:t>
      </w:r>
      <w:r w:rsidRPr="00773A13">
        <w:t xml:space="preserve"> dat </w:t>
      </w:r>
      <w:r w:rsidR="00B43D4E">
        <w:t>niet de maatstaf, maar</w:t>
      </w:r>
      <w:r w:rsidRPr="00773A13">
        <w:t xml:space="preserve"> </w:t>
      </w:r>
      <w:r w:rsidR="00E55AD6" w:rsidRPr="00773A13">
        <w:t>de belasting d</w:t>
      </w:r>
      <w:r w:rsidR="00E55AD6" w:rsidRPr="002608D8">
        <w:t>ie ter zake van de vorige verkrijging was verschuldigd in mindering kan worden gebracht op de verschuldigde belasting</w:t>
      </w:r>
      <w:r w:rsidRPr="002608D8">
        <w:t xml:space="preserve"> wegens </w:t>
      </w:r>
      <w:r w:rsidR="00B168AB" w:rsidRPr="002608D8">
        <w:t xml:space="preserve">verkrijging </w:t>
      </w:r>
      <w:r w:rsidRPr="002608D8">
        <w:t>van de woning binnen zes maanden</w:t>
      </w:r>
      <w:r w:rsidR="00B168AB" w:rsidRPr="002608D8">
        <w:t xml:space="preserve"> na de vorige verkrijging</w:t>
      </w:r>
      <w:r w:rsidRPr="002608D8">
        <w:t>.</w:t>
      </w:r>
      <w:r w:rsidR="00E55AD6" w:rsidRPr="002608D8">
        <w:t xml:space="preserve"> </w:t>
      </w:r>
      <w:r w:rsidR="00B43D4E" w:rsidRPr="002608D8">
        <w:t xml:space="preserve">Door in deze situaties een belastingvermindering in plaats van een maatstafvermindering toe te staan, wordt voorkomen dat </w:t>
      </w:r>
      <w:r w:rsidR="003C2AD4" w:rsidRPr="002608D8">
        <w:t>de vermindering hoger is dan dat er cumulatie van belasting is.</w:t>
      </w:r>
      <w:r w:rsidR="00083860">
        <w:t xml:space="preserve"> </w:t>
      </w:r>
    </w:p>
    <w:p w:rsidR="00DD602F" w:rsidRPr="002608D8" w:rsidRDefault="00816B5C" w:rsidP="009D6FC4">
      <w:pPr>
        <w:spacing w:after="0" w:line="360" w:lineRule="auto"/>
        <w:ind w:firstLine="709"/>
      </w:pPr>
      <w:r w:rsidRPr="002608D8">
        <w:t>Voor de toepassing van voorgesteld artikel 13, vierde lid, WBR is wel</w:t>
      </w:r>
      <w:r w:rsidR="00DD602F" w:rsidRPr="002608D8">
        <w:t xml:space="preserve"> vereist dat het verlaagde tarief, genoemd in het voorgestelde tweede lid van artikel 14, </w:t>
      </w:r>
      <w:r w:rsidR="002474AE" w:rsidRPr="002608D8">
        <w:t>WBR</w:t>
      </w:r>
      <w:r w:rsidR="00343309" w:rsidRPr="002608D8">
        <w:t>,</w:t>
      </w:r>
      <w:r w:rsidR="002474AE" w:rsidRPr="002608D8">
        <w:t xml:space="preserve"> </w:t>
      </w:r>
      <w:r w:rsidR="00DD602F" w:rsidRPr="002608D8">
        <w:t xml:space="preserve">terecht is toegepast. </w:t>
      </w:r>
      <w:r w:rsidR="00FA7DF3" w:rsidRPr="002608D8">
        <w:t xml:space="preserve">In beginsel is </w:t>
      </w:r>
      <w:r w:rsidR="00A72C38" w:rsidRPr="002608D8">
        <w:t xml:space="preserve">artikel 13, vierde lid, WBR </w:t>
      </w:r>
      <w:r w:rsidR="00FA7DF3" w:rsidRPr="002608D8">
        <w:t xml:space="preserve">slechts van toepassing als vanwege onvoorziene omstandigheden de woning binnen zes maanden na de verkrijging redelijkerwijs niet </w:t>
      </w:r>
      <w:r w:rsidR="00412FA4" w:rsidRPr="002608D8">
        <w:t xml:space="preserve">of tijdelijk </w:t>
      </w:r>
      <w:r w:rsidR="00FA7DF3" w:rsidRPr="002608D8">
        <w:t xml:space="preserve">als hoofdverblijf is gebruikt. </w:t>
      </w:r>
    </w:p>
    <w:p w:rsidR="00DD602F" w:rsidRPr="002608D8" w:rsidRDefault="00DD602F" w:rsidP="001834C2">
      <w:pPr>
        <w:spacing w:after="0" w:line="360" w:lineRule="auto"/>
        <w:ind w:firstLine="709"/>
        <w:rPr>
          <w:sz w:val="16"/>
        </w:rPr>
      </w:pPr>
    </w:p>
    <w:p w:rsidR="00DD602F" w:rsidRPr="002608D8" w:rsidRDefault="00DD602F" w:rsidP="009D6FC4">
      <w:pPr>
        <w:pStyle w:val="Lijstalinea"/>
        <w:pBdr>
          <w:left w:val="single" w:sz="4" w:space="21" w:color="auto"/>
        </w:pBdr>
        <w:spacing w:after="0" w:line="360" w:lineRule="auto"/>
        <w:ind w:left="1068"/>
        <w:rPr>
          <w:sz w:val="16"/>
        </w:rPr>
      </w:pPr>
      <w:r w:rsidRPr="002608D8">
        <w:rPr>
          <w:sz w:val="16"/>
        </w:rPr>
        <w:t>Voorbeeld</w:t>
      </w:r>
    </w:p>
    <w:p w:rsidR="00DD602F" w:rsidRPr="002608D8" w:rsidRDefault="00DD602F" w:rsidP="009D6FC4">
      <w:pPr>
        <w:pStyle w:val="Lijstalinea"/>
        <w:pBdr>
          <w:left w:val="single" w:sz="4" w:space="21" w:color="auto"/>
        </w:pBdr>
        <w:spacing w:after="0" w:line="360" w:lineRule="auto"/>
        <w:ind w:left="1068"/>
        <w:rPr>
          <w:sz w:val="16"/>
        </w:rPr>
      </w:pPr>
      <w:r w:rsidRPr="002608D8">
        <w:rPr>
          <w:sz w:val="16"/>
        </w:rPr>
        <w:t xml:space="preserve">Niet-starter B verkrijgt een woning voor € 350.000 en betaalt hier 2% overdrachtsbelasting over (2% van € 350.000 is € 7.000). B gaat heel kort in de woning wonen, maar draagt de woning wegens onvoorziene omstandigheden binnen zes maanden over aan K voor € 360.000. K </w:t>
      </w:r>
      <w:r w:rsidR="000D5A01" w:rsidRPr="002608D8">
        <w:rPr>
          <w:sz w:val="16"/>
        </w:rPr>
        <w:t>geeft geen verklaring af dat hij</w:t>
      </w:r>
      <w:r w:rsidRPr="002608D8">
        <w:rPr>
          <w:sz w:val="16"/>
        </w:rPr>
        <w:t xml:space="preserve"> de woning niet </w:t>
      </w:r>
      <w:r w:rsidR="00412FA4" w:rsidRPr="002608D8">
        <w:rPr>
          <w:sz w:val="16"/>
        </w:rPr>
        <w:t>of</w:t>
      </w:r>
      <w:r w:rsidRPr="002608D8">
        <w:rPr>
          <w:sz w:val="16"/>
        </w:rPr>
        <w:t xml:space="preserve"> tijdelijk als hoofdverblijf </w:t>
      </w:r>
      <w:r w:rsidR="000D5A01" w:rsidRPr="002608D8">
        <w:rPr>
          <w:sz w:val="16"/>
        </w:rPr>
        <w:t>zal</w:t>
      </w:r>
      <w:r w:rsidRPr="002608D8">
        <w:rPr>
          <w:sz w:val="16"/>
        </w:rPr>
        <w:t xml:space="preserve"> gaan gebruiken</w:t>
      </w:r>
      <w:r w:rsidR="00083860">
        <w:rPr>
          <w:sz w:val="16"/>
        </w:rPr>
        <w:t xml:space="preserve"> en komt daardoor niet in aanmerking voor de vrijstelling of het verlaagde tarief van 2%</w:t>
      </w:r>
      <w:r w:rsidRPr="002608D8">
        <w:rPr>
          <w:sz w:val="16"/>
        </w:rPr>
        <w:t xml:space="preserve">. K is daardoor </w:t>
      </w:r>
      <w:r w:rsidR="000B0A32" w:rsidRPr="002608D8">
        <w:rPr>
          <w:sz w:val="16"/>
        </w:rPr>
        <w:t xml:space="preserve">in beginsel </w:t>
      </w:r>
      <w:r w:rsidR="00B93600" w:rsidRPr="002608D8">
        <w:rPr>
          <w:sz w:val="16"/>
        </w:rPr>
        <w:t>€ 28.8</w:t>
      </w:r>
      <w:r w:rsidR="000B0A32" w:rsidRPr="002608D8">
        <w:rPr>
          <w:sz w:val="16"/>
        </w:rPr>
        <w:t>00</w:t>
      </w:r>
      <w:r w:rsidRPr="002608D8">
        <w:rPr>
          <w:sz w:val="16"/>
        </w:rPr>
        <w:t xml:space="preserve"> verschuldigd (</w:t>
      </w:r>
      <w:r w:rsidR="00B93600" w:rsidRPr="002608D8">
        <w:rPr>
          <w:sz w:val="16"/>
        </w:rPr>
        <w:t>8</w:t>
      </w:r>
      <w:r w:rsidR="00180B86" w:rsidRPr="002608D8">
        <w:rPr>
          <w:sz w:val="16"/>
        </w:rPr>
        <w:t>%</w:t>
      </w:r>
      <w:r w:rsidRPr="002608D8">
        <w:rPr>
          <w:sz w:val="16"/>
        </w:rPr>
        <w:t xml:space="preserve"> van € 360.000). Op grond van artikel 13, eerste lid, WBR kan </w:t>
      </w:r>
      <w:r w:rsidR="00EF589F" w:rsidRPr="002608D8">
        <w:rPr>
          <w:sz w:val="16"/>
        </w:rPr>
        <w:t>K</w:t>
      </w:r>
      <w:r w:rsidRPr="002608D8">
        <w:rPr>
          <w:sz w:val="16"/>
        </w:rPr>
        <w:t xml:space="preserve"> echter de maatstaf van heffing verminderen met de waarde waarover reeds </w:t>
      </w:r>
      <w:r w:rsidRPr="002608D8">
        <w:rPr>
          <w:sz w:val="16"/>
        </w:rPr>
        <w:lastRenderedPageBreak/>
        <w:t xml:space="preserve">overdrachtsbelasting is betaald (€ 350.000). Hierdoor </w:t>
      </w:r>
      <w:r w:rsidR="000B0A32" w:rsidRPr="002608D8">
        <w:rPr>
          <w:sz w:val="16"/>
        </w:rPr>
        <w:t>zou</w:t>
      </w:r>
      <w:r w:rsidRPr="002608D8">
        <w:rPr>
          <w:sz w:val="16"/>
        </w:rPr>
        <w:t xml:space="preserve"> K uiteindelijk </w:t>
      </w:r>
      <w:r w:rsidR="000B0A32" w:rsidRPr="002608D8">
        <w:rPr>
          <w:sz w:val="16"/>
        </w:rPr>
        <w:t xml:space="preserve">zonder het toegevoegde vierde lid </w:t>
      </w:r>
      <w:r w:rsidRPr="002608D8">
        <w:rPr>
          <w:sz w:val="16"/>
        </w:rPr>
        <w:t xml:space="preserve">slechts </w:t>
      </w:r>
      <w:r w:rsidR="004D2E2A" w:rsidRPr="002608D8">
        <w:rPr>
          <w:sz w:val="16"/>
        </w:rPr>
        <w:t>8</w:t>
      </w:r>
      <w:r w:rsidRPr="002608D8">
        <w:rPr>
          <w:sz w:val="16"/>
        </w:rPr>
        <w:t xml:space="preserve">% overdrachtsbelasting verschuldigd </w:t>
      </w:r>
      <w:r w:rsidR="000B0A32" w:rsidRPr="002608D8">
        <w:rPr>
          <w:sz w:val="16"/>
        </w:rPr>
        <w:t xml:space="preserve">zijn </w:t>
      </w:r>
      <w:r w:rsidRPr="002608D8">
        <w:rPr>
          <w:sz w:val="16"/>
        </w:rPr>
        <w:t xml:space="preserve">over </w:t>
      </w:r>
      <w:r w:rsidR="000B0A32" w:rsidRPr="002608D8">
        <w:rPr>
          <w:sz w:val="16"/>
        </w:rPr>
        <w:t>€</w:t>
      </w:r>
      <w:r w:rsidRPr="002608D8">
        <w:rPr>
          <w:sz w:val="16"/>
        </w:rPr>
        <w:t xml:space="preserve"> 10.000 (€ 360.000 minus € 350.000). Dit is € </w:t>
      </w:r>
      <w:r w:rsidR="004D2E2A" w:rsidRPr="002608D8">
        <w:rPr>
          <w:sz w:val="16"/>
        </w:rPr>
        <w:t>8</w:t>
      </w:r>
      <w:r w:rsidRPr="002608D8">
        <w:rPr>
          <w:sz w:val="16"/>
        </w:rPr>
        <w:t xml:space="preserve">00. Het belastingvoordeel </w:t>
      </w:r>
      <w:r w:rsidR="0066744C" w:rsidRPr="002608D8">
        <w:rPr>
          <w:sz w:val="16"/>
        </w:rPr>
        <w:t xml:space="preserve">voor K bedraagt </w:t>
      </w:r>
      <w:r w:rsidRPr="002608D8">
        <w:rPr>
          <w:sz w:val="16"/>
        </w:rPr>
        <w:t xml:space="preserve">door het kortstondig bewonen van de woning door </w:t>
      </w:r>
      <w:r w:rsidR="000B0A32" w:rsidRPr="002608D8">
        <w:rPr>
          <w:sz w:val="16"/>
        </w:rPr>
        <w:t>B</w:t>
      </w:r>
      <w:r w:rsidRPr="002608D8">
        <w:rPr>
          <w:sz w:val="16"/>
        </w:rPr>
        <w:t xml:space="preserve"> € 2</w:t>
      </w:r>
      <w:r w:rsidR="00805E51" w:rsidRPr="002608D8">
        <w:rPr>
          <w:sz w:val="16"/>
        </w:rPr>
        <w:t>8.0</w:t>
      </w:r>
      <w:r w:rsidRPr="002608D8">
        <w:rPr>
          <w:sz w:val="16"/>
        </w:rPr>
        <w:t xml:space="preserve">00. Het nieuwe artikel 13, vierde lid, WBR bewerkstelligt dat het voordeel niet hoger kan zijn dan het bedrag dat ter zake van de vorige verkrijging verschuldigd was tegen het 2%-tarief. K kan daarom slechts een vermindering toepassen van € 7.000 en is € </w:t>
      </w:r>
      <w:r w:rsidR="00805E51" w:rsidRPr="002608D8">
        <w:rPr>
          <w:sz w:val="16"/>
        </w:rPr>
        <w:t>21.8</w:t>
      </w:r>
      <w:r w:rsidRPr="002608D8">
        <w:rPr>
          <w:sz w:val="16"/>
        </w:rPr>
        <w:t>00 verschuldigd</w:t>
      </w:r>
      <w:r w:rsidR="00805E51" w:rsidRPr="002608D8">
        <w:rPr>
          <w:sz w:val="16"/>
        </w:rPr>
        <w:t xml:space="preserve"> (8% van € 360.000 minus € 7.000)</w:t>
      </w:r>
      <w:r w:rsidRPr="002608D8">
        <w:rPr>
          <w:sz w:val="16"/>
        </w:rPr>
        <w:t xml:space="preserve">. </w:t>
      </w:r>
    </w:p>
    <w:p w:rsidR="00DD602F" w:rsidRPr="002608D8" w:rsidRDefault="00DD602F" w:rsidP="009D6FC4">
      <w:pPr>
        <w:spacing w:after="0" w:line="360" w:lineRule="auto"/>
      </w:pPr>
    </w:p>
    <w:p w:rsidR="00DD602F" w:rsidRDefault="00DD602F" w:rsidP="009D6FC4">
      <w:pPr>
        <w:spacing w:after="0" w:line="360" w:lineRule="auto"/>
        <w:ind w:firstLine="709"/>
      </w:pPr>
      <w:r w:rsidRPr="002608D8">
        <w:t xml:space="preserve">Bij toepassing van de startersvrijstelling blijft artikel 13 WBR buiten toepassing als een verkrijging plaatsvindt binnen zes maanden na de vorige verkrijging waarbij de vrijstelling is toegepast. Voor de toepassing van artikel 13, eerste lid, WBR is immers vereist dat er belasting verschuldigd was bij de voorgaande verkrijging. Dit betekent dat er geen vermindering van de maatstaf van heffing plaatsvindt, indien de verkrijger een woning verkrijgt van een starter die bij de vorige verkrijging de vrijstelling heeft toegepast. </w:t>
      </w:r>
    </w:p>
    <w:p w:rsidR="003A002C" w:rsidRPr="002608D8" w:rsidRDefault="003A002C" w:rsidP="009D6FC4">
      <w:pPr>
        <w:spacing w:after="0" w:line="360" w:lineRule="auto"/>
        <w:ind w:firstLine="709"/>
      </w:pPr>
    </w:p>
    <w:p w:rsidR="00DD602F" w:rsidRPr="002608D8" w:rsidRDefault="00DD602F" w:rsidP="009D6FC4">
      <w:pPr>
        <w:spacing w:after="0" w:line="360" w:lineRule="auto"/>
      </w:pPr>
    </w:p>
    <w:p w:rsidR="00DD602F" w:rsidRPr="002608D8" w:rsidRDefault="00DD602F" w:rsidP="009D6FC4">
      <w:pPr>
        <w:spacing w:after="0" w:line="360" w:lineRule="auto"/>
        <w:ind w:firstLine="709"/>
        <w:rPr>
          <w:i/>
        </w:rPr>
      </w:pPr>
      <w:r w:rsidRPr="002608D8">
        <w:rPr>
          <w:i/>
        </w:rPr>
        <w:t xml:space="preserve">Artikel I, onderdeel </w:t>
      </w:r>
      <w:r w:rsidR="004F6B9C" w:rsidRPr="002608D8">
        <w:rPr>
          <w:i/>
        </w:rPr>
        <w:t>B</w:t>
      </w:r>
      <w:r w:rsidRPr="002608D8">
        <w:rPr>
          <w:i/>
        </w:rPr>
        <w:t xml:space="preserve"> (artikel 14 van de Wet op belastingen van rechtsverkeer)</w:t>
      </w:r>
    </w:p>
    <w:p w:rsidR="00DD602F" w:rsidRPr="002608D8" w:rsidRDefault="00DD602F" w:rsidP="009D6FC4">
      <w:pPr>
        <w:spacing w:after="0" w:line="360" w:lineRule="auto"/>
        <w:ind w:firstLine="709"/>
        <w:rPr>
          <w:i/>
        </w:rPr>
      </w:pPr>
    </w:p>
    <w:p w:rsidR="00773178" w:rsidRPr="002608D8" w:rsidRDefault="00773178" w:rsidP="009D6FC4">
      <w:pPr>
        <w:spacing w:after="0" w:line="360" w:lineRule="auto"/>
        <w:ind w:firstLine="709"/>
        <w:rPr>
          <w:rFonts w:cs="Arial"/>
          <w:szCs w:val="18"/>
        </w:rPr>
      </w:pPr>
      <w:r w:rsidRPr="002608D8">
        <w:rPr>
          <w:rFonts w:cs="Arial"/>
          <w:szCs w:val="18"/>
        </w:rPr>
        <w:t>In het voorgestelde artikel 14, eerste lid, WBR wordt het algemene overdrachtsbelastingtarief verhoogd naar 8%. Het algemene tarief geldt voor de verkrijging van niet-woningen</w:t>
      </w:r>
      <w:r w:rsidR="00793F43">
        <w:rPr>
          <w:rFonts w:cs="Arial"/>
          <w:szCs w:val="18"/>
        </w:rPr>
        <w:t>, zoals bedrijfspanden,</w:t>
      </w:r>
      <w:r w:rsidRPr="002608D8">
        <w:rPr>
          <w:rFonts w:cs="Arial"/>
          <w:szCs w:val="18"/>
        </w:rPr>
        <w:t xml:space="preserve"> en woningen die niet onder het verlaagde tarief van artikel 14, tweede lid, WBR</w:t>
      </w:r>
      <w:r w:rsidR="00793F43">
        <w:rPr>
          <w:rFonts w:cs="Arial"/>
          <w:szCs w:val="18"/>
        </w:rPr>
        <w:t xml:space="preserve"> vallen</w:t>
      </w:r>
      <w:r w:rsidRPr="002608D8">
        <w:rPr>
          <w:rFonts w:cs="Arial"/>
          <w:szCs w:val="18"/>
        </w:rPr>
        <w:t>.</w:t>
      </w:r>
    </w:p>
    <w:p w:rsidR="002A224F" w:rsidRPr="002608D8" w:rsidRDefault="00DD602F" w:rsidP="009D6FC4">
      <w:pPr>
        <w:spacing w:after="0" w:line="360" w:lineRule="auto"/>
        <w:ind w:firstLine="709"/>
        <w:rPr>
          <w:rFonts w:cs="Arial"/>
          <w:szCs w:val="18"/>
        </w:rPr>
      </w:pPr>
      <w:r w:rsidRPr="002608D8">
        <w:rPr>
          <w:rFonts w:cs="Arial"/>
          <w:szCs w:val="18"/>
        </w:rPr>
        <w:t xml:space="preserve">Op basis van het huidige artikel 14, tweede lid, WBR geldt voor de verkrijging van woningen en de bij de woning behorende aanhorigheden het verlaagde tarief van 2%. De voorgestelde wijziging van artikel 14, tweede lid, WBR omvat </w:t>
      </w:r>
      <w:r w:rsidR="00750A65" w:rsidRPr="002608D8">
        <w:rPr>
          <w:rFonts w:cs="Arial"/>
          <w:szCs w:val="18"/>
        </w:rPr>
        <w:t>een</w:t>
      </w:r>
      <w:r w:rsidRPr="002608D8">
        <w:rPr>
          <w:rFonts w:cs="Arial"/>
          <w:szCs w:val="18"/>
        </w:rPr>
        <w:t xml:space="preserve"> beperking van het toepassingsbereik van het verlaagde tarief van 2%</w:t>
      </w:r>
      <w:r w:rsidR="00750A65" w:rsidRPr="002608D8">
        <w:rPr>
          <w:rFonts w:cs="Arial"/>
          <w:szCs w:val="18"/>
        </w:rPr>
        <w:t xml:space="preserve"> en een aanscherping van de toepassing van het verlaagde tarief voor aanhorigheden</w:t>
      </w:r>
      <w:r w:rsidRPr="002608D8">
        <w:rPr>
          <w:rFonts w:cs="Arial"/>
          <w:szCs w:val="18"/>
        </w:rPr>
        <w:t xml:space="preserve">. </w:t>
      </w:r>
      <w:r w:rsidR="00793F43">
        <w:rPr>
          <w:rFonts w:cs="Arial"/>
          <w:szCs w:val="18"/>
        </w:rPr>
        <w:t>De</w:t>
      </w:r>
      <w:r w:rsidR="00750A65" w:rsidRPr="002608D8">
        <w:rPr>
          <w:rFonts w:cs="Arial"/>
          <w:szCs w:val="18"/>
        </w:rPr>
        <w:t xml:space="preserve"> </w:t>
      </w:r>
      <w:r w:rsidRPr="002608D8">
        <w:rPr>
          <w:rFonts w:cs="Arial"/>
          <w:szCs w:val="18"/>
        </w:rPr>
        <w:t xml:space="preserve">beperking </w:t>
      </w:r>
      <w:r w:rsidR="004954C3" w:rsidRPr="002608D8">
        <w:rPr>
          <w:rFonts w:cs="Arial"/>
          <w:szCs w:val="18"/>
        </w:rPr>
        <w:t>houdt in</w:t>
      </w:r>
      <w:r w:rsidRPr="002608D8">
        <w:rPr>
          <w:rFonts w:cs="Arial"/>
          <w:szCs w:val="18"/>
        </w:rPr>
        <w:t xml:space="preserve"> dat het verlaagde tarief slechts van toepassing is bij de verkrijging van de woning door een natuurlijk persoon die de woning anders dan tijdelijk als hoofdverblijf gaa</w:t>
      </w:r>
      <w:r w:rsidR="00BD5363" w:rsidRPr="002608D8">
        <w:rPr>
          <w:rFonts w:cs="Arial"/>
          <w:szCs w:val="18"/>
        </w:rPr>
        <w:t>t</w:t>
      </w:r>
      <w:r w:rsidRPr="002608D8">
        <w:rPr>
          <w:rFonts w:cs="Arial"/>
          <w:szCs w:val="18"/>
        </w:rPr>
        <w:t xml:space="preserve"> gebruiken</w:t>
      </w:r>
      <w:r w:rsidR="00BD5363" w:rsidRPr="002608D8">
        <w:rPr>
          <w:rFonts w:cs="Arial"/>
          <w:szCs w:val="18"/>
        </w:rPr>
        <w:t xml:space="preserve"> en dit bij de verkrijging </w:t>
      </w:r>
      <w:r w:rsidR="002C2581" w:rsidRPr="002608D8">
        <w:t>duidelijk, </w:t>
      </w:r>
      <w:r w:rsidR="002C2581" w:rsidRPr="002608D8">
        <w:rPr>
          <w:bCs/>
        </w:rPr>
        <w:t>stellig en zonder voorbehoud</w:t>
      </w:r>
      <w:r w:rsidR="00BD5363" w:rsidRPr="002608D8">
        <w:rPr>
          <w:rFonts w:cs="Arial"/>
          <w:szCs w:val="18"/>
        </w:rPr>
        <w:t xml:space="preserve"> verklaart</w:t>
      </w:r>
      <w:r w:rsidR="002C2581" w:rsidRPr="002608D8">
        <w:rPr>
          <w:rFonts w:cs="Arial"/>
          <w:szCs w:val="18"/>
        </w:rPr>
        <w:t xml:space="preserve"> in een schriftelijke verklaring</w:t>
      </w:r>
      <w:r w:rsidRPr="002608D8">
        <w:rPr>
          <w:rFonts w:cs="Arial"/>
          <w:szCs w:val="18"/>
        </w:rPr>
        <w:t xml:space="preserve">. Dit geldt eveneens bij </w:t>
      </w:r>
      <w:r w:rsidR="004954C3" w:rsidRPr="002608D8">
        <w:rPr>
          <w:rFonts w:cs="Arial"/>
          <w:szCs w:val="18"/>
        </w:rPr>
        <w:t>de</w:t>
      </w:r>
      <w:r w:rsidRPr="002608D8">
        <w:rPr>
          <w:rFonts w:cs="Arial"/>
          <w:szCs w:val="18"/>
        </w:rPr>
        <w:t xml:space="preserve"> verkrijging van rechten waaraan een woning is onderworpen of van lidmaatschapsrechten van een vereniging of coöperatie waarin het recht op uitsluitend of nagenoeg uitsluitend gebruik van een in Nederland gelegen woning is begrepen. </w:t>
      </w:r>
    </w:p>
    <w:p w:rsidR="002A224F" w:rsidRPr="00773A13" w:rsidRDefault="00DD602F" w:rsidP="009D6FC4">
      <w:pPr>
        <w:spacing w:after="0" w:line="360" w:lineRule="auto"/>
        <w:ind w:firstLine="709"/>
      </w:pPr>
      <w:r w:rsidRPr="002608D8">
        <w:rPr>
          <w:rFonts w:cs="Arial"/>
          <w:szCs w:val="18"/>
        </w:rPr>
        <w:t xml:space="preserve">Het verlaagde tarief geldt uitsluitend voor natuurlijke personen die voldoen aan het hoofdverblijfcriterium. Voor </w:t>
      </w:r>
      <w:r w:rsidRPr="002608D8">
        <w:rPr>
          <w:szCs w:val="18"/>
        </w:rPr>
        <w:t>niet-natuurlijke personen, zoals rechtspersonen, geldt de regeling niet en voor hen geldt bij de verkrijging van een woning het algemene tarief</w:t>
      </w:r>
      <w:r w:rsidR="00BD5363" w:rsidRPr="002608D8">
        <w:rPr>
          <w:szCs w:val="18"/>
        </w:rPr>
        <w:t xml:space="preserve"> van </w:t>
      </w:r>
      <w:r w:rsidR="00180B86" w:rsidRPr="002608D8">
        <w:rPr>
          <w:szCs w:val="18"/>
        </w:rPr>
        <w:t>8%</w:t>
      </w:r>
      <w:r w:rsidRPr="002608D8">
        <w:rPr>
          <w:szCs w:val="18"/>
        </w:rPr>
        <w:t xml:space="preserve">. </w:t>
      </w:r>
    </w:p>
    <w:p w:rsidR="00DD602F" w:rsidRPr="00773A13" w:rsidRDefault="00DD602F" w:rsidP="009D6FC4">
      <w:pPr>
        <w:spacing w:after="0" w:line="360" w:lineRule="auto"/>
        <w:ind w:firstLine="709"/>
      </w:pPr>
      <w:r w:rsidRPr="00773A13">
        <w:t xml:space="preserve">De verkrijger </w:t>
      </w:r>
      <w:r w:rsidR="002A224F" w:rsidRPr="00773A13">
        <w:t xml:space="preserve">dient op het moment </w:t>
      </w:r>
      <w:r w:rsidR="003C2AD4">
        <w:t xml:space="preserve">onmiddellijk </w:t>
      </w:r>
      <w:r w:rsidRPr="00773A13">
        <w:t>voorafgaand aan de verkrijging,</w:t>
      </w:r>
      <w:r w:rsidR="002A224F" w:rsidRPr="00773A13">
        <w:t xml:space="preserve"> </w:t>
      </w:r>
      <w:r w:rsidR="003C2AD4">
        <w:t>overeenkomstig het voorgestelde artikel 15a,</w:t>
      </w:r>
      <w:r w:rsidR="002A224F" w:rsidRPr="00773A13">
        <w:t xml:space="preserve"> </w:t>
      </w:r>
      <w:r w:rsidR="002C2581" w:rsidRPr="002C2581">
        <w:t>duidelijk, </w:t>
      </w:r>
      <w:r w:rsidR="002C2581" w:rsidRPr="002C2581">
        <w:rPr>
          <w:bCs/>
        </w:rPr>
        <w:t>stellig en zonder voorbehoud</w:t>
      </w:r>
      <w:r w:rsidR="002C2581" w:rsidRPr="00773A13">
        <w:t xml:space="preserve"> </w:t>
      </w:r>
      <w:r w:rsidR="002A224F" w:rsidRPr="00773A13">
        <w:t>schriftelijk te verklaren</w:t>
      </w:r>
      <w:r w:rsidR="00630FAF" w:rsidRPr="00773A13">
        <w:t xml:space="preserve"> </w:t>
      </w:r>
      <w:r w:rsidRPr="00773A13">
        <w:t xml:space="preserve">de woning anders dan tijdelijk als hoofdverblijf te gaan gebruiken. </w:t>
      </w:r>
    </w:p>
    <w:p w:rsidR="00DD602F" w:rsidRPr="00773A13" w:rsidRDefault="00DD602F" w:rsidP="009D6FC4">
      <w:pPr>
        <w:spacing w:after="0" w:line="360" w:lineRule="auto"/>
        <w:ind w:firstLine="709"/>
        <w:rPr>
          <w:rFonts w:cs="Arial"/>
          <w:szCs w:val="18"/>
        </w:rPr>
      </w:pPr>
      <w:r w:rsidRPr="00773A13">
        <w:rPr>
          <w:rFonts w:cs="Arial"/>
          <w:szCs w:val="18"/>
        </w:rPr>
        <w:t xml:space="preserve">Met het begrip “anders dan tijdelijk als hoofdverblijf” wordt aangesloten bij het begrip “anders dan tijdelijk als hoofdverblijf ter beschikking staan” in de eigenwoningregeling van artikel 3.111, eerste lid, </w:t>
      </w:r>
      <w:r w:rsidR="00383C71" w:rsidRPr="00383C71">
        <w:rPr>
          <w:rFonts w:cs="Arial"/>
          <w:szCs w:val="18"/>
        </w:rPr>
        <w:t>aanhef en onder a,</w:t>
      </w:r>
      <w:r w:rsidR="00383C71">
        <w:rPr>
          <w:rFonts w:cs="Arial"/>
          <w:szCs w:val="18"/>
        </w:rPr>
        <w:t xml:space="preserve"> v</w:t>
      </w:r>
      <w:r w:rsidRPr="00773A13">
        <w:rPr>
          <w:rFonts w:cs="Arial"/>
          <w:szCs w:val="18"/>
        </w:rPr>
        <w:t xml:space="preserve">an de Wet inkomstenbelasting 2001. Hierbij gaat het om een duurzaam eigen gebruik van de woning </w:t>
      </w:r>
      <w:r w:rsidR="004954C3">
        <w:rPr>
          <w:rFonts w:cs="Arial"/>
          <w:szCs w:val="18"/>
        </w:rPr>
        <w:t>die</w:t>
      </w:r>
      <w:r w:rsidR="004954C3" w:rsidRPr="00773A13">
        <w:rPr>
          <w:rFonts w:cs="Arial"/>
          <w:szCs w:val="18"/>
        </w:rPr>
        <w:t xml:space="preserve"> </w:t>
      </w:r>
      <w:r w:rsidR="004954C3" w:rsidRPr="004954C3">
        <w:rPr>
          <w:rFonts w:cs="Arial"/>
          <w:szCs w:val="18"/>
        </w:rPr>
        <w:t xml:space="preserve">de verkrijger </w:t>
      </w:r>
      <w:r w:rsidRPr="00773A13">
        <w:rPr>
          <w:rFonts w:cs="Arial"/>
          <w:szCs w:val="18"/>
        </w:rPr>
        <w:t xml:space="preserve">overeenkomstig de bestemming als </w:t>
      </w:r>
      <w:r w:rsidRPr="00773A13">
        <w:rPr>
          <w:rFonts w:cs="Arial"/>
          <w:szCs w:val="18"/>
        </w:rPr>
        <w:lastRenderedPageBreak/>
        <w:t>woning ter beschikking staat.</w:t>
      </w:r>
      <w:r w:rsidR="00383C71">
        <w:rPr>
          <w:rStyle w:val="Voetnootmarkering"/>
          <w:rFonts w:cs="Arial"/>
          <w:szCs w:val="18"/>
        </w:rPr>
        <w:footnoteReference w:id="21"/>
      </w:r>
      <w:r w:rsidRPr="00773A13">
        <w:rPr>
          <w:rFonts w:cs="Arial"/>
          <w:szCs w:val="18"/>
        </w:rPr>
        <w:t xml:space="preserve"> </w:t>
      </w:r>
      <w:r w:rsidR="00383C71">
        <w:rPr>
          <w:rFonts w:cs="Arial"/>
          <w:szCs w:val="18"/>
        </w:rPr>
        <w:t>Het begrip “hoofdverblijf”</w:t>
      </w:r>
      <w:r w:rsidR="00383C71" w:rsidRPr="00383C71">
        <w:rPr>
          <w:rFonts w:cs="Arial"/>
          <w:szCs w:val="18"/>
        </w:rPr>
        <w:t xml:space="preserve"> is synoniem met het begrip</w:t>
      </w:r>
      <w:r w:rsidR="00944799">
        <w:rPr>
          <w:rFonts w:cs="Arial"/>
          <w:szCs w:val="18"/>
        </w:rPr>
        <w:t xml:space="preserve"> “centrale levensplaats”.</w:t>
      </w:r>
      <w:r w:rsidR="00383C71">
        <w:rPr>
          <w:rStyle w:val="Voetnootmarkering"/>
          <w:rFonts w:cs="Arial"/>
          <w:szCs w:val="18"/>
        </w:rPr>
        <w:footnoteReference w:id="22"/>
      </w:r>
      <w:r w:rsidR="00383C71">
        <w:rPr>
          <w:rFonts w:cs="Arial"/>
          <w:szCs w:val="18"/>
        </w:rPr>
        <w:t xml:space="preserve"> </w:t>
      </w:r>
      <w:r w:rsidR="00944799">
        <w:rPr>
          <w:rFonts w:cs="Arial"/>
          <w:szCs w:val="18"/>
        </w:rPr>
        <w:t>Waar een belastingplichtige</w:t>
      </w:r>
      <w:r w:rsidR="00383C71" w:rsidRPr="00383C71">
        <w:rPr>
          <w:rFonts w:cs="Arial"/>
          <w:szCs w:val="18"/>
        </w:rPr>
        <w:t xml:space="preserve"> zijn centrale levensplaats </w:t>
      </w:r>
      <w:r w:rsidR="00944799">
        <w:rPr>
          <w:rFonts w:cs="Arial"/>
          <w:szCs w:val="18"/>
        </w:rPr>
        <w:t>heeft</w:t>
      </w:r>
      <w:r w:rsidR="00383C71" w:rsidRPr="00383C71">
        <w:rPr>
          <w:rFonts w:cs="Arial"/>
          <w:szCs w:val="18"/>
        </w:rPr>
        <w:t>, wordt naar de omstandigheden beoordeeld analoog aan </w:t>
      </w:r>
      <w:hyperlink r:id="rId8" w:history="1">
        <w:r w:rsidR="00383C71" w:rsidRPr="00383C71">
          <w:rPr>
            <w:rFonts w:cs="Arial"/>
            <w:szCs w:val="18"/>
          </w:rPr>
          <w:t>artikel 4</w:t>
        </w:r>
      </w:hyperlink>
      <w:r w:rsidR="00383C71" w:rsidRPr="00383C71">
        <w:rPr>
          <w:rFonts w:cs="Arial"/>
          <w:szCs w:val="18"/>
        </w:rPr>
        <w:t xml:space="preserve"> van de </w:t>
      </w:r>
      <w:r w:rsidR="00383C71" w:rsidRPr="00773A13">
        <w:rPr>
          <w:rFonts w:cs="Arial"/>
          <w:szCs w:val="18"/>
        </w:rPr>
        <w:t>Algemene wet inzake rijksbelastingen (hierna: AWR)</w:t>
      </w:r>
      <w:r w:rsidR="00383C71" w:rsidRPr="00383C71">
        <w:rPr>
          <w:rFonts w:cs="Arial"/>
          <w:szCs w:val="18"/>
        </w:rPr>
        <w:t xml:space="preserve">. Het gaat daarbij om het antwoord op de vraag waar zich het middelpunt van de persoonlijke en economische belangen van de </w:t>
      </w:r>
      <w:r w:rsidR="00383C71">
        <w:rPr>
          <w:rFonts w:cs="Arial"/>
          <w:szCs w:val="18"/>
        </w:rPr>
        <w:t>verkrijger</w:t>
      </w:r>
      <w:r w:rsidR="00383C71" w:rsidRPr="00383C71">
        <w:rPr>
          <w:rFonts w:cs="Arial"/>
          <w:szCs w:val="18"/>
        </w:rPr>
        <w:t xml:space="preserve"> bevindt. De bewijslast om aannemelijk te maken dat het middelpunt van de persoonlijke en economische belangen van </w:t>
      </w:r>
      <w:r w:rsidR="00383C71">
        <w:rPr>
          <w:rFonts w:cs="Arial"/>
          <w:szCs w:val="18"/>
        </w:rPr>
        <w:t>de verkrijger</w:t>
      </w:r>
      <w:r w:rsidR="00383C71" w:rsidRPr="00383C71">
        <w:rPr>
          <w:rFonts w:cs="Arial"/>
          <w:szCs w:val="18"/>
        </w:rPr>
        <w:t xml:space="preserve"> zich </w:t>
      </w:r>
      <w:r w:rsidR="00383C71">
        <w:rPr>
          <w:rFonts w:cs="Arial"/>
          <w:szCs w:val="18"/>
        </w:rPr>
        <w:t>na de verkrijging van de woning</w:t>
      </w:r>
      <w:r w:rsidR="0041708E">
        <w:rPr>
          <w:rFonts w:cs="Arial"/>
          <w:szCs w:val="18"/>
        </w:rPr>
        <w:t xml:space="preserve"> op het adres van de verkregen woning bevindt</w:t>
      </w:r>
      <w:r w:rsidR="00383C71" w:rsidRPr="00383C71">
        <w:rPr>
          <w:rFonts w:cs="Arial"/>
          <w:szCs w:val="18"/>
        </w:rPr>
        <w:t xml:space="preserve">, ligt bij de </w:t>
      </w:r>
      <w:r w:rsidR="0041708E">
        <w:rPr>
          <w:rFonts w:cs="Arial"/>
          <w:szCs w:val="18"/>
        </w:rPr>
        <w:t>verkrijger</w:t>
      </w:r>
      <w:r w:rsidR="00383C71" w:rsidRPr="00383C71">
        <w:rPr>
          <w:rFonts w:cs="Arial"/>
          <w:szCs w:val="18"/>
        </w:rPr>
        <w:t>.</w:t>
      </w:r>
      <w:r w:rsidR="00383C71" w:rsidRPr="00773A13">
        <w:rPr>
          <w:rFonts w:cs="Arial"/>
          <w:szCs w:val="18"/>
        </w:rPr>
        <w:t xml:space="preserve"> </w:t>
      </w:r>
      <w:r w:rsidR="002A224F" w:rsidRPr="00773A13">
        <w:rPr>
          <w:rFonts w:cs="Arial"/>
          <w:szCs w:val="18"/>
        </w:rPr>
        <w:t>Voor een natuurlijk persoon kan s</w:t>
      </w:r>
      <w:r w:rsidRPr="00773A13">
        <w:rPr>
          <w:rFonts w:cs="Arial"/>
          <w:szCs w:val="18"/>
        </w:rPr>
        <w:t>lechts één woning als hoofdverblijf gelden</w:t>
      </w:r>
      <w:r w:rsidR="00037D27">
        <w:rPr>
          <w:rFonts w:cs="Arial"/>
          <w:szCs w:val="18"/>
        </w:rPr>
        <w:t xml:space="preserve">. </w:t>
      </w:r>
      <w:r w:rsidRPr="00773A13">
        <w:rPr>
          <w:rFonts w:cs="Arial"/>
          <w:szCs w:val="18"/>
        </w:rPr>
        <w:t xml:space="preserve">Dit betekent dat vakantiehuizen, pied-à-terre’s of een huis voor uitwonende kinderen dat op naam van de ouders staat niet als hoofdverblijf kunnen worden aangemerkt. Voor onroerende zaken die naar hun aard </w:t>
      </w:r>
      <w:r w:rsidR="002A224F" w:rsidRPr="00773A13">
        <w:rPr>
          <w:rFonts w:cs="Arial"/>
          <w:szCs w:val="18"/>
        </w:rPr>
        <w:t xml:space="preserve">gedeeltelijk </w:t>
      </w:r>
      <w:r w:rsidRPr="00773A13">
        <w:rPr>
          <w:rFonts w:cs="Arial"/>
          <w:szCs w:val="18"/>
        </w:rPr>
        <w:t xml:space="preserve">zijn bestemd voor bewoning </w:t>
      </w:r>
      <w:r w:rsidR="002A224F" w:rsidRPr="00773A13">
        <w:rPr>
          <w:rFonts w:cs="Arial"/>
          <w:szCs w:val="18"/>
        </w:rPr>
        <w:t xml:space="preserve">en </w:t>
      </w:r>
      <w:r w:rsidR="00BD5363">
        <w:rPr>
          <w:rFonts w:cs="Arial"/>
          <w:szCs w:val="18"/>
        </w:rPr>
        <w:t>gedeeltelijk voor andere doeleinden dan bewoning (bijvoorbeeld bedrijfsdoeleinden)</w:t>
      </w:r>
      <w:r w:rsidR="0045181C">
        <w:rPr>
          <w:rFonts w:cs="Arial"/>
          <w:szCs w:val="18"/>
        </w:rPr>
        <w:t xml:space="preserve"> en deze gedeelten </w:t>
      </w:r>
      <w:r w:rsidR="002A224F" w:rsidRPr="00773A13">
        <w:rPr>
          <w:rFonts w:cs="Arial"/>
          <w:szCs w:val="18"/>
        </w:rPr>
        <w:t xml:space="preserve">splitsbaar </w:t>
      </w:r>
      <w:r w:rsidR="0045181C">
        <w:rPr>
          <w:rFonts w:cs="Arial"/>
          <w:szCs w:val="18"/>
        </w:rPr>
        <w:t>zijn</w:t>
      </w:r>
      <w:r w:rsidR="002A224F" w:rsidRPr="00773A13">
        <w:rPr>
          <w:rFonts w:cs="Arial"/>
          <w:szCs w:val="18"/>
        </w:rPr>
        <w:t xml:space="preserve">, </w:t>
      </w:r>
      <w:r w:rsidRPr="00773A13">
        <w:rPr>
          <w:rFonts w:cs="Arial"/>
          <w:szCs w:val="18"/>
        </w:rPr>
        <w:t xml:space="preserve">geldt dat uitsluitend op de waarde van het deel dat voor bewoning is bestemd én dat </w:t>
      </w:r>
      <w:r w:rsidR="00412FA4">
        <w:rPr>
          <w:rFonts w:cs="Arial"/>
          <w:szCs w:val="18"/>
        </w:rPr>
        <w:t xml:space="preserve">anders dan tijdelijk </w:t>
      </w:r>
      <w:r w:rsidRPr="00773A13">
        <w:rPr>
          <w:rFonts w:cs="Arial"/>
          <w:szCs w:val="18"/>
        </w:rPr>
        <w:t xml:space="preserve">als hoofdverblijf wordt </w:t>
      </w:r>
      <w:r w:rsidR="00BD5363">
        <w:rPr>
          <w:rFonts w:cs="Arial"/>
          <w:szCs w:val="18"/>
        </w:rPr>
        <w:t>gebruikt</w:t>
      </w:r>
      <w:r w:rsidRPr="00773A13">
        <w:rPr>
          <w:rFonts w:cs="Arial"/>
          <w:szCs w:val="18"/>
        </w:rPr>
        <w:t>, het verlaagde tarief kan worden toegepast.</w:t>
      </w:r>
      <w:r w:rsidR="00BD5363">
        <w:rPr>
          <w:rFonts w:cs="Arial"/>
          <w:szCs w:val="18"/>
        </w:rPr>
        <w:t xml:space="preserve"> </w:t>
      </w:r>
      <w:r w:rsidR="00BD5363" w:rsidRPr="003E5A77">
        <w:rPr>
          <w:rFonts w:cs="Arial"/>
          <w:szCs w:val="18"/>
        </w:rPr>
        <w:t>Als de onroerende zaak qua oppervlakte voor 90% bestemd is voor bewoning en</w:t>
      </w:r>
      <w:r w:rsidR="00412FA4">
        <w:rPr>
          <w:rFonts w:cs="Arial"/>
          <w:szCs w:val="18"/>
        </w:rPr>
        <w:t xml:space="preserve"> anders dan tijdelijk</w:t>
      </w:r>
      <w:r w:rsidR="00BD5363" w:rsidRPr="003E5A77">
        <w:rPr>
          <w:rFonts w:cs="Arial"/>
          <w:szCs w:val="18"/>
        </w:rPr>
        <w:t xml:space="preserve"> als hoofdverblijf wordt gebruikt, kan voor de verkrijging van de gehele onroerende zaak het verlaagde tarief</w:t>
      </w:r>
      <w:r w:rsidRPr="00773A13">
        <w:rPr>
          <w:rFonts w:cs="Arial"/>
          <w:szCs w:val="18"/>
        </w:rPr>
        <w:t xml:space="preserve"> worden toegepast.</w:t>
      </w:r>
    </w:p>
    <w:p w:rsidR="003E097D" w:rsidRDefault="003E097D" w:rsidP="00435EBB">
      <w:pPr>
        <w:spacing w:after="0" w:line="360" w:lineRule="auto"/>
        <w:ind w:firstLine="709"/>
      </w:pPr>
      <w:r>
        <w:t>H</w:t>
      </w:r>
      <w:r w:rsidRPr="00773A13">
        <w:t xml:space="preserve">et voorgestelde artikel 14, </w:t>
      </w:r>
      <w:r>
        <w:t>derde</w:t>
      </w:r>
      <w:r w:rsidRPr="00773A13">
        <w:t xml:space="preserve"> lid, WBR</w:t>
      </w:r>
      <w:r w:rsidRPr="00773A13">
        <w:rPr>
          <w:szCs w:val="18"/>
        </w:rPr>
        <w:t xml:space="preserve"> </w:t>
      </w:r>
      <w:r w:rsidRPr="00773A13">
        <w:t xml:space="preserve">zorgt ervoor dat </w:t>
      </w:r>
      <w:r>
        <w:t>het verlaagde tarief</w:t>
      </w:r>
      <w:r w:rsidRPr="00773A13">
        <w:t xml:space="preserve"> niet kan worden toegepast als er sprake is van het verkrijgen van de economische eigendom. Met de verkrijging van </w:t>
      </w:r>
      <w:r w:rsidR="00794DAF">
        <w:t xml:space="preserve">de </w:t>
      </w:r>
      <w:r w:rsidRPr="00773A13">
        <w:t>economische eigendom wordt hierbij gedoeld op de verkrijging daarvan, bedoeld in artikel 2, tweede lid, WBR. Tevens is de verkrijging van aandelen, bedoeld in artikel 4, eerste lid, onderdeel a, WBR uitgezonderd</w:t>
      </w:r>
      <w:r>
        <w:t>.</w:t>
      </w:r>
      <w:r w:rsidR="00435EBB">
        <w:t xml:space="preserve"> </w:t>
      </w:r>
      <w:r w:rsidR="00435EBB" w:rsidRPr="002608D8">
        <w:t>Daardoor zal de verkrijging van aandelen in een rechtspersoon nooit belast zijn tegen het verlaagde tarief, ook niet als die aandelen middellijk of onmiddellijk een woning vertegenwoordigen die de verkrijger van de aandelen anders dan tijdelijk als hoofdverblijf</w:t>
      </w:r>
      <w:r w:rsidR="00435EBB">
        <w:t xml:space="preserve"> gaat gebruiken</w:t>
      </w:r>
      <w:r w:rsidR="00435EBB" w:rsidRPr="00773A13">
        <w:t>.</w:t>
      </w:r>
    </w:p>
    <w:p w:rsidR="00DD602F" w:rsidRPr="00773A13" w:rsidRDefault="00DD602F" w:rsidP="009D6FC4">
      <w:pPr>
        <w:spacing w:after="0" w:line="360" w:lineRule="auto"/>
        <w:ind w:firstLine="709"/>
      </w:pPr>
      <w:r w:rsidRPr="00773A13">
        <w:t xml:space="preserve">In het voorgestelde artikel 14, </w:t>
      </w:r>
      <w:r w:rsidR="003E097D">
        <w:t>vierde</w:t>
      </w:r>
      <w:r w:rsidRPr="00773A13">
        <w:t xml:space="preserve"> lid, WBR wordt een aanscherping aangebracht met betrekking tot aanhorigheden</w:t>
      </w:r>
      <w:r w:rsidR="00CF0C9C">
        <w:t xml:space="preserve"> ten opzichte van de huidige regeling</w:t>
      </w:r>
      <w:r w:rsidRPr="00773A13">
        <w:t>. Aanhorigheden kunnen delen in het ve</w:t>
      </w:r>
      <w:r w:rsidRPr="002608D8">
        <w:t xml:space="preserve">rlaagde tarief, mits deze gelijktijdig met de woning worden verkregen, en op de woning het verlaagde tarief van toepassing is. Later verkregen aanhorigheden vallen onder het algemene tarief van </w:t>
      </w:r>
      <w:r w:rsidR="00180B86" w:rsidRPr="002608D8">
        <w:t>8%</w:t>
      </w:r>
      <w:r w:rsidRPr="002608D8">
        <w:t xml:space="preserve"> (vanaf 1 januari 2021).</w:t>
      </w:r>
      <w:r w:rsidR="00CF0C9C">
        <w:t xml:space="preserve"> </w:t>
      </w:r>
    </w:p>
    <w:p w:rsidR="00DD602F" w:rsidRPr="00773A13" w:rsidRDefault="00DD602F" w:rsidP="009D6FC4">
      <w:pPr>
        <w:spacing w:after="0" w:line="360" w:lineRule="auto"/>
        <w:rPr>
          <w:rFonts w:cs="Arial"/>
          <w:i/>
          <w:szCs w:val="18"/>
        </w:rPr>
      </w:pPr>
    </w:p>
    <w:p w:rsidR="00DD602F" w:rsidRPr="00773A13" w:rsidRDefault="00DD602F" w:rsidP="009D6FC4">
      <w:pPr>
        <w:spacing w:after="0" w:line="360" w:lineRule="auto"/>
        <w:ind w:firstLine="709"/>
        <w:rPr>
          <w:i/>
        </w:rPr>
      </w:pPr>
      <w:r w:rsidRPr="00773A13">
        <w:rPr>
          <w:i/>
        </w:rPr>
        <w:t xml:space="preserve">Artikel I, onderdeel </w:t>
      </w:r>
      <w:r w:rsidR="004F6B9C">
        <w:rPr>
          <w:i/>
        </w:rPr>
        <w:t>C</w:t>
      </w:r>
      <w:r w:rsidRPr="00773A13">
        <w:rPr>
          <w:i/>
        </w:rPr>
        <w:t xml:space="preserve"> (artikel 15 van de Wet op belastingen van rechtsverkeer)</w:t>
      </w:r>
    </w:p>
    <w:p w:rsidR="00DD602F" w:rsidRPr="00773A13" w:rsidRDefault="00DD602F" w:rsidP="009D6FC4">
      <w:pPr>
        <w:spacing w:after="0" w:line="360" w:lineRule="auto"/>
        <w:ind w:firstLine="709"/>
      </w:pPr>
      <w:r w:rsidRPr="00773A13">
        <w:t xml:space="preserve">In het voorgestelde artikel 15, eerste lid, onderdeel </w:t>
      </w:r>
      <w:r w:rsidR="00153E0C">
        <w:t>p</w:t>
      </w:r>
      <w:r w:rsidRPr="00773A13">
        <w:t>, WBR wordt een startersvrijstelling opgenomen voor verkrijgingen van woningen of rechten waaraan deze zijn onderworpen. Daarbij moet</w:t>
      </w:r>
      <w:r w:rsidR="0070673F" w:rsidRPr="00773A13">
        <w:t xml:space="preserve"> </w:t>
      </w:r>
      <w:r w:rsidRPr="00773A13">
        <w:t xml:space="preserve">aan </w:t>
      </w:r>
      <w:r w:rsidR="00335966">
        <w:t>drie</w:t>
      </w:r>
      <w:r w:rsidRPr="00773A13">
        <w:t xml:space="preserve"> cumulatieve voorwaarden worden voldaan die per verkrijger worden beoordeeld. Dit kan ertoe leiden dat de verkrijging van een gehele woning door twee verkrijgers </w:t>
      </w:r>
      <w:r w:rsidR="0045181C">
        <w:t>voor de ene verkrijger</w:t>
      </w:r>
      <w:r w:rsidRPr="00773A13">
        <w:t xml:space="preserve"> wel en </w:t>
      </w:r>
      <w:r w:rsidR="0045181C">
        <w:t>voor de andere verkrijger</w:t>
      </w:r>
      <w:r w:rsidRPr="00773A13">
        <w:t xml:space="preserve"> niet onder de vrijstelling valt.</w:t>
      </w:r>
      <w:r w:rsidR="0070673F" w:rsidRPr="00773A13">
        <w:t xml:space="preserve"> De verkrijger zal, voorafgaand aan de toepassing van de vrijstelling, </w:t>
      </w:r>
      <w:r w:rsidR="002C2581" w:rsidRPr="002C2581">
        <w:t>duidelijk, </w:t>
      </w:r>
      <w:r w:rsidR="002C2581" w:rsidRPr="002C2581">
        <w:rPr>
          <w:bCs/>
        </w:rPr>
        <w:t>stellig en zonder voorbehoud</w:t>
      </w:r>
      <w:r w:rsidR="002C2581" w:rsidRPr="00773A13">
        <w:t xml:space="preserve"> </w:t>
      </w:r>
      <w:r w:rsidR="0070673F" w:rsidRPr="00773A13">
        <w:t xml:space="preserve">schriftelijk moeten verklaren </w:t>
      </w:r>
      <w:r w:rsidR="0045181C">
        <w:t xml:space="preserve">niet eerder gebruik te hebben gemaakt van de vrijstelling, en de woning </w:t>
      </w:r>
      <w:r w:rsidR="00412FA4">
        <w:t xml:space="preserve">anders dan tijdelijk </w:t>
      </w:r>
      <w:r w:rsidR="0045181C">
        <w:t>als hoofdverblijf te gaan gebruiken</w:t>
      </w:r>
      <w:r w:rsidR="0070673F" w:rsidRPr="00773A13">
        <w:t xml:space="preserve">. </w:t>
      </w:r>
    </w:p>
    <w:p w:rsidR="00DD602F" w:rsidRPr="00773A13" w:rsidRDefault="00DD602F" w:rsidP="009D6FC4">
      <w:pPr>
        <w:spacing w:after="0" w:line="360" w:lineRule="auto"/>
        <w:ind w:firstLine="709"/>
      </w:pPr>
      <w:r w:rsidRPr="00773A13">
        <w:lastRenderedPageBreak/>
        <w:t xml:space="preserve">Het voorgestelde artikel 15, eerste lid, onderdeel </w:t>
      </w:r>
      <w:r w:rsidR="00153E0C">
        <w:t>p</w:t>
      </w:r>
      <w:r w:rsidRPr="00773A13">
        <w:t xml:space="preserve">, onder 1°, WBR geeft aan dat de vrijstelling geldt voor een natuurlijk persoon die meerderjarig maar jonger dan vijfendertig jaar is. Dit zal de notaris bij overdracht van de woning </w:t>
      </w:r>
      <w:r w:rsidR="009C625D">
        <w:t xml:space="preserve">op de reeds gebruikelijke methode </w:t>
      </w:r>
      <w:r w:rsidRPr="00773A13">
        <w:t>controleren aan de hand van de geldige legitimatiebewijzen en controle in de BRP. Niet-ingezetenen die niet in Nederland zijn opgenomen in de BRP, zullen zelf moeten aantonen dat zij voldoen aan de leeftijdsgren</w:t>
      </w:r>
      <w:r w:rsidR="00D32F81">
        <w:t>zen</w:t>
      </w:r>
      <w:r w:rsidRPr="00773A13">
        <w:t xml:space="preserve">, indien zij gebruik willen maken van de startersvrijstelling. Vanaf 00.00 uur op de dag dat de verkrijger meerderjarig wordt, voldoet hij aan het leeftijdscriterium voor toepassing van de vrijstelling. Vanaf 00.00 uur op de dag dat de verkrijger vijfendertig jaar oud wordt, voldoet hij niet meer aan het leeftijdscriterium voor toepassing van de vrijstelling. </w:t>
      </w:r>
      <w:r w:rsidR="001D42DA" w:rsidRPr="00773A13">
        <w:t>In sommige gevallen is het geboortejaar wel, maar de precieze geboortedatum niet geregistreerd in de BRP</w:t>
      </w:r>
      <w:r w:rsidR="009C625D">
        <w:t xml:space="preserve"> of zichtbaar op het legitimatiebewijs</w:t>
      </w:r>
      <w:r w:rsidR="001D42DA" w:rsidRPr="00773A13">
        <w:t>. Voor deze gevallen zal een fict</w:t>
      </w:r>
      <w:r w:rsidR="000460C8" w:rsidRPr="00773A13">
        <w:t>i</w:t>
      </w:r>
      <w:r w:rsidR="001D42DA" w:rsidRPr="00773A13">
        <w:t xml:space="preserve">eve geboortedatum worden gehanteerd. Als alleen het geboortejaar bekend is, dan is de fictieve geboortedatum voor de toepassing van de vrijstelling 1 juli. Zijn zowel het geboortejaar als de geboortemaand bekend, maar de exacte datum niet, dan is de fictieve geboortedatum de zestiende dag van de desbetreffende maand. </w:t>
      </w:r>
      <w:r w:rsidR="00BA61B9" w:rsidRPr="00773A13">
        <w:t>Deze werkwijze is naar analogie van de werkwijze die thans wordt gehanteerd bij registraties in de BRP en die wordt gehanteerd bij de uitkering van de AOW door de Sociale Verzekeringsbank.</w:t>
      </w:r>
    </w:p>
    <w:p w:rsidR="00DD602F" w:rsidRPr="00773A13" w:rsidRDefault="00DD602F" w:rsidP="009D6FC4">
      <w:pPr>
        <w:spacing w:after="0" w:line="360" w:lineRule="auto"/>
        <w:ind w:firstLine="709"/>
      </w:pPr>
      <w:r w:rsidRPr="00773A13">
        <w:t xml:space="preserve">Het voorgestelde artikel 15, eerste lid, onderdeel </w:t>
      </w:r>
      <w:r w:rsidR="00153E0C">
        <w:t>p</w:t>
      </w:r>
      <w:r w:rsidRPr="00773A13">
        <w:t xml:space="preserve">, onder 2°, WBR geeft aan dat de vrijstelling slechts één keer kan worden gebruikt. Daarom moet de verkrijger </w:t>
      </w:r>
      <w:r w:rsidR="002C2581" w:rsidRPr="002C2581">
        <w:t>duidelijk, </w:t>
      </w:r>
      <w:r w:rsidR="002C2581" w:rsidRPr="002C2581">
        <w:rPr>
          <w:bCs/>
        </w:rPr>
        <w:t>stellig en zonder voorbehoud</w:t>
      </w:r>
      <w:r w:rsidR="002C2581" w:rsidRPr="00773A13">
        <w:t xml:space="preserve"> </w:t>
      </w:r>
      <w:r w:rsidR="00683DB9" w:rsidRPr="00773A13">
        <w:t xml:space="preserve">schriftelijk </w:t>
      </w:r>
      <w:r w:rsidRPr="00773A13">
        <w:t xml:space="preserve">verklaren dat hij de vrijstelling niet eerder heeft toegepast. </w:t>
      </w:r>
    </w:p>
    <w:p w:rsidR="0045181C" w:rsidRPr="00A11456" w:rsidRDefault="00DD602F" w:rsidP="00A11456">
      <w:pPr>
        <w:spacing w:after="0" w:line="360" w:lineRule="auto"/>
        <w:ind w:firstLine="709"/>
      </w:pPr>
      <w:r w:rsidRPr="00773A13">
        <w:t xml:space="preserve">Het voorgestelde artikel 15, eerste lid, </w:t>
      </w:r>
      <w:r w:rsidR="00153E0C">
        <w:t>onderdeel p</w:t>
      </w:r>
      <w:r w:rsidRPr="00773A13">
        <w:t xml:space="preserve">, onder 3°, WBR geeft aan dat de verkrijger </w:t>
      </w:r>
      <w:r w:rsidR="0045181C">
        <w:t xml:space="preserve">de woning anders dan tijdelijk als hoofdverblijf dat gebruiken en dit </w:t>
      </w:r>
      <w:r w:rsidR="009C625D">
        <w:t xml:space="preserve">onmiddellijk </w:t>
      </w:r>
      <w:r w:rsidR="0045181C">
        <w:t>voorafgaand aan de verk</w:t>
      </w:r>
      <w:r w:rsidR="00A11456">
        <w:t xml:space="preserve">rijging </w:t>
      </w:r>
      <w:r w:rsidR="002C2581" w:rsidRPr="002C2581">
        <w:t>duidelijk, </w:t>
      </w:r>
      <w:r w:rsidR="002C2581" w:rsidRPr="002C2581">
        <w:rPr>
          <w:bCs/>
        </w:rPr>
        <w:t>stellig en zonder voorbehoud</w:t>
      </w:r>
      <w:r w:rsidR="002C2581">
        <w:t xml:space="preserve"> </w:t>
      </w:r>
      <w:r w:rsidR="00A11456">
        <w:t>verklaart</w:t>
      </w:r>
      <w:r w:rsidR="002C2581">
        <w:t xml:space="preserve"> in een schriftelijke verklaring</w:t>
      </w:r>
      <w:r w:rsidR="00A11456">
        <w:t xml:space="preserve">. </w:t>
      </w:r>
      <w:r w:rsidR="009C625D">
        <w:rPr>
          <w:rFonts w:cs="Arial"/>
          <w:szCs w:val="18"/>
        </w:rPr>
        <w:t xml:space="preserve">Voor een toelichting van </w:t>
      </w:r>
      <w:r w:rsidR="0045181C" w:rsidRPr="00D806CB">
        <w:rPr>
          <w:rFonts w:cs="Arial"/>
          <w:szCs w:val="18"/>
        </w:rPr>
        <w:t xml:space="preserve">het begrip “anders dan tijdelijk als hoofdverblijf” wordt </w:t>
      </w:r>
      <w:r w:rsidR="009C625D">
        <w:rPr>
          <w:rFonts w:cs="Arial"/>
          <w:szCs w:val="18"/>
        </w:rPr>
        <w:t xml:space="preserve">verwezen naar de artikelsgewijze toelichting bij artikel 14, tweede lid, WBR. </w:t>
      </w:r>
    </w:p>
    <w:p w:rsidR="00DD602F" w:rsidRPr="00773A13" w:rsidRDefault="00DD602F" w:rsidP="009D6FC4">
      <w:pPr>
        <w:spacing w:after="0" w:line="360" w:lineRule="auto"/>
        <w:ind w:firstLine="709"/>
      </w:pPr>
      <w:r w:rsidRPr="00773A13">
        <w:t xml:space="preserve"> Voor een nadere toelichting </w:t>
      </w:r>
      <w:r w:rsidR="0045181C">
        <w:t xml:space="preserve">op de schriftelijke verklaring </w:t>
      </w:r>
      <w:r w:rsidRPr="00773A13">
        <w:t>wordt verwezen naar de toelichting op het voorgestelde artikel 15a WBR.</w:t>
      </w:r>
    </w:p>
    <w:p w:rsidR="00DD602F" w:rsidRPr="00773A13" w:rsidRDefault="00DD602F" w:rsidP="00435EBB">
      <w:pPr>
        <w:spacing w:after="0" w:line="360" w:lineRule="auto"/>
        <w:ind w:firstLine="709"/>
      </w:pPr>
      <w:r w:rsidRPr="00773A13">
        <w:t xml:space="preserve">Artikel 15, </w:t>
      </w:r>
      <w:r w:rsidR="00FF360B">
        <w:t>achtste lid</w:t>
      </w:r>
      <w:r w:rsidRPr="00773A13">
        <w:t xml:space="preserve">, WBR zorgt ervoor dat deze vrijstelling </w:t>
      </w:r>
      <w:r w:rsidR="00F676F5" w:rsidRPr="00773A13">
        <w:t>niet kan worden toegepast als er sprake is van het verkrijgen van de economische eigendom</w:t>
      </w:r>
      <w:r w:rsidR="00D362DF" w:rsidRPr="00773A13">
        <w:t>. Met de verkrijging van economische eigendom wordt hierbij gedoeld op de verkrijging daarvan, bedoeld in artikel 2, tweede lid, WBR. Tevens is</w:t>
      </w:r>
      <w:r w:rsidR="00F676F5" w:rsidRPr="00773A13">
        <w:t xml:space="preserve"> de verkrijging van aandelen, bedoeld in artikel 4, eerste lid, onderdeel a, WBR</w:t>
      </w:r>
      <w:r w:rsidR="00D362DF" w:rsidRPr="00773A13">
        <w:t xml:space="preserve"> uitgezonderd</w:t>
      </w:r>
      <w:r w:rsidR="00A11456">
        <w:t>.</w:t>
      </w:r>
      <w:r w:rsidR="00435EBB">
        <w:t xml:space="preserve"> </w:t>
      </w:r>
      <w:r w:rsidR="00435EBB" w:rsidRPr="00773A13">
        <w:t xml:space="preserve">Voor de toepassing van de vrijstelling wordt </w:t>
      </w:r>
      <w:r w:rsidR="00435EBB">
        <w:t xml:space="preserve">derhalve </w:t>
      </w:r>
      <w:r w:rsidR="00435EBB" w:rsidRPr="00773A13">
        <w:t xml:space="preserve">niet gekeken naar het middellijke of onmiddellijke belang in een </w:t>
      </w:r>
      <w:r w:rsidR="00435EBB">
        <w:t>rechtspersoon</w:t>
      </w:r>
      <w:r w:rsidR="00435EBB" w:rsidRPr="00773A13">
        <w:t xml:space="preserve"> dat woningen vertegenwoordigt. Een niet-natuurlijk persoon, zoals een rechtspersoon, kan daardoor nooit in aanmerking kom</w:t>
      </w:r>
      <w:r w:rsidR="00435EBB">
        <w:t>en</w:t>
      </w:r>
      <w:r w:rsidR="00435EBB" w:rsidRPr="00773A13">
        <w:t xml:space="preserve"> voor de vrijstelling, ongeacht de </w:t>
      </w:r>
      <w:r w:rsidR="00435EBB">
        <w:t>leeftijd van de aandeelhouders.</w:t>
      </w:r>
    </w:p>
    <w:p w:rsidR="00C21371" w:rsidRDefault="00C21371" w:rsidP="00C21371">
      <w:pPr>
        <w:spacing w:after="0" w:line="360" w:lineRule="auto"/>
        <w:ind w:firstLine="709"/>
      </w:pPr>
      <w:r>
        <w:t xml:space="preserve">Ingevolge het voorgestelde artikel 15, </w:t>
      </w:r>
      <w:r w:rsidR="00FF360B">
        <w:t>negende</w:t>
      </w:r>
      <w:r>
        <w:t xml:space="preserve"> lid, eerste zin, WBR geldt een verplichting tot het doen van aangifte ter zake van een verkrijging waarop een vrijstelling</w:t>
      </w:r>
      <w:r w:rsidR="006F2778">
        <w:t xml:space="preserve"> wordt toegepast als bedoeld in</w:t>
      </w:r>
      <w:r>
        <w:t xml:space="preserve"> artikel 15, eerste en zesde lid,</w:t>
      </w:r>
      <w:r w:rsidR="006F2778">
        <w:t xml:space="preserve"> (nieuw)</w:t>
      </w:r>
      <w:r>
        <w:t xml:space="preserve"> WBR. Omdat in die gevallen geen overdrachtsbelasting is verschuldigd, zou discussie kunnen ontstaan over het antwoord op de vraag of dan wel aangifte moet worden gedaan. Ingevolge genoemd artikel 15, </w:t>
      </w:r>
      <w:r w:rsidR="00FF360B">
        <w:t>negende</w:t>
      </w:r>
      <w:r>
        <w:t xml:space="preserve"> lid, geldt die verplichting zonder meer. De betreffende</w:t>
      </w:r>
      <w:r w:rsidRPr="004464D7">
        <w:t xml:space="preserve"> aangifteplicht</w:t>
      </w:r>
      <w:r>
        <w:t xml:space="preserve"> is </w:t>
      </w:r>
      <w:r w:rsidRPr="004464D7">
        <w:t xml:space="preserve">wenselijk omdat de Belastingdienst </w:t>
      </w:r>
      <w:r>
        <w:t>op deze wijze op de hoogte raakt van he</w:t>
      </w:r>
      <w:r w:rsidRPr="00DB71A8">
        <w:t xml:space="preserve">t feit dat een vrijstelling is toegepast en desgewenst kan </w:t>
      </w:r>
      <w:r w:rsidRPr="00DB71A8">
        <w:lastRenderedPageBreak/>
        <w:t xml:space="preserve">controleren of die vrijstelling terecht is toegepast. </w:t>
      </w:r>
      <w:r w:rsidR="003D1513">
        <w:t>Indien een verkrijging niet geschiedt bij notariële akte, zal de verkrijger, o</w:t>
      </w:r>
      <w:r w:rsidRPr="00DB71A8">
        <w:t>m aangifte te kunnen doen, eerst om uitnodiging tot het doen van aangifte moeten verzoeken. Op basis van artikel 6, derde lid, AWR zal daartoe in de Uitvoeringsregeling Algemene wet inzake rijksbelastingen 1994 (</w:t>
      </w:r>
      <w:r w:rsidR="006F2778">
        <w:t xml:space="preserve">hierna: </w:t>
      </w:r>
      <w:r w:rsidRPr="00DB71A8">
        <w:t>Uitvoeringsregeling AWR 1994) de verplichting voor de verkrijger worden opgenomen om binnen een maand na de betreffende verkrij</w:t>
      </w:r>
      <w:r>
        <w:t>ging om een uitnodiging te verzoeken. De inspecteur zal vervolgens bij de uitnodiging tot het doen van aangifte op grond van artikel 4a Uitvoeringsregeling AWR 1994 de wijze van het doen van aangifte aangeven, een omschrijving geven van de gevraagde gegevens of bescheiden alsmede de termijn stellen waarbinnen aangifte moet worden gedaan. De termijn bedraagt</w:t>
      </w:r>
      <w:r w:rsidRPr="00DE6C9A">
        <w:t xml:space="preserve"> </w:t>
      </w:r>
      <w:r>
        <w:t xml:space="preserve">ingevolge artikel 10, tweede lid, AWR ten minste een maand. </w:t>
      </w:r>
    </w:p>
    <w:p w:rsidR="002B6E66" w:rsidRPr="00773A13" w:rsidRDefault="00C21371" w:rsidP="006F2778">
      <w:pPr>
        <w:spacing w:after="0" w:line="360" w:lineRule="auto"/>
        <w:ind w:firstLine="709"/>
      </w:pPr>
      <w:r>
        <w:t xml:space="preserve">Ingevolge het voorgestelde artikel 15, </w:t>
      </w:r>
      <w:r w:rsidR="00FF360B">
        <w:t>negende</w:t>
      </w:r>
      <w:r>
        <w:t xml:space="preserve"> lid, tweede zin, WBR geldt met betrekking tot verkrijgingen waarop </w:t>
      </w:r>
      <w:r w:rsidRPr="009178A2">
        <w:t xml:space="preserve">een vrijstelling als bedoeld in het eerste of zesde lid </w:t>
      </w:r>
      <w:r>
        <w:t xml:space="preserve">van genoemd artikel 15 </w:t>
      </w:r>
      <w:r w:rsidRPr="009178A2">
        <w:t>wordt toegepast</w:t>
      </w:r>
      <w:r>
        <w:t xml:space="preserve"> en ter zake waarvan een notariële akte is opgemaakt, in afwijking in zoverre van het voorgaande, dat aangifte wordt gedaan </w:t>
      </w:r>
      <w:r w:rsidRPr="009178A2">
        <w:t>met overeenkomstige toepassing van artikel 18</w:t>
      </w:r>
      <w:r>
        <w:t xml:space="preserve"> WBR. Dat houdt in dat in die gevallen de notaris namens de verkrijger aangifte doet, overeenkomstig de huidige praktijk</w:t>
      </w:r>
      <w:r w:rsidRPr="009178A2">
        <w:t xml:space="preserve"> voor </w:t>
      </w:r>
      <w:r>
        <w:t xml:space="preserve">dergelijke </w:t>
      </w:r>
      <w:r w:rsidRPr="009178A2">
        <w:t xml:space="preserve">verkrijgingen waarbij overdrachtsbelasting </w:t>
      </w:r>
      <w:r>
        <w:t>is verschuldigd</w:t>
      </w:r>
      <w:r w:rsidRPr="009178A2">
        <w:t>.</w:t>
      </w:r>
      <w:r>
        <w:t xml:space="preserve"> De wijze waarop dit gebeurt is reeds uitgewerkt in artikel 21a Uitvoeringsregeling AWR 1994 in samenhang met artikel 4 van de</w:t>
      </w:r>
      <w:hyperlink r:id="rId9" w:history="1">
        <w:r w:rsidRPr="009178A2">
          <w:t xml:space="preserve"> Uitvoeringsregeling Registratiewet 1970</w:t>
        </w:r>
      </w:hyperlink>
      <w:r>
        <w:t xml:space="preserve">. Kort samengevat geschiedt de aangifte door </w:t>
      </w:r>
      <w:r w:rsidRPr="009178A2">
        <w:t xml:space="preserve">het aanbieden ter registratie van de notariële akte en het insturen van een elektronisch </w:t>
      </w:r>
      <w:r w:rsidR="00DB71A8">
        <w:t>overdrachtsbelasting</w:t>
      </w:r>
      <w:r w:rsidRPr="009178A2">
        <w:t xml:space="preserve">bericht overeenkomstig de door de </w:t>
      </w:r>
      <w:r w:rsidRPr="00DB71A8">
        <w:t>KNB</w:t>
      </w:r>
      <w:r w:rsidRPr="009178A2">
        <w:t>, in overeenstemming met de Belastingdienst, daartoe opgestelde richtlijnen, met onder meer de vermelding of een beroep op een vrijstelling wordt gedaan.</w:t>
      </w:r>
      <w:r>
        <w:t xml:space="preserve"> </w:t>
      </w:r>
    </w:p>
    <w:p w:rsidR="00DD602F" w:rsidRPr="00773A13" w:rsidRDefault="00DD602F" w:rsidP="009D6FC4">
      <w:pPr>
        <w:spacing w:after="0" w:line="360" w:lineRule="auto"/>
        <w:ind w:firstLine="709"/>
      </w:pPr>
    </w:p>
    <w:p w:rsidR="00DD602F" w:rsidRPr="00773A13" w:rsidRDefault="00DD602F" w:rsidP="006F2778">
      <w:pPr>
        <w:spacing w:after="0" w:line="360" w:lineRule="auto"/>
        <w:ind w:firstLine="709"/>
        <w:rPr>
          <w:i/>
        </w:rPr>
      </w:pPr>
      <w:r w:rsidRPr="00773A13">
        <w:rPr>
          <w:i/>
        </w:rPr>
        <w:t xml:space="preserve">Artikel I, onderdeel </w:t>
      </w:r>
      <w:r w:rsidR="004F6B9C">
        <w:rPr>
          <w:i/>
        </w:rPr>
        <w:t>D</w:t>
      </w:r>
      <w:r w:rsidRPr="00773A13">
        <w:rPr>
          <w:i/>
        </w:rPr>
        <w:t xml:space="preserve"> (artikel 15a van de Wet op</w:t>
      </w:r>
      <w:r w:rsidR="006F2778">
        <w:rPr>
          <w:i/>
        </w:rPr>
        <w:t xml:space="preserve"> belastingen van rechtsverkeer)</w:t>
      </w:r>
    </w:p>
    <w:p w:rsidR="00DD602F" w:rsidRPr="00773A13" w:rsidRDefault="00DD602F" w:rsidP="009D6FC4">
      <w:pPr>
        <w:spacing w:after="0" w:line="360" w:lineRule="auto"/>
        <w:ind w:firstLine="709"/>
      </w:pPr>
      <w:r w:rsidRPr="00773A13">
        <w:rPr>
          <w:szCs w:val="18"/>
        </w:rPr>
        <w:t xml:space="preserve">Het voorgestelde artikel 15a WBR </w:t>
      </w:r>
      <w:r w:rsidR="00D362DF" w:rsidRPr="00773A13">
        <w:rPr>
          <w:szCs w:val="18"/>
        </w:rPr>
        <w:t xml:space="preserve">geeft nadere regels aangaande </w:t>
      </w:r>
      <w:r w:rsidRPr="00773A13">
        <w:rPr>
          <w:szCs w:val="18"/>
        </w:rPr>
        <w:t xml:space="preserve">de </w:t>
      </w:r>
      <w:r w:rsidR="00444ABE" w:rsidRPr="00773A13">
        <w:rPr>
          <w:szCs w:val="18"/>
        </w:rPr>
        <w:t xml:space="preserve">schriftelijke </w:t>
      </w:r>
      <w:r w:rsidR="0092602D" w:rsidRPr="00773A13">
        <w:rPr>
          <w:szCs w:val="18"/>
        </w:rPr>
        <w:t>verklaring</w:t>
      </w:r>
      <w:r w:rsidRPr="00773A13">
        <w:rPr>
          <w:szCs w:val="18"/>
        </w:rPr>
        <w:t>. In het eerste lid van genoemd artikel 15a wordt bepaald dat</w:t>
      </w:r>
      <w:r w:rsidR="00D362DF" w:rsidRPr="00773A13">
        <w:rPr>
          <w:szCs w:val="18"/>
        </w:rPr>
        <w:t xml:space="preserve"> de verklaring een onderdeel vormt van de belastingaangifte.</w:t>
      </w:r>
      <w:r w:rsidR="00343309">
        <w:rPr>
          <w:szCs w:val="18"/>
        </w:rPr>
        <w:t xml:space="preserve"> </w:t>
      </w:r>
      <w:r w:rsidR="0009336A" w:rsidRPr="00773A13">
        <w:rPr>
          <w:szCs w:val="18"/>
        </w:rPr>
        <w:t>Het opnemen van de schriftelijke verklaring in de aangifte is wenselijk, omdat de inspecteur dan kan toetsen of voldaan is aan de voorwaarden van de vrijstelling</w:t>
      </w:r>
      <w:r w:rsidR="00D362DF" w:rsidRPr="00773A13">
        <w:rPr>
          <w:szCs w:val="18"/>
        </w:rPr>
        <w:t>.</w:t>
      </w:r>
      <w:r w:rsidRPr="00773A13">
        <w:t xml:space="preserve"> </w:t>
      </w:r>
    </w:p>
    <w:p w:rsidR="00617C13" w:rsidRPr="00773A13" w:rsidRDefault="00C21371" w:rsidP="009D6FC4">
      <w:pPr>
        <w:spacing w:after="0" w:line="360" w:lineRule="auto"/>
        <w:ind w:firstLine="709"/>
      </w:pPr>
      <w:r>
        <w:t>In</w:t>
      </w:r>
      <w:r w:rsidR="00617C13" w:rsidRPr="00773A13">
        <w:t xml:space="preserve"> </w:t>
      </w:r>
      <w:r w:rsidR="00CC2C6A" w:rsidRPr="00773A13">
        <w:t>het voorgestelde artikel 15a, tweede lid,</w:t>
      </w:r>
      <w:r w:rsidR="00B4563F" w:rsidRPr="00773A13">
        <w:t xml:space="preserve"> WBR</w:t>
      </w:r>
      <w:r w:rsidR="00CC2C6A" w:rsidRPr="00773A13">
        <w:t xml:space="preserve"> wordt aangegeven wanneer de starter</w:t>
      </w:r>
      <w:r w:rsidR="00B6691B">
        <w:t>s</w:t>
      </w:r>
      <w:r w:rsidR="00CC2C6A" w:rsidRPr="00773A13">
        <w:t xml:space="preserve">vrijstelling en het verlaagde tarief </w:t>
      </w:r>
      <w:r w:rsidR="0045181C">
        <w:t xml:space="preserve">in beginsel </w:t>
      </w:r>
      <w:r w:rsidR="00CC2C6A" w:rsidRPr="00773A13">
        <w:t xml:space="preserve">niet wordt teruggenomen, ondanks dat de verkrijger de woning niet </w:t>
      </w:r>
      <w:r w:rsidR="00412FA4">
        <w:t>of slechts</w:t>
      </w:r>
      <w:r w:rsidR="00CC2C6A" w:rsidRPr="00773A13">
        <w:t xml:space="preserve"> tijdelijk als hoofdverblijf heeft gebruikt. Dit is het geval, indien de verkrijger aannemelijk maakt dat hij vanwege omstandigheden </w:t>
      </w:r>
      <w:r w:rsidR="00EF590E" w:rsidRPr="00773A13">
        <w:t xml:space="preserve">die op het moment van </w:t>
      </w:r>
      <w:r>
        <w:t>de</w:t>
      </w:r>
      <w:r w:rsidR="00CC2C6A" w:rsidRPr="00773A13">
        <w:t xml:space="preserve"> verkrijging </w:t>
      </w:r>
      <w:r w:rsidR="00EF590E" w:rsidRPr="00773A13">
        <w:t>onvoorzien waren</w:t>
      </w:r>
      <w:r w:rsidR="00537622" w:rsidRPr="00773A13">
        <w:t>,</w:t>
      </w:r>
      <w:r w:rsidR="00EF590E" w:rsidRPr="00773A13">
        <w:t xml:space="preserve"> de woning </w:t>
      </w:r>
      <w:r w:rsidR="00537622" w:rsidRPr="00773A13">
        <w:t xml:space="preserve">redelijkerwijs </w:t>
      </w:r>
      <w:r w:rsidR="00EF590E" w:rsidRPr="00773A13">
        <w:t xml:space="preserve">niet </w:t>
      </w:r>
      <w:r w:rsidR="00C04467" w:rsidRPr="00773A13">
        <w:t xml:space="preserve">als zodanig in gebruik heeft kunnen nemen </w:t>
      </w:r>
      <w:r w:rsidR="00CC2C6A" w:rsidRPr="00773A13">
        <w:t xml:space="preserve">of niet </w:t>
      </w:r>
      <w:r w:rsidR="00C04467" w:rsidRPr="00773A13">
        <w:t>langer als hoofdverblijf kan gebruiken</w:t>
      </w:r>
      <w:r w:rsidR="00CC2C6A" w:rsidRPr="00773A13">
        <w:t xml:space="preserve">. </w:t>
      </w:r>
      <w:r w:rsidR="00EF590E" w:rsidRPr="00773A13">
        <w:t xml:space="preserve">Hierbij valt </w:t>
      </w:r>
      <w:r w:rsidR="00537622" w:rsidRPr="00773A13">
        <w:t xml:space="preserve">bijvoorbeeld </w:t>
      </w:r>
      <w:r w:rsidR="00EF590E" w:rsidRPr="00773A13">
        <w:t xml:space="preserve">te denken aan </w:t>
      </w:r>
      <w:r w:rsidR="00537622" w:rsidRPr="00773A13">
        <w:t>het duurzaam verloren gaan van de woning, het overlijden van een verkrijger, echtscheiding van de verkrijgers, het aanvaarden van of het verlies van een baan, of emigratie</w:t>
      </w:r>
      <w:r w:rsidR="00EF590E" w:rsidRPr="00773A13">
        <w:t>. Dit zijn voorbeelden van</w:t>
      </w:r>
      <w:r w:rsidR="00CC2C6A" w:rsidRPr="00773A13">
        <w:t xml:space="preserve"> omstandigheden die kunnen rechtvaardigen dat de verkrijger ondanks de afgelegde verklaring uiteindelijk toch niet</w:t>
      </w:r>
      <w:r w:rsidR="00EF590E" w:rsidRPr="00773A13">
        <w:t xml:space="preserve"> (duurzaam)</w:t>
      </w:r>
      <w:r w:rsidR="00CC2C6A" w:rsidRPr="00773A13">
        <w:t xml:space="preserve"> in de woning is gaan wonen. In geval de verkrijger </w:t>
      </w:r>
      <w:r w:rsidR="00537622" w:rsidRPr="00773A13">
        <w:t>slaagt in zijn bewijslast</w:t>
      </w:r>
      <w:r w:rsidR="00CC2C6A" w:rsidRPr="00773A13">
        <w:t>, blijft toepassing van de startersvrijstelling of het verlaagde tarief in stand.</w:t>
      </w:r>
    </w:p>
    <w:p w:rsidR="00DD602F" w:rsidRPr="00773A13" w:rsidRDefault="00DD602F" w:rsidP="009D6FC4">
      <w:pPr>
        <w:spacing w:after="0" w:line="360" w:lineRule="auto"/>
        <w:ind w:firstLine="709"/>
      </w:pPr>
      <w:r w:rsidRPr="00773A13">
        <w:lastRenderedPageBreak/>
        <w:t xml:space="preserve">Op basis van het voorgestelde artikel 15a, </w:t>
      </w:r>
      <w:r w:rsidR="00617C13" w:rsidRPr="00773A13">
        <w:t xml:space="preserve">derde </w:t>
      </w:r>
      <w:r w:rsidRPr="00773A13">
        <w:t xml:space="preserve">lid, WBR zullen bij </w:t>
      </w:r>
      <w:r w:rsidR="00F92732">
        <w:t>ministeriële regeling</w:t>
      </w:r>
      <w:r w:rsidRPr="00773A13">
        <w:t xml:space="preserve"> nadere regels worden gesteld met betrekking tot de inhoud van de </w:t>
      </w:r>
      <w:r w:rsidR="00444ABE" w:rsidRPr="00773A13">
        <w:t xml:space="preserve">schriftelijke </w:t>
      </w:r>
      <w:r w:rsidR="0083166A" w:rsidRPr="00773A13">
        <w:t xml:space="preserve">verklaring </w:t>
      </w:r>
      <w:r w:rsidRPr="00773A13">
        <w:t xml:space="preserve">en de wijze waarop de </w:t>
      </w:r>
      <w:r w:rsidRPr="00773A13">
        <w:rPr>
          <w:rFonts w:cs="Arial"/>
          <w:szCs w:val="18"/>
        </w:rPr>
        <w:t>verklaring</w:t>
      </w:r>
      <w:r w:rsidRPr="00773A13">
        <w:t xml:space="preserve"> aan de Belasti</w:t>
      </w:r>
      <w:r w:rsidR="005C64E8" w:rsidRPr="00773A13">
        <w:t>ngdienst moet worden verstuurd.</w:t>
      </w:r>
    </w:p>
    <w:p w:rsidR="00E750B6" w:rsidRDefault="00E750B6" w:rsidP="001834C2">
      <w:pPr>
        <w:spacing w:after="0" w:line="360" w:lineRule="auto"/>
      </w:pPr>
    </w:p>
    <w:p w:rsidR="003A002C" w:rsidRPr="00773A13" w:rsidRDefault="003A002C" w:rsidP="001834C2">
      <w:pPr>
        <w:spacing w:after="0" w:line="360" w:lineRule="auto"/>
      </w:pPr>
    </w:p>
    <w:p w:rsidR="006F2778" w:rsidRPr="006F2778" w:rsidRDefault="006F2778" w:rsidP="006F2778">
      <w:pPr>
        <w:spacing w:after="0" w:line="360" w:lineRule="auto"/>
        <w:ind w:firstLine="709"/>
        <w:rPr>
          <w:i/>
        </w:rPr>
      </w:pPr>
      <w:r w:rsidRPr="006F2778">
        <w:rPr>
          <w:i/>
        </w:rPr>
        <w:t xml:space="preserve"> Artikel II (horizonbepaling)</w:t>
      </w:r>
    </w:p>
    <w:p w:rsidR="006F2778" w:rsidRPr="00773A13" w:rsidRDefault="006F2778" w:rsidP="006F2778">
      <w:pPr>
        <w:spacing w:after="0" w:line="360" w:lineRule="auto"/>
        <w:ind w:firstLine="709"/>
      </w:pPr>
      <w:r>
        <w:t>Z</w:t>
      </w:r>
      <w:r w:rsidRPr="00277EF0">
        <w:t xml:space="preserve">oals in het algemeen deel van de memorie is uiteengezet, </w:t>
      </w:r>
      <w:r>
        <w:t xml:space="preserve">wordt voorgesteld </w:t>
      </w:r>
      <w:r w:rsidRPr="00277EF0">
        <w:t>een horizonbepaling voor de</w:t>
      </w:r>
      <w:r>
        <w:t xml:space="preserve"> </w:t>
      </w:r>
      <w:r w:rsidRPr="00277EF0">
        <w:t>startersvrijstelling op</w:t>
      </w:r>
      <w:r>
        <w:t xml:space="preserve"> te </w:t>
      </w:r>
      <w:r w:rsidRPr="00277EF0">
        <w:t>n</w:t>
      </w:r>
      <w:r>
        <w:t>emen. Deze is verwoord in onderdeel A. In onderdeel B wordt voorzien in de nodige aanpassing van artikel 15a WBR bij het komen te vervallen van de startersvrijstelling.</w:t>
      </w:r>
    </w:p>
    <w:p w:rsidR="006F2778" w:rsidRDefault="006F2778" w:rsidP="009D6FC4">
      <w:pPr>
        <w:spacing w:after="0" w:line="360" w:lineRule="auto"/>
        <w:ind w:firstLine="709"/>
        <w:rPr>
          <w:i/>
        </w:rPr>
      </w:pPr>
    </w:p>
    <w:p w:rsidR="003A002C" w:rsidRDefault="003A002C" w:rsidP="009D6FC4">
      <w:pPr>
        <w:spacing w:after="0" w:line="360" w:lineRule="auto"/>
        <w:ind w:firstLine="709"/>
        <w:rPr>
          <w:i/>
        </w:rPr>
      </w:pPr>
    </w:p>
    <w:p w:rsidR="003A002C" w:rsidRDefault="003A002C" w:rsidP="009D6FC4">
      <w:pPr>
        <w:spacing w:after="0" w:line="360" w:lineRule="auto"/>
        <w:ind w:firstLine="709"/>
        <w:rPr>
          <w:i/>
        </w:rPr>
      </w:pPr>
    </w:p>
    <w:p w:rsidR="00DD602F" w:rsidRPr="00773A13" w:rsidRDefault="006B27BA" w:rsidP="009D6FC4">
      <w:pPr>
        <w:spacing w:after="0" w:line="360" w:lineRule="auto"/>
        <w:ind w:firstLine="709"/>
        <w:rPr>
          <w:i/>
        </w:rPr>
      </w:pPr>
      <w:r w:rsidRPr="00773A13">
        <w:rPr>
          <w:i/>
        </w:rPr>
        <w:t>Artikel I</w:t>
      </w:r>
      <w:r w:rsidR="006F2778">
        <w:rPr>
          <w:i/>
        </w:rPr>
        <w:t>I</w:t>
      </w:r>
      <w:r w:rsidRPr="00773A13">
        <w:rPr>
          <w:i/>
        </w:rPr>
        <w:t>I (</w:t>
      </w:r>
      <w:r w:rsidR="00DD602F" w:rsidRPr="00773A13">
        <w:rPr>
          <w:i/>
        </w:rPr>
        <w:t>inwerkingtreding)</w:t>
      </w:r>
    </w:p>
    <w:p w:rsidR="00DD602F" w:rsidRPr="00773A13" w:rsidRDefault="00DD602F" w:rsidP="009D6FC4">
      <w:pPr>
        <w:spacing w:line="360" w:lineRule="auto"/>
        <w:ind w:firstLine="709"/>
        <w:rPr>
          <w:szCs w:val="18"/>
        </w:rPr>
      </w:pPr>
      <w:r w:rsidRPr="00773A13">
        <w:rPr>
          <w:szCs w:val="18"/>
        </w:rPr>
        <w:t>Deze wet treedt in werking met ingang van 1 januari 2021.</w:t>
      </w:r>
    </w:p>
    <w:p w:rsidR="003A002C" w:rsidRDefault="003A002C" w:rsidP="008A26B8">
      <w:pPr>
        <w:spacing w:line="360" w:lineRule="auto"/>
        <w:ind w:firstLine="709"/>
        <w:rPr>
          <w:i/>
          <w:szCs w:val="18"/>
        </w:rPr>
      </w:pPr>
    </w:p>
    <w:p w:rsidR="00C21371" w:rsidRPr="006C7807" w:rsidRDefault="00C21371" w:rsidP="008A26B8">
      <w:pPr>
        <w:spacing w:line="360" w:lineRule="auto"/>
        <w:ind w:firstLine="709"/>
        <w:rPr>
          <w:i/>
          <w:szCs w:val="18"/>
        </w:rPr>
      </w:pPr>
      <w:r w:rsidRPr="006C7807">
        <w:rPr>
          <w:i/>
          <w:szCs w:val="18"/>
        </w:rPr>
        <w:t>Artikel I</w:t>
      </w:r>
      <w:r w:rsidR="006F2778">
        <w:rPr>
          <w:i/>
          <w:szCs w:val="18"/>
        </w:rPr>
        <w:t>V</w:t>
      </w:r>
      <w:r>
        <w:rPr>
          <w:i/>
          <w:szCs w:val="18"/>
        </w:rPr>
        <w:t xml:space="preserve"> (citeertitel)</w:t>
      </w:r>
    </w:p>
    <w:p w:rsidR="00C21371" w:rsidRPr="00554680" w:rsidRDefault="00C21371" w:rsidP="00C21371">
      <w:pPr>
        <w:spacing w:line="360" w:lineRule="auto"/>
        <w:ind w:firstLine="709"/>
        <w:rPr>
          <w:szCs w:val="18"/>
        </w:rPr>
      </w:pPr>
      <w:r>
        <w:rPr>
          <w:szCs w:val="18"/>
        </w:rPr>
        <w:t xml:space="preserve">Deze wet wordt aangehaald als: </w:t>
      </w:r>
      <w:r w:rsidRPr="00773A13">
        <w:t>Wet differentiatie overdrachtsbelasting.</w:t>
      </w:r>
    </w:p>
    <w:p w:rsidR="00DD602F" w:rsidRPr="00773A13" w:rsidRDefault="00DD602F" w:rsidP="001834C2">
      <w:pPr>
        <w:spacing w:line="360" w:lineRule="auto"/>
        <w:rPr>
          <w:szCs w:val="18"/>
        </w:rPr>
      </w:pPr>
    </w:p>
    <w:p w:rsidR="00DD602F" w:rsidRPr="00773A13" w:rsidRDefault="00DD602F" w:rsidP="009D6FC4">
      <w:pPr>
        <w:spacing w:line="360" w:lineRule="auto"/>
        <w:ind w:firstLine="709"/>
        <w:rPr>
          <w:szCs w:val="18"/>
        </w:rPr>
      </w:pPr>
      <w:r w:rsidRPr="00773A13">
        <w:rPr>
          <w:szCs w:val="18"/>
        </w:rPr>
        <w:t>De Staatssecretaris van Financiën,</w:t>
      </w:r>
    </w:p>
    <w:p w:rsidR="003A33B0" w:rsidRPr="00773A13" w:rsidRDefault="003A33B0" w:rsidP="001834C2">
      <w:pPr>
        <w:spacing w:after="0" w:line="360" w:lineRule="auto"/>
        <w:ind w:firstLine="709"/>
        <w:rPr>
          <w:szCs w:val="18"/>
        </w:rPr>
      </w:pPr>
    </w:p>
    <w:p w:rsidR="005F6CC0" w:rsidRDefault="005F6CC0" w:rsidP="009D6FC4">
      <w:pPr>
        <w:spacing w:after="0" w:line="360" w:lineRule="auto"/>
        <w:ind w:firstLine="709"/>
      </w:pPr>
    </w:p>
    <w:p w:rsidR="00435EBB" w:rsidRPr="00773A13" w:rsidRDefault="00435EBB" w:rsidP="009D6FC4">
      <w:pPr>
        <w:spacing w:after="0" w:line="360" w:lineRule="auto"/>
        <w:ind w:firstLine="709"/>
      </w:pPr>
    </w:p>
    <w:sectPr w:rsidR="00435EBB" w:rsidRPr="00773A13" w:rsidSect="001E6A24">
      <w:headerReference w:type="default" r:id="rId10"/>
      <w:footerReference w:type="default" r:id="rId11"/>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B76" w:rsidRDefault="007C7B76" w:rsidP="003B50DC">
      <w:pPr>
        <w:spacing w:after="0" w:line="240" w:lineRule="auto"/>
      </w:pPr>
      <w:r>
        <w:separator/>
      </w:r>
    </w:p>
  </w:endnote>
  <w:endnote w:type="continuationSeparator" w:id="0">
    <w:p w:rsidR="007C7B76" w:rsidRDefault="007C7B76" w:rsidP="003B50DC">
      <w:pPr>
        <w:spacing w:after="0" w:line="240" w:lineRule="auto"/>
      </w:pPr>
      <w:r>
        <w:continuationSeparator/>
      </w:r>
    </w:p>
  </w:endnote>
  <w:endnote w:type="continuationNotice" w:id="1">
    <w:p w:rsidR="007C7B76" w:rsidRDefault="007C7B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2614"/>
      <w:docPartObj>
        <w:docPartGallery w:val="Page Numbers (Bottom of Page)"/>
        <w:docPartUnique/>
      </w:docPartObj>
    </w:sdtPr>
    <w:sdtEndPr/>
    <w:sdtContent>
      <w:p w:rsidR="00793F43" w:rsidRDefault="00793F43">
        <w:pPr>
          <w:pStyle w:val="Voettekst"/>
          <w:jc w:val="right"/>
        </w:pPr>
        <w:r>
          <w:fldChar w:fldCharType="begin"/>
        </w:r>
        <w:r>
          <w:instrText>PAGE   \* MERGEFORMAT</w:instrText>
        </w:r>
        <w:r>
          <w:fldChar w:fldCharType="separate"/>
        </w:r>
        <w:r w:rsidR="0017340B">
          <w:rPr>
            <w:noProof/>
          </w:rPr>
          <w:t>1</w:t>
        </w:r>
        <w:r>
          <w:fldChar w:fldCharType="end"/>
        </w:r>
      </w:p>
    </w:sdtContent>
  </w:sdt>
  <w:p w:rsidR="00793F43" w:rsidRDefault="00793F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B76" w:rsidRDefault="007C7B76" w:rsidP="003B50DC">
      <w:pPr>
        <w:spacing w:after="0" w:line="240" w:lineRule="auto"/>
      </w:pPr>
      <w:r>
        <w:separator/>
      </w:r>
    </w:p>
  </w:footnote>
  <w:footnote w:type="continuationSeparator" w:id="0">
    <w:p w:rsidR="007C7B76" w:rsidRDefault="007C7B76" w:rsidP="003B50DC">
      <w:pPr>
        <w:spacing w:after="0" w:line="240" w:lineRule="auto"/>
      </w:pPr>
      <w:r>
        <w:continuationSeparator/>
      </w:r>
    </w:p>
  </w:footnote>
  <w:footnote w:type="continuationNotice" w:id="1">
    <w:p w:rsidR="007C7B76" w:rsidRDefault="007C7B76">
      <w:pPr>
        <w:spacing w:after="0" w:line="240" w:lineRule="auto"/>
      </w:pPr>
    </w:p>
  </w:footnote>
  <w:footnote w:id="2">
    <w:p w:rsidR="00793F43" w:rsidRPr="007328B7" w:rsidRDefault="00793F43" w:rsidP="00933E34">
      <w:pPr>
        <w:pStyle w:val="Voetnoottekst"/>
        <w:rPr>
          <w:sz w:val="13"/>
          <w:szCs w:val="13"/>
        </w:rPr>
      </w:pPr>
      <w:r w:rsidRPr="007328B7">
        <w:rPr>
          <w:rStyle w:val="Voetnootmarkering"/>
          <w:sz w:val="13"/>
          <w:szCs w:val="13"/>
        </w:rPr>
        <w:footnoteRef/>
      </w:r>
      <w:r w:rsidRPr="007328B7">
        <w:rPr>
          <w:sz w:val="13"/>
          <w:szCs w:val="13"/>
        </w:rPr>
        <w:t xml:space="preserve"> </w:t>
      </w:r>
      <w:r w:rsidRPr="007328B7">
        <w:rPr>
          <w:i/>
          <w:iCs/>
          <w:sz w:val="13"/>
          <w:szCs w:val="13"/>
        </w:rPr>
        <w:t>Kamerstukken II</w:t>
      </w:r>
      <w:r w:rsidRPr="007328B7">
        <w:rPr>
          <w:iCs/>
          <w:sz w:val="13"/>
          <w:szCs w:val="13"/>
        </w:rPr>
        <w:t xml:space="preserve"> 2018/19 32 847, nr. 504.</w:t>
      </w:r>
    </w:p>
  </w:footnote>
  <w:footnote w:id="3">
    <w:p w:rsidR="00793F43" w:rsidRPr="007328B7" w:rsidRDefault="00793F43" w:rsidP="00C31CC9">
      <w:pPr>
        <w:pStyle w:val="Default"/>
        <w:rPr>
          <w:rFonts w:ascii="Verdana" w:hAnsi="Verdana" w:cstheme="minorBidi"/>
          <w:iCs/>
          <w:color w:val="auto"/>
          <w:sz w:val="13"/>
          <w:szCs w:val="13"/>
        </w:rPr>
      </w:pPr>
      <w:r w:rsidRPr="007328B7">
        <w:rPr>
          <w:rStyle w:val="Voetnootmarkering"/>
          <w:rFonts w:ascii="Verdana" w:hAnsi="Verdana" w:cstheme="minorBidi"/>
          <w:color w:val="auto"/>
          <w:sz w:val="13"/>
          <w:szCs w:val="13"/>
        </w:rPr>
        <w:footnoteRef/>
      </w:r>
      <w:r w:rsidRPr="007328B7">
        <w:rPr>
          <w:rStyle w:val="Voetnootmarkering"/>
          <w:rFonts w:ascii="Verdana" w:hAnsi="Verdana" w:cstheme="minorBidi"/>
          <w:color w:val="auto"/>
          <w:sz w:val="13"/>
          <w:szCs w:val="13"/>
        </w:rPr>
        <w:t xml:space="preserve"> </w:t>
      </w:r>
      <w:r w:rsidRPr="007328B7">
        <w:rPr>
          <w:rFonts w:ascii="Verdana" w:hAnsi="Verdana" w:cstheme="minorBidi"/>
          <w:iCs/>
          <w:color w:val="auto"/>
          <w:sz w:val="13"/>
          <w:szCs w:val="13"/>
        </w:rPr>
        <w:t xml:space="preserve">Bijlagen bij </w:t>
      </w:r>
      <w:r w:rsidRPr="007328B7">
        <w:rPr>
          <w:rFonts w:ascii="Verdana" w:hAnsi="Verdana" w:cstheme="minorBidi"/>
          <w:i/>
          <w:iCs/>
          <w:color w:val="auto"/>
          <w:sz w:val="13"/>
          <w:szCs w:val="13"/>
        </w:rPr>
        <w:t xml:space="preserve">Kamerstukken II </w:t>
      </w:r>
      <w:r w:rsidRPr="007328B7">
        <w:rPr>
          <w:rFonts w:ascii="Verdana" w:hAnsi="Verdana" w:cstheme="minorBidi"/>
          <w:iCs/>
          <w:color w:val="auto"/>
          <w:sz w:val="13"/>
          <w:szCs w:val="13"/>
        </w:rPr>
        <w:t>2019/20 32 847, nr. 665.</w:t>
      </w:r>
    </w:p>
  </w:footnote>
  <w:footnote w:id="4">
    <w:p w:rsidR="00793F43" w:rsidRPr="007328B7" w:rsidRDefault="00793F43">
      <w:pPr>
        <w:pStyle w:val="Voetnoottekst"/>
        <w:rPr>
          <w:sz w:val="13"/>
          <w:szCs w:val="13"/>
        </w:rPr>
      </w:pPr>
      <w:r w:rsidRPr="007328B7">
        <w:rPr>
          <w:rStyle w:val="Voetnootmarkering"/>
          <w:sz w:val="13"/>
          <w:szCs w:val="13"/>
        </w:rPr>
        <w:footnoteRef/>
      </w:r>
      <w:r w:rsidRPr="007328B7">
        <w:rPr>
          <w:sz w:val="13"/>
          <w:szCs w:val="13"/>
        </w:rPr>
        <w:t xml:space="preserve"> </w:t>
      </w:r>
      <w:r w:rsidRPr="007328B7">
        <w:rPr>
          <w:i/>
          <w:iCs/>
          <w:sz w:val="13"/>
          <w:szCs w:val="13"/>
        </w:rPr>
        <w:t>Kamerstukken II</w:t>
      </w:r>
      <w:r w:rsidRPr="007328B7">
        <w:rPr>
          <w:iCs/>
          <w:sz w:val="13"/>
          <w:szCs w:val="13"/>
        </w:rPr>
        <w:t xml:space="preserve"> 2018/19 32 847, nr. 504.</w:t>
      </w:r>
    </w:p>
  </w:footnote>
  <w:footnote w:id="5">
    <w:p w:rsidR="00793F43" w:rsidRPr="007328B7" w:rsidRDefault="00793F43">
      <w:pPr>
        <w:pStyle w:val="Voetnoottekst"/>
        <w:rPr>
          <w:sz w:val="13"/>
          <w:szCs w:val="13"/>
        </w:rPr>
      </w:pPr>
      <w:r w:rsidRPr="007328B7">
        <w:rPr>
          <w:rStyle w:val="Voetnootmarkering"/>
          <w:sz w:val="13"/>
          <w:szCs w:val="13"/>
        </w:rPr>
        <w:footnoteRef/>
      </w:r>
      <w:r w:rsidRPr="007328B7">
        <w:rPr>
          <w:sz w:val="13"/>
          <w:szCs w:val="13"/>
        </w:rPr>
        <w:t xml:space="preserve"> </w:t>
      </w:r>
      <w:r>
        <w:rPr>
          <w:sz w:val="13"/>
          <w:szCs w:val="13"/>
        </w:rPr>
        <w:t xml:space="preserve">Vastgesteld op basis van de rekenhulp van Wijzer in Geldzaken, </w:t>
      </w:r>
      <w:r w:rsidRPr="00B859B7">
        <w:rPr>
          <w:sz w:val="13"/>
          <w:szCs w:val="13"/>
        </w:rPr>
        <w:t>een initiatief van het ministerie van Financiën, waarin partners uit de financiële sector, de wetenschap, de overheid en onderwijs-, voorlichtings- en consumentenorganisaties hun krachten bundelen om financiële fitheid in Nederland te bevorderen.</w:t>
      </w:r>
      <w:r>
        <w:rPr>
          <w:sz w:val="13"/>
          <w:szCs w:val="13"/>
        </w:rPr>
        <w:t xml:space="preserve"> Rekenhulp staat gepubliceerd op:</w:t>
      </w:r>
      <w:hyperlink w:history="1">
        <w:r w:rsidRPr="0007098A">
          <w:rPr>
            <w:rStyle w:val="Hyperlink"/>
            <w:sz w:val="13"/>
            <w:szCs w:val="13"/>
          </w:rPr>
          <w:t xml:space="preserve"> www.wijzeringeldzaken.nl/rekenhulpen/rekenhulp-kosten-koper/</w:t>
        </w:r>
      </w:hyperlink>
      <w:r>
        <w:rPr>
          <w:sz w:val="13"/>
          <w:szCs w:val="13"/>
        </w:rPr>
        <w:t>.</w:t>
      </w:r>
    </w:p>
  </w:footnote>
  <w:footnote w:id="6">
    <w:p w:rsidR="00793F43" w:rsidRPr="007328B7" w:rsidRDefault="00793F43" w:rsidP="000751C1">
      <w:pPr>
        <w:pStyle w:val="Voetnoottekst"/>
        <w:rPr>
          <w:sz w:val="13"/>
          <w:szCs w:val="13"/>
        </w:rPr>
      </w:pPr>
      <w:r w:rsidRPr="007328B7">
        <w:rPr>
          <w:rStyle w:val="Voetnootmarkering"/>
          <w:sz w:val="13"/>
          <w:szCs w:val="13"/>
        </w:rPr>
        <w:footnoteRef/>
      </w:r>
      <w:r w:rsidRPr="007328B7">
        <w:rPr>
          <w:sz w:val="13"/>
          <w:szCs w:val="13"/>
        </w:rPr>
        <w:t xml:space="preserve"> Onderzoek AFM, ‘Korte termijn financiële weerbaarheid van huishoudens’, juli 2020.</w:t>
      </w:r>
    </w:p>
  </w:footnote>
  <w:footnote w:id="7">
    <w:p w:rsidR="008128D5" w:rsidRPr="007328B7" w:rsidRDefault="008128D5" w:rsidP="008128D5">
      <w:pPr>
        <w:pStyle w:val="Voetnoottekst"/>
        <w:rPr>
          <w:sz w:val="13"/>
          <w:szCs w:val="13"/>
        </w:rPr>
      </w:pPr>
      <w:r w:rsidRPr="007328B7">
        <w:rPr>
          <w:rStyle w:val="Voetnootmarkering"/>
          <w:sz w:val="13"/>
          <w:szCs w:val="13"/>
        </w:rPr>
        <w:footnoteRef/>
      </w:r>
      <w:r w:rsidRPr="007328B7">
        <w:rPr>
          <w:sz w:val="13"/>
          <w:szCs w:val="13"/>
        </w:rPr>
        <w:t xml:space="preserve"> </w:t>
      </w:r>
      <w:r w:rsidRPr="007328B7">
        <w:rPr>
          <w:iCs/>
          <w:sz w:val="13"/>
          <w:szCs w:val="13"/>
        </w:rPr>
        <w:t>Onderzoek Kadaster en Universiteit van Amsterdam, Opkomst particuliere investeerders op de woningmarkt, mei 2019.</w:t>
      </w:r>
    </w:p>
  </w:footnote>
  <w:footnote w:id="8">
    <w:p w:rsidR="00A61B98" w:rsidRPr="007328B7" w:rsidRDefault="00A61B98" w:rsidP="000751C1">
      <w:pPr>
        <w:pStyle w:val="Voetnoottekst"/>
        <w:rPr>
          <w:sz w:val="13"/>
          <w:szCs w:val="13"/>
        </w:rPr>
      </w:pPr>
      <w:r w:rsidRPr="007328B7">
        <w:rPr>
          <w:rStyle w:val="Voetnootmarkering"/>
          <w:sz w:val="13"/>
          <w:szCs w:val="13"/>
        </w:rPr>
        <w:footnoteRef/>
      </w:r>
      <w:r w:rsidRPr="007328B7">
        <w:rPr>
          <w:sz w:val="13"/>
          <w:szCs w:val="13"/>
        </w:rPr>
        <w:t xml:space="preserve"> </w:t>
      </w:r>
      <w:r w:rsidRPr="007328B7">
        <w:rPr>
          <w:iCs/>
          <w:sz w:val="13"/>
          <w:szCs w:val="13"/>
        </w:rPr>
        <w:t>CPB, Addendum: differentiatie overdrachtsbelasting, juli 2020.</w:t>
      </w:r>
    </w:p>
  </w:footnote>
  <w:footnote w:id="9">
    <w:p w:rsidR="00793F43" w:rsidRPr="007328B7" w:rsidRDefault="00793F43" w:rsidP="005E6DB5">
      <w:pPr>
        <w:pStyle w:val="Voetnoottekst"/>
        <w:rPr>
          <w:sz w:val="13"/>
          <w:szCs w:val="13"/>
        </w:rPr>
      </w:pPr>
      <w:r w:rsidRPr="007328B7">
        <w:rPr>
          <w:rStyle w:val="Voetnootmarkering"/>
          <w:sz w:val="13"/>
          <w:szCs w:val="13"/>
        </w:rPr>
        <w:footnoteRef/>
      </w:r>
      <w:r w:rsidRPr="007328B7">
        <w:rPr>
          <w:sz w:val="13"/>
          <w:szCs w:val="13"/>
        </w:rPr>
        <w:t xml:space="preserve"> </w:t>
      </w:r>
      <w:r w:rsidRPr="007328B7">
        <w:rPr>
          <w:i/>
          <w:iCs/>
          <w:sz w:val="13"/>
          <w:szCs w:val="13"/>
        </w:rPr>
        <w:t>Kamerstukken II</w:t>
      </w:r>
      <w:r w:rsidRPr="007328B7">
        <w:rPr>
          <w:iCs/>
          <w:sz w:val="13"/>
          <w:szCs w:val="13"/>
        </w:rPr>
        <w:t xml:space="preserve"> 2019/20, 32 847 nr. 576.</w:t>
      </w:r>
    </w:p>
  </w:footnote>
  <w:footnote w:id="10">
    <w:p w:rsidR="00793F43" w:rsidRPr="007328B7" w:rsidRDefault="00793F43" w:rsidP="004D4FB3">
      <w:pPr>
        <w:pStyle w:val="Voetnoottekst"/>
        <w:rPr>
          <w:sz w:val="13"/>
          <w:szCs w:val="13"/>
        </w:rPr>
      </w:pPr>
      <w:r w:rsidRPr="007328B7">
        <w:rPr>
          <w:rStyle w:val="Voetnootmarkering"/>
          <w:sz w:val="13"/>
          <w:szCs w:val="13"/>
        </w:rPr>
        <w:footnoteRef/>
      </w:r>
      <w:r w:rsidRPr="007328B7">
        <w:rPr>
          <w:sz w:val="13"/>
          <w:szCs w:val="13"/>
        </w:rPr>
        <w:t xml:space="preserve"> </w:t>
      </w:r>
      <w:r w:rsidRPr="007328B7">
        <w:rPr>
          <w:iCs/>
          <w:sz w:val="13"/>
          <w:szCs w:val="13"/>
        </w:rPr>
        <w:t xml:space="preserve">In Artikel IX in samenhang met artikel XXX, tweede lid, van de Wet fiscale maatregelen Klimaatakkoord is reeds aangekondigd dat het algemene tarief per 1 januari 2021 </w:t>
      </w:r>
      <w:r>
        <w:rPr>
          <w:iCs/>
          <w:sz w:val="13"/>
          <w:szCs w:val="13"/>
        </w:rPr>
        <w:t>wordt</w:t>
      </w:r>
      <w:r w:rsidRPr="007328B7">
        <w:rPr>
          <w:iCs/>
          <w:sz w:val="13"/>
          <w:szCs w:val="13"/>
        </w:rPr>
        <w:t xml:space="preserve"> verhoogd naa</w:t>
      </w:r>
      <w:r w:rsidRPr="00841F91">
        <w:rPr>
          <w:iCs/>
          <w:sz w:val="13"/>
          <w:szCs w:val="13"/>
        </w:rPr>
        <w:t>r 7%.</w:t>
      </w:r>
    </w:p>
  </w:footnote>
  <w:footnote w:id="11">
    <w:p w:rsidR="00793F43" w:rsidRPr="007328B7" w:rsidRDefault="00793F43" w:rsidP="00E7003D">
      <w:pPr>
        <w:pStyle w:val="Voetnoottekst"/>
        <w:rPr>
          <w:sz w:val="13"/>
          <w:szCs w:val="13"/>
        </w:rPr>
      </w:pPr>
      <w:r w:rsidRPr="007328B7">
        <w:rPr>
          <w:rStyle w:val="Voetnootmarkering"/>
          <w:sz w:val="13"/>
          <w:szCs w:val="13"/>
        </w:rPr>
        <w:footnoteRef/>
      </w:r>
      <w:r w:rsidRPr="007328B7">
        <w:rPr>
          <w:sz w:val="13"/>
          <w:szCs w:val="13"/>
        </w:rPr>
        <w:t xml:space="preserve"> Het huidig algemene tarief van 6% wordt door een reeds aangenomen wet per 1 januari 2021 verhoogd naar 7%. Voor een goede vergelijking van het effect van de voorges</w:t>
      </w:r>
      <w:r w:rsidRPr="00A705A0">
        <w:rPr>
          <w:sz w:val="13"/>
          <w:szCs w:val="13"/>
        </w:rPr>
        <w:t>telde maatregelen is deze aanpassing in de tabel reeds in aanmerking genomen. Het algemene tarief wordt middels dit wetsvoorstel verder verhoogd naar 8%.</w:t>
      </w:r>
    </w:p>
  </w:footnote>
  <w:footnote w:id="12">
    <w:p w:rsidR="00793F43" w:rsidRPr="007328B7" w:rsidRDefault="00793F43" w:rsidP="00E734CC">
      <w:pPr>
        <w:pStyle w:val="Default"/>
        <w:rPr>
          <w:sz w:val="13"/>
          <w:szCs w:val="13"/>
        </w:rPr>
      </w:pPr>
      <w:r w:rsidRPr="007328B7">
        <w:rPr>
          <w:rStyle w:val="Voetnootmarkering"/>
          <w:rFonts w:ascii="Verdana" w:hAnsi="Verdana"/>
          <w:color w:val="auto"/>
          <w:sz w:val="13"/>
          <w:szCs w:val="13"/>
        </w:rPr>
        <w:footnoteRef/>
      </w:r>
      <w:r w:rsidRPr="007328B7">
        <w:rPr>
          <w:rStyle w:val="Voetnootmarkering"/>
          <w:rFonts w:ascii="Verdana" w:hAnsi="Verdana"/>
          <w:color w:val="auto"/>
          <w:sz w:val="13"/>
          <w:szCs w:val="13"/>
        </w:rPr>
        <w:t xml:space="preserve"> </w:t>
      </w:r>
      <w:r w:rsidRPr="007328B7">
        <w:rPr>
          <w:rFonts w:ascii="Verdana" w:hAnsi="Verdana" w:cstheme="minorBidi"/>
          <w:iCs/>
          <w:color w:val="auto"/>
          <w:sz w:val="13"/>
          <w:szCs w:val="13"/>
        </w:rPr>
        <w:t xml:space="preserve">Onderzoek Kadaster, ‘Moeilijke tijden voor koopstarters op de woningmarkt’, mei 2020. </w:t>
      </w:r>
    </w:p>
  </w:footnote>
  <w:footnote w:id="13">
    <w:p w:rsidR="00793F43" w:rsidRPr="007328B7" w:rsidRDefault="00793F43" w:rsidP="00193080">
      <w:pPr>
        <w:pStyle w:val="Voetnoottekst"/>
        <w:rPr>
          <w:sz w:val="13"/>
          <w:szCs w:val="13"/>
        </w:rPr>
      </w:pPr>
      <w:r w:rsidRPr="007328B7">
        <w:rPr>
          <w:rStyle w:val="Voetnootmarkering"/>
          <w:sz w:val="13"/>
          <w:szCs w:val="13"/>
        </w:rPr>
        <w:footnoteRef/>
      </w:r>
      <w:r w:rsidRPr="007328B7">
        <w:rPr>
          <w:sz w:val="13"/>
          <w:szCs w:val="13"/>
        </w:rPr>
        <w:t xml:space="preserve"> Ibid. </w:t>
      </w:r>
    </w:p>
  </w:footnote>
  <w:footnote w:id="14">
    <w:p w:rsidR="00793F43" w:rsidRPr="007328B7" w:rsidRDefault="00793F43" w:rsidP="00702B16">
      <w:pPr>
        <w:pStyle w:val="Voetnoottekst"/>
        <w:rPr>
          <w:sz w:val="13"/>
          <w:szCs w:val="13"/>
        </w:rPr>
      </w:pPr>
      <w:r w:rsidRPr="007328B7">
        <w:rPr>
          <w:rStyle w:val="Voetnootmarkering"/>
          <w:sz w:val="13"/>
          <w:szCs w:val="13"/>
        </w:rPr>
        <w:footnoteRef/>
      </w:r>
      <w:r w:rsidRPr="007328B7">
        <w:rPr>
          <w:sz w:val="13"/>
          <w:szCs w:val="13"/>
        </w:rPr>
        <w:t xml:space="preserve"> Onderzoek AFM, ‘Korte termijn financiële weerbaarheid van huishoudens’, juli 2020.</w:t>
      </w:r>
    </w:p>
  </w:footnote>
  <w:footnote w:id="15">
    <w:p w:rsidR="00793F43" w:rsidRPr="007328B7" w:rsidRDefault="00793F43" w:rsidP="00193080">
      <w:pPr>
        <w:pStyle w:val="Voetnoottekst"/>
        <w:rPr>
          <w:sz w:val="13"/>
          <w:szCs w:val="13"/>
        </w:rPr>
      </w:pPr>
      <w:r w:rsidRPr="007328B7">
        <w:rPr>
          <w:rStyle w:val="Voetnootmarkering"/>
          <w:sz w:val="13"/>
          <w:szCs w:val="13"/>
        </w:rPr>
        <w:footnoteRef/>
      </w:r>
      <w:r w:rsidRPr="007328B7">
        <w:rPr>
          <w:sz w:val="13"/>
          <w:szCs w:val="13"/>
        </w:rPr>
        <w:t xml:space="preserve"> Bijlage bij </w:t>
      </w:r>
      <w:r w:rsidRPr="007328B7">
        <w:rPr>
          <w:i/>
          <w:iCs/>
          <w:sz w:val="13"/>
          <w:szCs w:val="13"/>
        </w:rPr>
        <w:t xml:space="preserve">Kamerstukken II </w:t>
      </w:r>
      <w:r w:rsidRPr="007328B7">
        <w:rPr>
          <w:iCs/>
          <w:sz w:val="13"/>
          <w:szCs w:val="13"/>
        </w:rPr>
        <w:t xml:space="preserve">2019/20, 32 847, nr. 665, p.6. </w:t>
      </w:r>
    </w:p>
  </w:footnote>
  <w:footnote w:id="16">
    <w:p w:rsidR="00875087" w:rsidRPr="006235A0" w:rsidRDefault="00875087">
      <w:pPr>
        <w:pStyle w:val="Voetnoottekst"/>
        <w:rPr>
          <w:iCs/>
          <w:sz w:val="13"/>
          <w:szCs w:val="13"/>
        </w:rPr>
      </w:pPr>
      <w:r w:rsidRPr="00875087">
        <w:rPr>
          <w:rStyle w:val="Voetnootmarkering"/>
          <w:sz w:val="13"/>
          <w:szCs w:val="13"/>
        </w:rPr>
        <w:footnoteRef/>
      </w:r>
      <w:r>
        <w:t xml:space="preserve"> </w:t>
      </w:r>
      <w:r w:rsidRPr="00875087">
        <w:rPr>
          <w:iCs/>
          <w:sz w:val="13"/>
          <w:szCs w:val="13"/>
        </w:rPr>
        <w:t>Artikel 33, onderdeel 5°, sub</w:t>
      </w:r>
      <w:r>
        <w:rPr>
          <w:iCs/>
          <w:sz w:val="13"/>
          <w:szCs w:val="13"/>
        </w:rPr>
        <w:t xml:space="preserve"> c, Successiewet 1956.</w:t>
      </w:r>
      <w:r w:rsidR="006235A0">
        <w:rPr>
          <w:iCs/>
          <w:sz w:val="13"/>
          <w:szCs w:val="13"/>
        </w:rPr>
        <w:t xml:space="preserve"> Kamerstukken II 2015/16, 34 302, nr. 3, p.28:</w:t>
      </w:r>
      <w:r w:rsidR="00820ECA">
        <w:rPr>
          <w:iCs/>
          <w:sz w:val="13"/>
          <w:szCs w:val="13"/>
        </w:rPr>
        <w:t xml:space="preserve"> “</w:t>
      </w:r>
      <w:r w:rsidR="00820ECA" w:rsidRPr="00820ECA">
        <w:rPr>
          <w:iCs/>
          <w:sz w:val="13"/>
          <w:szCs w:val="13"/>
        </w:rPr>
        <w:t>Uit onderzoek van DNB blijkt dat huishoudens in de leeftijdsgroep tot 40 jaar duidelijk het meeste te maken hebben met onderwaarde op hun woning. Juist de jonge huishoudens tot 40 jaar beschikken over kleine financiële buffers en kunnen moeilijk eigen geld inzetten voor de aflossing van hun schuld. De leeftijdsgrenzen sluiten daarnaast goed aan bij de werkzame jaren waarin de belastingdruk voor huishoudens het hoogst is, terwijl in die fase ook de hoogste kosten vallen zoals het aflossen op de eigenwoningschuld. Bovendien sluit de leeftijdsgrens van de structurele verruiming aan bij de bestaande leeftijdsgrens voor de verhoogde schenkingsvrijstelling eigen woning van ouders aan kinderen.</w:t>
      </w:r>
      <w:r w:rsidR="00820ECA">
        <w:rPr>
          <w:iCs/>
          <w:sz w:val="13"/>
          <w:szCs w:val="13"/>
        </w:rPr>
        <w:t>”</w:t>
      </w:r>
    </w:p>
  </w:footnote>
  <w:footnote w:id="17">
    <w:p w:rsidR="00793F43" w:rsidRPr="007328B7" w:rsidRDefault="00793F43">
      <w:pPr>
        <w:pStyle w:val="Voetnoottekst"/>
        <w:rPr>
          <w:sz w:val="13"/>
          <w:szCs w:val="13"/>
        </w:rPr>
      </w:pPr>
      <w:r w:rsidRPr="007328B7">
        <w:rPr>
          <w:rStyle w:val="Voetnootmarkering"/>
          <w:sz w:val="13"/>
          <w:szCs w:val="13"/>
        </w:rPr>
        <w:footnoteRef/>
      </w:r>
      <w:r w:rsidRPr="007328B7">
        <w:rPr>
          <w:sz w:val="13"/>
          <w:szCs w:val="13"/>
        </w:rPr>
        <w:t xml:space="preserve"> Op basis van gegevens van het Kadaster woont één maand na de verkrijging 60% van de verkrijgers en zes maanden na de verkrijging 93% van de verkrijgers in de nieuw verkregen woning. </w:t>
      </w:r>
    </w:p>
  </w:footnote>
  <w:footnote w:id="18">
    <w:p w:rsidR="00793F43" w:rsidRPr="007328B7" w:rsidRDefault="00793F43" w:rsidP="00C42FA3">
      <w:pPr>
        <w:pStyle w:val="Voetnoottekst"/>
        <w:rPr>
          <w:sz w:val="13"/>
          <w:szCs w:val="13"/>
        </w:rPr>
      </w:pPr>
      <w:r w:rsidRPr="007328B7">
        <w:rPr>
          <w:rStyle w:val="Voetnootmarkering"/>
          <w:sz w:val="13"/>
          <w:szCs w:val="13"/>
        </w:rPr>
        <w:footnoteRef/>
      </w:r>
      <w:r w:rsidRPr="007328B7">
        <w:rPr>
          <w:sz w:val="13"/>
          <w:szCs w:val="13"/>
        </w:rPr>
        <w:t xml:space="preserve"> </w:t>
      </w:r>
      <w:r w:rsidRPr="007328B7">
        <w:rPr>
          <w:iCs/>
          <w:sz w:val="13"/>
          <w:szCs w:val="13"/>
        </w:rPr>
        <w:t>Artikel IX in samenhang met artikel XXX, tweede lid, van de Wet fiscale maatregelen Klimaatakkoord.</w:t>
      </w:r>
    </w:p>
  </w:footnote>
  <w:footnote w:id="19">
    <w:p w:rsidR="00A61B98" w:rsidRPr="007328B7" w:rsidRDefault="00A61B98" w:rsidP="00031B0F">
      <w:pPr>
        <w:pStyle w:val="Voetnoottekst"/>
        <w:rPr>
          <w:sz w:val="13"/>
          <w:szCs w:val="13"/>
        </w:rPr>
      </w:pPr>
      <w:r w:rsidRPr="007328B7">
        <w:rPr>
          <w:rStyle w:val="Voetnootmarkering"/>
          <w:sz w:val="13"/>
          <w:szCs w:val="13"/>
        </w:rPr>
        <w:footnoteRef/>
      </w:r>
      <w:r w:rsidRPr="007328B7">
        <w:rPr>
          <w:sz w:val="13"/>
          <w:szCs w:val="13"/>
        </w:rPr>
        <w:t xml:space="preserve"> </w:t>
      </w:r>
      <w:r w:rsidRPr="007328B7">
        <w:rPr>
          <w:i/>
          <w:sz w:val="13"/>
          <w:szCs w:val="13"/>
        </w:rPr>
        <w:t>Kamerstukken II</w:t>
      </w:r>
      <w:r w:rsidRPr="007328B7">
        <w:rPr>
          <w:sz w:val="13"/>
          <w:szCs w:val="13"/>
        </w:rPr>
        <w:t xml:space="preserve"> 2011/21, </w:t>
      </w:r>
      <w:hyperlink r:id="rId1" w:tooltip="link naar publicatie kst-33003-54" w:history="1">
        <w:r w:rsidRPr="007328B7">
          <w:rPr>
            <w:sz w:val="13"/>
            <w:szCs w:val="13"/>
          </w:rPr>
          <w:t>33 003, nr. 54</w:t>
        </w:r>
      </w:hyperlink>
      <w:r w:rsidRPr="007328B7">
        <w:rPr>
          <w:sz w:val="13"/>
          <w:szCs w:val="13"/>
        </w:rPr>
        <w:t>.</w:t>
      </w:r>
    </w:p>
  </w:footnote>
  <w:footnote w:id="20">
    <w:p w:rsidR="00793F43" w:rsidRPr="007328B7" w:rsidRDefault="00793F43" w:rsidP="00F16E3D">
      <w:pPr>
        <w:pStyle w:val="Voetnoottekst"/>
        <w:rPr>
          <w:sz w:val="13"/>
          <w:szCs w:val="13"/>
        </w:rPr>
      </w:pPr>
      <w:r w:rsidRPr="007328B7">
        <w:rPr>
          <w:rStyle w:val="Voetnootmarkering"/>
          <w:sz w:val="13"/>
          <w:szCs w:val="13"/>
        </w:rPr>
        <w:footnoteRef/>
      </w:r>
      <w:r w:rsidRPr="007328B7">
        <w:rPr>
          <w:sz w:val="13"/>
          <w:szCs w:val="13"/>
        </w:rPr>
        <w:t xml:space="preserve"> </w:t>
      </w:r>
      <w:r w:rsidRPr="007328B7">
        <w:rPr>
          <w:iCs/>
          <w:sz w:val="13"/>
          <w:szCs w:val="13"/>
        </w:rPr>
        <w:t>Onderzoek Kadaster, ‘Moeilijke tijden voor koopstarters op de woningmarkt’, mei 2020.</w:t>
      </w:r>
    </w:p>
  </w:footnote>
  <w:footnote w:id="21">
    <w:p w:rsidR="00793F43" w:rsidRPr="0041708E" w:rsidRDefault="00793F43">
      <w:pPr>
        <w:pStyle w:val="Voetnoottekst"/>
        <w:rPr>
          <w:iCs/>
          <w:sz w:val="13"/>
          <w:szCs w:val="13"/>
        </w:rPr>
      </w:pPr>
      <w:r w:rsidRPr="0041708E">
        <w:rPr>
          <w:rStyle w:val="Voetnootmarkering"/>
          <w:sz w:val="13"/>
          <w:szCs w:val="13"/>
        </w:rPr>
        <w:footnoteRef/>
      </w:r>
      <w:r w:rsidRPr="0041708E">
        <w:rPr>
          <w:sz w:val="13"/>
          <w:szCs w:val="13"/>
        </w:rPr>
        <w:t xml:space="preserve"> </w:t>
      </w:r>
      <w:hyperlink r:id="rId2" w:tgtFrame="_blank" w:history="1">
        <w:r w:rsidRPr="0041708E">
          <w:rPr>
            <w:i/>
            <w:sz w:val="13"/>
            <w:szCs w:val="13"/>
          </w:rPr>
          <w:t>Kamerstukken II</w:t>
        </w:r>
        <w:r w:rsidRPr="0041708E">
          <w:rPr>
            <w:iCs/>
            <w:sz w:val="13"/>
            <w:szCs w:val="13"/>
          </w:rPr>
          <w:t> 1988/99, 26 727,3</w:t>
        </w:r>
      </w:hyperlink>
      <w:r w:rsidRPr="0041708E">
        <w:rPr>
          <w:iCs/>
          <w:sz w:val="13"/>
          <w:szCs w:val="13"/>
        </w:rPr>
        <w:t>, p. 144.</w:t>
      </w:r>
    </w:p>
  </w:footnote>
  <w:footnote w:id="22">
    <w:p w:rsidR="00793F43" w:rsidRDefault="00793F43">
      <w:pPr>
        <w:pStyle w:val="Voetnoottekst"/>
      </w:pPr>
      <w:r w:rsidRPr="0041708E">
        <w:rPr>
          <w:rStyle w:val="Voetnootmarkering"/>
          <w:sz w:val="13"/>
          <w:szCs w:val="13"/>
        </w:rPr>
        <w:footnoteRef/>
      </w:r>
      <w:r w:rsidRPr="0041708E">
        <w:rPr>
          <w:sz w:val="13"/>
          <w:szCs w:val="13"/>
        </w:rPr>
        <w:t xml:space="preserve"> </w:t>
      </w:r>
      <w:r w:rsidRPr="0041708E">
        <w:rPr>
          <w:iCs/>
          <w:sz w:val="13"/>
          <w:szCs w:val="13"/>
        </w:rPr>
        <w:t>Hof Amsterdam 17 mei 2016, </w:t>
      </w:r>
      <w:hyperlink r:id="rId3" w:history="1">
        <w:r w:rsidRPr="0041708E">
          <w:rPr>
            <w:iCs/>
            <w:sz w:val="13"/>
            <w:szCs w:val="13"/>
          </w:rPr>
          <w:t>ECLI:NL:GHAMS:2016:1972</w:t>
        </w:r>
      </w:hyperlink>
      <w:r w:rsidRPr="0041708E">
        <w:rPr>
          <w:iCs/>
          <w:sz w:val="13"/>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F43" w:rsidRDefault="00793F4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180F"/>
    <w:multiLevelType w:val="hybridMultilevel"/>
    <w:tmpl w:val="AD6694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236A23"/>
    <w:multiLevelType w:val="hybridMultilevel"/>
    <w:tmpl w:val="12EE8CBE"/>
    <w:lvl w:ilvl="0" w:tplc="0413000F">
      <w:start w:val="1"/>
      <w:numFmt w:val="decimal"/>
      <w:lvlText w:val="%1."/>
      <w:lvlJc w:val="left"/>
      <w:pPr>
        <w:ind w:left="36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8473198"/>
    <w:multiLevelType w:val="hybridMultilevel"/>
    <w:tmpl w:val="02CCC0BA"/>
    <w:lvl w:ilvl="0" w:tplc="4CC0F40C">
      <w:start w:val="4"/>
      <w:numFmt w:val="bullet"/>
      <w:lvlText w:val=""/>
      <w:lvlJc w:val="left"/>
      <w:pPr>
        <w:ind w:left="1713" w:hanging="360"/>
      </w:pPr>
      <w:rPr>
        <w:rFonts w:ascii="Symbol" w:eastAsiaTheme="minorHAnsi" w:hAnsi="Symbol" w:cstheme="minorBidi"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3" w15:restartNumberingAfterBreak="0">
    <w:nsid w:val="09595A7F"/>
    <w:multiLevelType w:val="hybridMultilevel"/>
    <w:tmpl w:val="B53EA4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964756"/>
    <w:multiLevelType w:val="hybridMultilevel"/>
    <w:tmpl w:val="04A217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E5333D"/>
    <w:multiLevelType w:val="hybridMultilevel"/>
    <w:tmpl w:val="CBB6B49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0C4E4745"/>
    <w:multiLevelType w:val="hybridMultilevel"/>
    <w:tmpl w:val="BF0000EC"/>
    <w:lvl w:ilvl="0" w:tplc="A18AAC90">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CDF70A8"/>
    <w:multiLevelType w:val="hybridMultilevel"/>
    <w:tmpl w:val="5448E9A8"/>
    <w:lvl w:ilvl="0" w:tplc="FE0A9392">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0F247F58"/>
    <w:multiLevelType w:val="hybridMultilevel"/>
    <w:tmpl w:val="B66CD108"/>
    <w:lvl w:ilvl="0" w:tplc="8CAC442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10EA1970"/>
    <w:multiLevelType w:val="hybridMultilevel"/>
    <w:tmpl w:val="292625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B043041"/>
    <w:multiLevelType w:val="hybridMultilevel"/>
    <w:tmpl w:val="EC1EC2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C1168DD"/>
    <w:multiLevelType w:val="hybridMultilevel"/>
    <w:tmpl w:val="EEA85484"/>
    <w:lvl w:ilvl="0" w:tplc="C852A352">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DDA71DC"/>
    <w:multiLevelType w:val="hybridMultilevel"/>
    <w:tmpl w:val="A40628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EE32F26"/>
    <w:multiLevelType w:val="hybridMultilevel"/>
    <w:tmpl w:val="A2F29FE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23F06AD0"/>
    <w:multiLevelType w:val="hybridMultilevel"/>
    <w:tmpl w:val="C18CB03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270243CE"/>
    <w:multiLevelType w:val="hybridMultilevel"/>
    <w:tmpl w:val="C18CB03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27E11BA7"/>
    <w:multiLevelType w:val="hybridMultilevel"/>
    <w:tmpl w:val="53848824"/>
    <w:lvl w:ilvl="0" w:tplc="DD3018EC">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7FF795E"/>
    <w:multiLevelType w:val="hybridMultilevel"/>
    <w:tmpl w:val="009E19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9D26B55"/>
    <w:multiLevelType w:val="hybridMultilevel"/>
    <w:tmpl w:val="C10A3C70"/>
    <w:lvl w:ilvl="0" w:tplc="BB0E7E04">
      <w:start w:val="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A451C28"/>
    <w:multiLevelType w:val="hybridMultilevel"/>
    <w:tmpl w:val="CD24902A"/>
    <w:lvl w:ilvl="0" w:tplc="1B9456F0">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D217A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9B0C30"/>
    <w:multiLevelType w:val="hybridMultilevel"/>
    <w:tmpl w:val="9E50E66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0506FC6"/>
    <w:multiLevelType w:val="hybridMultilevel"/>
    <w:tmpl w:val="BB588F8A"/>
    <w:lvl w:ilvl="0" w:tplc="15C44CCC">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4745C6F"/>
    <w:multiLevelType w:val="hybridMultilevel"/>
    <w:tmpl w:val="B768B030"/>
    <w:lvl w:ilvl="0" w:tplc="631E067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F84765"/>
    <w:multiLevelType w:val="hybridMultilevel"/>
    <w:tmpl w:val="48C408A8"/>
    <w:lvl w:ilvl="0" w:tplc="C3AAC3F6">
      <w:start w:val="1"/>
      <w:numFmt w:val="bullet"/>
      <w:lvlText w:val=""/>
      <w:lvlJc w:val="left"/>
      <w:pPr>
        <w:ind w:left="360" w:hanging="360"/>
      </w:pPr>
      <w:rPr>
        <w:rFonts w:ascii="Symbol" w:eastAsiaTheme="minorHAnsi" w:hAnsi="Symbol"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19B5E11"/>
    <w:multiLevelType w:val="hybridMultilevel"/>
    <w:tmpl w:val="BF8C16B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5792E12"/>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6BB25D19"/>
    <w:multiLevelType w:val="multilevel"/>
    <w:tmpl w:val="8138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97092A"/>
    <w:multiLevelType w:val="hybridMultilevel"/>
    <w:tmpl w:val="EF88D2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2E4734B"/>
    <w:multiLevelType w:val="multilevel"/>
    <w:tmpl w:val="8D1E2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D77F0B"/>
    <w:multiLevelType w:val="hybridMultilevel"/>
    <w:tmpl w:val="B53C76C8"/>
    <w:lvl w:ilvl="0" w:tplc="8C0A034C">
      <w:start w:val="2"/>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8703469"/>
    <w:multiLevelType w:val="hybridMultilevel"/>
    <w:tmpl w:val="AE129A24"/>
    <w:lvl w:ilvl="0" w:tplc="B1860484">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2" w15:restartNumberingAfterBreak="0">
    <w:nsid w:val="7A6966D5"/>
    <w:multiLevelType w:val="multilevel"/>
    <w:tmpl w:val="9B6C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7D65F5"/>
    <w:multiLevelType w:val="hybridMultilevel"/>
    <w:tmpl w:val="783AC220"/>
    <w:lvl w:ilvl="0" w:tplc="3D80D93C">
      <w:start w:val="1"/>
      <w:numFmt w:val="bullet"/>
      <w:lvlText w:val="-"/>
      <w:lvlJc w:val="left"/>
      <w:pPr>
        <w:ind w:left="862" w:hanging="360"/>
      </w:pPr>
      <w:rPr>
        <w:rFonts w:ascii="Verdana" w:eastAsiaTheme="minorHAnsi" w:hAnsi="Verdana" w:cstheme="minorBidi" w:hint="default"/>
      </w:rPr>
    </w:lvl>
    <w:lvl w:ilvl="1" w:tplc="04130003">
      <w:start w:val="1"/>
      <w:numFmt w:val="bullet"/>
      <w:lvlText w:val="o"/>
      <w:lvlJc w:val="left"/>
      <w:pPr>
        <w:ind w:left="1353" w:hanging="360"/>
      </w:pPr>
      <w:rPr>
        <w:rFonts w:ascii="Courier New" w:hAnsi="Courier New" w:cs="Courier New" w:hint="default"/>
      </w:rPr>
    </w:lvl>
    <w:lvl w:ilvl="2" w:tplc="04130005">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34" w15:restartNumberingAfterBreak="0">
    <w:nsid w:val="7F506EE3"/>
    <w:multiLevelType w:val="hybridMultilevel"/>
    <w:tmpl w:val="FBEAF3E6"/>
    <w:lvl w:ilvl="0" w:tplc="AB905922">
      <w:start w:val="19"/>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
  </w:num>
  <w:num w:numId="5">
    <w:abstractNumId w:val="33"/>
  </w:num>
  <w:num w:numId="6">
    <w:abstractNumId w:val="7"/>
  </w:num>
  <w:num w:numId="7">
    <w:abstractNumId w:val="4"/>
  </w:num>
  <w:num w:numId="8">
    <w:abstractNumId w:val="28"/>
  </w:num>
  <w:num w:numId="9">
    <w:abstractNumId w:val="1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30"/>
  </w:num>
  <w:num w:numId="13">
    <w:abstractNumId w:val="6"/>
  </w:num>
  <w:num w:numId="14">
    <w:abstractNumId w:val="23"/>
  </w:num>
  <w:num w:numId="15">
    <w:abstractNumId w:val="32"/>
  </w:num>
  <w:num w:numId="16">
    <w:abstractNumId w:val="5"/>
  </w:num>
  <w:num w:numId="17">
    <w:abstractNumId w:val="19"/>
  </w:num>
  <w:num w:numId="18">
    <w:abstractNumId w:val="1"/>
  </w:num>
  <w:num w:numId="19">
    <w:abstractNumId w:val="15"/>
  </w:num>
  <w:num w:numId="20">
    <w:abstractNumId w:val="29"/>
  </w:num>
  <w:num w:numId="21">
    <w:abstractNumId w:val="9"/>
  </w:num>
  <w:num w:numId="22">
    <w:abstractNumId w:val="17"/>
  </w:num>
  <w:num w:numId="23">
    <w:abstractNumId w:val="20"/>
  </w:num>
  <w:num w:numId="24">
    <w:abstractNumId w:val="26"/>
  </w:num>
  <w:num w:numId="25">
    <w:abstractNumId w:val="31"/>
  </w:num>
  <w:num w:numId="26">
    <w:abstractNumId w:val="13"/>
  </w:num>
  <w:num w:numId="27">
    <w:abstractNumId w:val="10"/>
  </w:num>
  <w:num w:numId="28">
    <w:abstractNumId w:val="34"/>
  </w:num>
  <w:num w:numId="29">
    <w:abstractNumId w:val="16"/>
  </w:num>
  <w:num w:numId="30">
    <w:abstractNumId w:val="0"/>
  </w:num>
  <w:num w:numId="31">
    <w:abstractNumId w:val="24"/>
  </w:num>
  <w:num w:numId="32">
    <w:abstractNumId w:val="8"/>
  </w:num>
  <w:num w:numId="33">
    <w:abstractNumId w:val="25"/>
  </w:num>
  <w:num w:numId="34">
    <w:abstractNumId w:val="21"/>
  </w:num>
  <w:num w:numId="35">
    <w:abstractNumId w:val="27"/>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148"/>
    <w:rsid w:val="00001A64"/>
    <w:rsid w:val="00002357"/>
    <w:rsid w:val="000033B6"/>
    <w:rsid w:val="00004086"/>
    <w:rsid w:val="000044B7"/>
    <w:rsid w:val="00010264"/>
    <w:rsid w:val="00012BAA"/>
    <w:rsid w:val="000145C2"/>
    <w:rsid w:val="0001576E"/>
    <w:rsid w:val="00016819"/>
    <w:rsid w:val="00016CD8"/>
    <w:rsid w:val="00016D8A"/>
    <w:rsid w:val="0002085D"/>
    <w:rsid w:val="000261F5"/>
    <w:rsid w:val="00027031"/>
    <w:rsid w:val="000272AB"/>
    <w:rsid w:val="00031B0F"/>
    <w:rsid w:val="00031C8C"/>
    <w:rsid w:val="00033714"/>
    <w:rsid w:val="00033DAD"/>
    <w:rsid w:val="00037036"/>
    <w:rsid w:val="00037636"/>
    <w:rsid w:val="00037797"/>
    <w:rsid w:val="00037D27"/>
    <w:rsid w:val="00040BDD"/>
    <w:rsid w:val="000425FC"/>
    <w:rsid w:val="00042DDF"/>
    <w:rsid w:val="00045CEC"/>
    <w:rsid w:val="00045E5E"/>
    <w:rsid w:val="000460C8"/>
    <w:rsid w:val="00046EFC"/>
    <w:rsid w:val="00046FC3"/>
    <w:rsid w:val="000472E5"/>
    <w:rsid w:val="000510B7"/>
    <w:rsid w:val="00053952"/>
    <w:rsid w:val="00053CC1"/>
    <w:rsid w:val="00054455"/>
    <w:rsid w:val="00054945"/>
    <w:rsid w:val="00054CA4"/>
    <w:rsid w:val="000552E5"/>
    <w:rsid w:val="00057D6F"/>
    <w:rsid w:val="000624D8"/>
    <w:rsid w:val="00063A65"/>
    <w:rsid w:val="00063B65"/>
    <w:rsid w:val="00067DEF"/>
    <w:rsid w:val="000710F8"/>
    <w:rsid w:val="0007130A"/>
    <w:rsid w:val="0007418F"/>
    <w:rsid w:val="00074D5D"/>
    <w:rsid w:val="000751C1"/>
    <w:rsid w:val="000762F0"/>
    <w:rsid w:val="00077FF6"/>
    <w:rsid w:val="00081800"/>
    <w:rsid w:val="000819AC"/>
    <w:rsid w:val="00082866"/>
    <w:rsid w:val="00082BCC"/>
    <w:rsid w:val="00083860"/>
    <w:rsid w:val="00084659"/>
    <w:rsid w:val="000850E9"/>
    <w:rsid w:val="0008523E"/>
    <w:rsid w:val="00085F06"/>
    <w:rsid w:val="00087D15"/>
    <w:rsid w:val="00091EBC"/>
    <w:rsid w:val="00091FBB"/>
    <w:rsid w:val="0009336A"/>
    <w:rsid w:val="00094C94"/>
    <w:rsid w:val="00096028"/>
    <w:rsid w:val="000A28F5"/>
    <w:rsid w:val="000A2A08"/>
    <w:rsid w:val="000A4322"/>
    <w:rsid w:val="000A43AF"/>
    <w:rsid w:val="000A477C"/>
    <w:rsid w:val="000A47E8"/>
    <w:rsid w:val="000A798D"/>
    <w:rsid w:val="000A7EDF"/>
    <w:rsid w:val="000B0607"/>
    <w:rsid w:val="000B0A32"/>
    <w:rsid w:val="000B1BAF"/>
    <w:rsid w:val="000B2F23"/>
    <w:rsid w:val="000B3321"/>
    <w:rsid w:val="000B50B2"/>
    <w:rsid w:val="000B75D6"/>
    <w:rsid w:val="000C0BB7"/>
    <w:rsid w:val="000C2D21"/>
    <w:rsid w:val="000C2DE5"/>
    <w:rsid w:val="000C3C1D"/>
    <w:rsid w:val="000C4208"/>
    <w:rsid w:val="000C47C6"/>
    <w:rsid w:val="000C662D"/>
    <w:rsid w:val="000C7560"/>
    <w:rsid w:val="000C7C47"/>
    <w:rsid w:val="000C7EAF"/>
    <w:rsid w:val="000D1D7E"/>
    <w:rsid w:val="000D2F4E"/>
    <w:rsid w:val="000D3085"/>
    <w:rsid w:val="000D492F"/>
    <w:rsid w:val="000D592F"/>
    <w:rsid w:val="000D5A01"/>
    <w:rsid w:val="000D5CB8"/>
    <w:rsid w:val="000D7DED"/>
    <w:rsid w:val="000E1164"/>
    <w:rsid w:val="000E1ACA"/>
    <w:rsid w:val="000E38A8"/>
    <w:rsid w:val="000E43EB"/>
    <w:rsid w:val="000F17A6"/>
    <w:rsid w:val="000F5276"/>
    <w:rsid w:val="00101782"/>
    <w:rsid w:val="0010234D"/>
    <w:rsid w:val="001031E2"/>
    <w:rsid w:val="00104EDC"/>
    <w:rsid w:val="00106074"/>
    <w:rsid w:val="001070CF"/>
    <w:rsid w:val="001071B9"/>
    <w:rsid w:val="001079C7"/>
    <w:rsid w:val="00113CF8"/>
    <w:rsid w:val="0011488A"/>
    <w:rsid w:val="00114E6A"/>
    <w:rsid w:val="00120E72"/>
    <w:rsid w:val="00121064"/>
    <w:rsid w:val="0012354C"/>
    <w:rsid w:val="001253EA"/>
    <w:rsid w:val="00126FD2"/>
    <w:rsid w:val="0012772A"/>
    <w:rsid w:val="00130C33"/>
    <w:rsid w:val="00132C0D"/>
    <w:rsid w:val="00135F3D"/>
    <w:rsid w:val="0013733A"/>
    <w:rsid w:val="00141647"/>
    <w:rsid w:val="00143816"/>
    <w:rsid w:val="00144079"/>
    <w:rsid w:val="00144804"/>
    <w:rsid w:val="00145D2E"/>
    <w:rsid w:val="0014716E"/>
    <w:rsid w:val="00153E0C"/>
    <w:rsid w:val="001576CD"/>
    <w:rsid w:val="00157F16"/>
    <w:rsid w:val="0016048A"/>
    <w:rsid w:val="00160BB0"/>
    <w:rsid w:val="00160BC0"/>
    <w:rsid w:val="00166C98"/>
    <w:rsid w:val="00167615"/>
    <w:rsid w:val="001700D1"/>
    <w:rsid w:val="0017080C"/>
    <w:rsid w:val="00170A91"/>
    <w:rsid w:val="00170BE8"/>
    <w:rsid w:val="00171A03"/>
    <w:rsid w:val="0017340B"/>
    <w:rsid w:val="00174434"/>
    <w:rsid w:val="00175153"/>
    <w:rsid w:val="001757A1"/>
    <w:rsid w:val="00176F8A"/>
    <w:rsid w:val="001805EA"/>
    <w:rsid w:val="00180B86"/>
    <w:rsid w:val="001834C2"/>
    <w:rsid w:val="00183675"/>
    <w:rsid w:val="001848A7"/>
    <w:rsid w:val="001873D1"/>
    <w:rsid w:val="00190486"/>
    <w:rsid w:val="00190639"/>
    <w:rsid w:val="00190DAA"/>
    <w:rsid w:val="00191B4D"/>
    <w:rsid w:val="00193080"/>
    <w:rsid w:val="00194462"/>
    <w:rsid w:val="001A0CC6"/>
    <w:rsid w:val="001A1735"/>
    <w:rsid w:val="001A2881"/>
    <w:rsid w:val="001A3EDE"/>
    <w:rsid w:val="001A4323"/>
    <w:rsid w:val="001A435E"/>
    <w:rsid w:val="001A70C9"/>
    <w:rsid w:val="001B0290"/>
    <w:rsid w:val="001B1C1C"/>
    <w:rsid w:val="001B248E"/>
    <w:rsid w:val="001B3A23"/>
    <w:rsid w:val="001B44E4"/>
    <w:rsid w:val="001B48D8"/>
    <w:rsid w:val="001B5426"/>
    <w:rsid w:val="001B7408"/>
    <w:rsid w:val="001C2BF3"/>
    <w:rsid w:val="001C3F2D"/>
    <w:rsid w:val="001C44C7"/>
    <w:rsid w:val="001C572F"/>
    <w:rsid w:val="001C78E4"/>
    <w:rsid w:val="001C7E9A"/>
    <w:rsid w:val="001D372A"/>
    <w:rsid w:val="001D42DA"/>
    <w:rsid w:val="001D59E2"/>
    <w:rsid w:val="001D6F31"/>
    <w:rsid w:val="001D70BD"/>
    <w:rsid w:val="001D7AC3"/>
    <w:rsid w:val="001D7D1A"/>
    <w:rsid w:val="001E01EB"/>
    <w:rsid w:val="001E38D0"/>
    <w:rsid w:val="001E4C6A"/>
    <w:rsid w:val="001E5C40"/>
    <w:rsid w:val="001E6A24"/>
    <w:rsid w:val="001E7BAC"/>
    <w:rsid w:val="001F2134"/>
    <w:rsid w:val="001F42EF"/>
    <w:rsid w:val="001F4BD7"/>
    <w:rsid w:val="001F4FA8"/>
    <w:rsid w:val="002012B9"/>
    <w:rsid w:val="00205681"/>
    <w:rsid w:val="0020571B"/>
    <w:rsid w:val="00205C21"/>
    <w:rsid w:val="00207994"/>
    <w:rsid w:val="00217233"/>
    <w:rsid w:val="00220632"/>
    <w:rsid w:val="00221EA6"/>
    <w:rsid w:val="00222F08"/>
    <w:rsid w:val="0022422F"/>
    <w:rsid w:val="002261FB"/>
    <w:rsid w:val="00230AEF"/>
    <w:rsid w:val="00230CBC"/>
    <w:rsid w:val="00231C99"/>
    <w:rsid w:val="00232A08"/>
    <w:rsid w:val="00232BBC"/>
    <w:rsid w:val="002350AB"/>
    <w:rsid w:val="002359DC"/>
    <w:rsid w:val="00235CB3"/>
    <w:rsid w:val="00240ED8"/>
    <w:rsid w:val="00246966"/>
    <w:rsid w:val="002474AE"/>
    <w:rsid w:val="00247872"/>
    <w:rsid w:val="00250603"/>
    <w:rsid w:val="0025265A"/>
    <w:rsid w:val="00254DC2"/>
    <w:rsid w:val="002550CC"/>
    <w:rsid w:val="00255864"/>
    <w:rsid w:val="002608D8"/>
    <w:rsid w:val="00260F87"/>
    <w:rsid w:val="0026331A"/>
    <w:rsid w:val="00272B41"/>
    <w:rsid w:val="002735FD"/>
    <w:rsid w:val="00273E26"/>
    <w:rsid w:val="00275ECE"/>
    <w:rsid w:val="00277EF0"/>
    <w:rsid w:val="0028108E"/>
    <w:rsid w:val="00282A80"/>
    <w:rsid w:val="00283E18"/>
    <w:rsid w:val="00284E49"/>
    <w:rsid w:val="00286049"/>
    <w:rsid w:val="0028672B"/>
    <w:rsid w:val="00286BA7"/>
    <w:rsid w:val="00286DBB"/>
    <w:rsid w:val="00286EAC"/>
    <w:rsid w:val="00291F9C"/>
    <w:rsid w:val="002932FC"/>
    <w:rsid w:val="00294817"/>
    <w:rsid w:val="002969A4"/>
    <w:rsid w:val="00297896"/>
    <w:rsid w:val="002A224F"/>
    <w:rsid w:val="002A4177"/>
    <w:rsid w:val="002A5E40"/>
    <w:rsid w:val="002A7E55"/>
    <w:rsid w:val="002B15CF"/>
    <w:rsid w:val="002B26C2"/>
    <w:rsid w:val="002B4542"/>
    <w:rsid w:val="002B6E66"/>
    <w:rsid w:val="002C0F67"/>
    <w:rsid w:val="002C14F2"/>
    <w:rsid w:val="002C2581"/>
    <w:rsid w:val="002C2854"/>
    <w:rsid w:val="002C4F86"/>
    <w:rsid w:val="002C528A"/>
    <w:rsid w:val="002C66C9"/>
    <w:rsid w:val="002D142C"/>
    <w:rsid w:val="002D2840"/>
    <w:rsid w:val="002D2841"/>
    <w:rsid w:val="002D69C2"/>
    <w:rsid w:val="002D6ACD"/>
    <w:rsid w:val="002E0639"/>
    <w:rsid w:val="002E1983"/>
    <w:rsid w:val="002E2D86"/>
    <w:rsid w:val="002E31F0"/>
    <w:rsid w:val="002E6230"/>
    <w:rsid w:val="002F1C30"/>
    <w:rsid w:val="002F2093"/>
    <w:rsid w:val="002F3252"/>
    <w:rsid w:val="002F3327"/>
    <w:rsid w:val="002F4C68"/>
    <w:rsid w:val="002F66C4"/>
    <w:rsid w:val="002F6B03"/>
    <w:rsid w:val="00301048"/>
    <w:rsid w:val="00310225"/>
    <w:rsid w:val="00314E11"/>
    <w:rsid w:val="0031510F"/>
    <w:rsid w:val="00315AE1"/>
    <w:rsid w:val="0031713F"/>
    <w:rsid w:val="00323773"/>
    <w:rsid w:val="00323920"/>
    <w:rsid w:val="00324324"/>
    <w:rsid w:val="00326006"/>
    <w:rsid w:val="00330E44"/>
    <w:rsid w:val="00332523"/>
    <w:rsid w:val="00333296"/>
    <w:rsid w:val="0033369D"/>
    <w:rsid w:val="003344A6"/>
    <w:rsid w:val="00334622"/>
    <w:rsid w:val="00334F0B"/>
    <w:rsid w:val="00335966"/>
    <w:rsid w:val="0033789E"/>
    <w:rsid w:val="00340B0C"/>
    <w:rsid w:val="003421DE"/>
    <w:rsid w:val="003426E3"/>
    <w:rsid w:val="00343309"/>
    <w:rsid w:val="003452CA"/>
    <w:rsid w:val="00346A6D"/>
    <w:rsid w:val="00347FE6"/>
    <w:rsid w:val="003513EF"/>
    <w:rsid w:val="00352E0B"/>
    <w:rsid w:val="0035372C"/>
    <w:rsid w:val="003613D8"/>
    <w:rsid w:val="00362DB3"/>
    <w:rsid w:val="00362F4F"/>
    <w:rsid w:val="0036413D"/>
    <w:rsid w:val="00364986"/>
    <w:rsid w:val="003810F0"/>
    <w:rsid w:val="00382A9A"/>
    <w:rsid w:val="00382BC5"/>
    <w:rsid w:val="00383C71"/>
    <w:rsid w:val="003873E9"/>
    <w:rsid w:val="00390A9B"/>
    <w:rsid w:val="00390AD7"/>
    <w:rsid w:val="00395395"/>
    <w:rsid w:val="003A002C"/>
    <w:rsid w:val="003A0AB2"/>
    <w:rsid w:val="003A0D21"/>
    <w:rsid w:val="003A0D47"/>
    <w:rsid w:val="003A11DC"/>
    <w:rsid w:val="003A20FE"/>
    <w:rsid w:val="003A33B0"/>
    <w:rsid w:val="003A3DEF"/>
    <w:rsid w:val="003A3DF8"/>
    <w:rsid w:val="003A6FEF"/>
    <w:rsid w:val="003A7B88"/>
    <w:rsid w:val="003B02F0"/>
    <w:rsid w:val="003B3F5E"/>
    <w:rsid w:val="003B4147"/>
    <w:rsid w:val="003B4D4F"/>
    <w:rsid w:val="003B50DC"/>
    <w:rsid w:val="003B6F99"/>
    <w:rsid w:val="003C0370"/>
    <w:rsid w:val="003C0741"/>
    <w:rsid w:val="003C09D2"/>
    <w:rsid w:val="003C09F6"/>
    <w:rsid w:val="003C0E45"/>
    <w:rsid w:val="003C0F78"/>
    <w:rsid w:val="003C1475"/>
    <w:rsid w:val="003C2358"/>
    <w:rsid w:val="003C2AD4"/>
    <w:rsid w:val="003C5D37"/>
    <w:rsid w:val="003C746A"/>
    <w:rsid w:val="003D1513"/>
    <w:rsid w:val="003D26A1"/>
    <w:rsid w:val="003D29B9"/>
    <w:rsid w:val="003D38A1"/>
    <w:rsid w:val="003D4F56"/>
    <w:rsid w:val="003D5195"/>
    <w:rsid w:val="003D7CB5"/>
    <w:rsid w:val="003E097D"/>
    <w:rsid w:val="003E1E46"/>
    <w:rsid w:val="003E1F5D"/>
    <w:rsid w:val="003E2C6E"/>
    <w:rsid w:val="003E3A50"/>
    <w:rsid w:val="003E4619"/>
    <w:rsid w:val="003E6524"/>
    <w:rsid w:val="003E6E8E"/>
    <w:rsid w:val="003E78EC"/>
    <w:rsid w:val="003E7C87"/>
    <w:rsid w:val="003E7CC8"/>
    <w:rsid w:val="003F1F96"/>
    <w:rsid w:val="00403753"/>
    <w:rsid w:val="00404E12"/>
    <w:rsid w:val="004056A9"/>
    <w:rsid w:val="00405CA4"/>
    <w:rsid w:val="00407762"/>
    <w:rsid w:val="0041182B"/>
    <w:rsid w:val="00412273"/>
    <w:rsid w:val="00412FA4"/>
    <w:rsid w:val="00415154"/>
    <w:rsid w:val="004154CD"/>
    <w:rsid w:val="004156F3"/>
    <w:rsid w:val="0041584A"/>
    <w:rsid w:val="0041708E"/>
    <w:rsid w:val="00417D35"/>
    <w:rsid w:val="00421DFA"/>
    <w:rsid w:val="00422E66"/>
    <w:rsid w:val="00422EF3"/>
    <w:rsid w:val="004242C7"/>
    <w:rsid w:val="00427703"/>
    <w:rsid w:val="00430355"/>
    <w:rsid w:val="004312CD"/>
    <w:rsid w:val="0043440E"/>
    <w:rsid w:val="00435EBB"/>
    <w:rsid w:val="00436BC2"/>
    <w:rsid w:val="00444ABE"/>
    <w:rsid w:val="00444F74"/>
    <w:rsid w:val="004468CD"/>
    <w:rsid w:val="0045181C"/>
    <w:rsid w:val="00452BB9"/>
    <w:rsid w:val="004535E3"/>
    <w:rsid w:val="00454A37"/>
    <w:rsid w:val="00456F7B"/>
    <w:rsid w:val="00457160"/>
    <w:rsid w:val="004601B8"/>
    <w:rsid w:val="00462776"/>
    <w:rsid w:val="00463174"/>
    <w:rsid w:val="004633CD"/>
    <w:rsid w:val="00463667"/>
    <w:rsid w:val="00465FC1"/>
    <w:rsid w:val="00466B86"/>
    <w:rsid w:val="004675E5"/>
    <w:rsid w:val="004701EB"/>
    <w:rsid w:val="00472EAD"/>
    <w:rsid w:val="00473ADF"/>
    <w:rsid w:val="00473D1D"/>
    <w:rsid w:val="00475FB2"/>
    <w:rsid w:val="00476E5A"/>
    <w:rsid w:val="0048059A"/>
    <w:rsid w:val="00480F91"/>
    <w:rsid w:val="0048447E"/>
    <w:rsid w:val="00486C72"/>
    <w:rsid w:val="00493316"/>
    <w:rsid w:val="00493EE8"/>
    <w:rsid w:val="004946D2"/>
    <w:rsid w:val="004954C3"/>
    <w:rsid w:val="004958D8"/>
    <w:rsid w:val="00496DDA"/>
    <w:rsid w:val="004970CE"/>
    <w:rsid w:val="004A0681"/>
    <w:rsid w:val="004A0935"/>
    <w:rsid w:val="004A29F0"/>
    <w:rsid w:val="004A4DF7"/>
    <w:rsid w:val="004A5300"/>
    <w:rsid w:val="004A6798"/>
    <w:rsid w:val="004B255A"/>
    <w:rsid w:val="004B3327"/>
    <w:rsid w:val="004B4627"/>
    <w:rsid w:val="004B537C"/>
    <w:rsid w:val="004B6527"/>
    <w:rsid w:val="004B7D4B"/>
    <w:rsid w:val="004C0E1D"/>
    <w:rsid w:val="004C39F0"/>
    <w:rsid w:val="004C6F0D"/>
    <w:rsid w:val="004D1BD7"/>
    <w:rsid w:val="004D2543"/>
    <w:rsid w:val="004D2E2A"/>
    <w:rsid w:val="004D4FB3"/>
    <w:rsid w:val="004D4FE9"/>
    <w:rsid w:val="004D5E2F"/>
    <w:rsid w:val="004D6478"/>
    <w:rsid w:val="004D7109"/>
    <w:rsid w:val="004E00A5"/>
    <w:rsid w:val="004E1339"/>
    <w:rsid w:val="004E2B7D"/>
    <w:rsid w:val="004E307D"/>
    <w:rsid w:val="004E7E83"/>
    <w:rsid w:val="004F06CE"/>
    <w:rsid w:val="004F2BE4"/>
    <w:rsid w:val="004F6134"/>
    <w:rsid w:val="004F6B9C"/>
    <w:rsid w:val="004F738E"/>
    <w:rsid w:val="00502514"/>
    <w:rsid w:val="005025DB"/>
    <w:rsid w:val="0051064C"/>
    <w:rsid w:val="00513001"/>
    <w:rsid w:val="0052336F"/>
    <w:rsid w:val="00525211"/>
    <w:rsid w:val="005254E5"/>
    <w:rsid w:val="005300F1"/>
    <w:rsid w:val="00531480"/>
    <w:rsid w:val="00532400"/>
    <w:rsid w:val="00532AAF"/>
    <w:rsid w:val="0053560E"/>
    <w:rsid w:val="005367DD"/>
    <w:rsid w:val="0053701F"/>
    <w:rsid w:val="00537605"/>
    <w:rsid w:val="00537622"/>
    <w:rsid w:val="00537F7F"/>
    <w:rsid w:val="0054086E"/>
    <w:rsid w:val="00540FEC"/>
    <w:rsid w:val="00541778"/>
    <w:rsid w:val="00541E86"/>
    <w:rsid w:val="0054443C"/>
    <w:rsid w:val="00546A42"/>
    <w:rsid w:val="00546BF1"/>
    <w:rsid w:val="00547EFA"/>
    <w:rsid w:val="00550253"/>
    <w:rsid w:val="00550655"/>
    <w:rsid w:val="00551CC8"/>
    <w:rsid w:val="00555FEE"/>
    <w:rsid w:val="0055611D"/>
    <w:rsid w:val="0055631B"/>
    <w:rsid w:val="0056387E"/>
    <w:rsid w:val="00564DE6"/>
    <w:rsid w:val="00565AC3"/>
    <w:rsid w:val="00566B7C"/>
    <w:rsid w:val="00566C4C"/>
    <w:rsid w:val="005706DC"/>
    <w:rsid w:val="005709C5"/>
    <w:rsid w:val="005725F5"/>
    <w:rsid w:val="0057349F"/>
    <w:rsid w:val="0057431E"/>
    <w:rsid w:val="00576899"/>
    <w:rsid w:val="00577D54"/>
    <w:rsid w:val="00581AFF"/>
    <w:rsid w:val="00581D30"/>
    <w:rsid w:val="0058236B"/>
    <w:rsid w:val="00582491"/>
    <w:rsid w:val="00583186"/>
    <w:rsid w:val="00583994"/>
    <w:rsid w:val="00585A5A"/>
    <w:rsid w:val="00595642"/>
    <w:rsid w:val="005A686C"/>
    <w:rsid w:val="005B0175"/>
    <w:rsid w:val="005B1307"/>
    <w:rsid w:val="005B48A5"/>
    <w:rsid w:val="005C06D4"/>
    <w:rsid w:val="005C21C7"/>
    <w:rsid w:val="005C32F8"/>
    <w:rsid w:val="005C3EF2"/>
    <w:rsid w:val="005C4A4D"/>
    <w:rsid w:val="005C636D"/>
    <w:rsid w:val="005C64E8"/>
    <w:rsid w:val="005C71D6"/>
    <w:rsid w:val="005C73F5"/>
    <w:rsid w:val="005C7E5F"/>
    <w:rsid w:val="005D022E"/>
    <w:rsid w:val="005D190C"/>
    <w:rsid w:val="005D33CB"/>
    <w:rsid w:val="005D4EC7"/>
    <w:rsid w:val="005D4EE3"/>
    <w:rsid w:val="005D5EC8"/>
    <w:rsid w:val="005D654C"/>
    <w:rsid w:val="005D6A8D"/>
    <w:rsid w:val="005D71F3"/>
    <w:rsid w:val="005E1A5E"/>
    <w:rsid w:val="005E1FED"/>
    <w:rsid w:val="005E4D1D"/>
    <w:rsid w:val="005E6DB5"/>
    <w:rsid w:val="005F5E8A"/>
    <w:rsid w:val="005F6CC0"/>
    <w:rsid w:val="005F6E32"/>
    <w:rsid w:val="00600B3D"/>
    <w:rsid w:val="0060100C"/>
    <w:rsid w:val="00601B43"/>
    <w:rsid w:val="006020FD"/>
    <w:rsid w:val="0060222C"/>
    <w:rsid w:val="006022FB"/>
    <w:rsid w:val="00603ACB"/>
    <w:rsid w:val="006047DB"/>
    <w:rsid w:val="00604E7E"/>
    <w:rsid w:val="00604FDE"/>
    <w:rsid w:val="00605A0D"/>
    <w:rsid w:val="0061147F"/>
    <w:rsid w:val="0061401A"/>
    <w:rsid w:val="00615C8A"/>
    <w:rsid w:val="0061617E"/>
    <w:rsid w:val="00616695"/>
    <w:rsid w:val="00617C13"/>
    <w:rsid w:val="00620259"/>
    <w:rsid w:val="006216FC"/>
    <w:rsid w:val="00622736"/>
    <w:rsid w:val="0062287F"/>
    <w:rsid w:val="00623412"/>
    <w:rsid w:val="006235A0"/>
    <w:rsid w:val="006246C1"/>
    <w:rsid w:val="00624C52"/>
    <w:rsid w:val="006254C6"/>
    <w:rsid w:val="00625944"/>
    <w:rsid w:val="006275D4"/>
    <w:rsid w:val="00630FAF"/>
    <w:rsid w:val="00631E24"/>
    <w:rsid w:val="00633AEC"/>
    <w:rsid w:val="006344CD"/>
    <w:rsid w:val="00635F59"/>
    <w:rsid w:val="00637213"/>
    <w:rsid w:val="0064187F"/>
    <w:rsid w:val="00642F2E"/>
    <w:rsid w:val="00643850"/>
    <w:rsid w:val="006439D8"/>
    <w:rsid w:val="006455F3"/>
    <w:rsid w:val="0064654B"/>
    <w:rsid w:val="00647F53"/>
    <w:rsid w:val="006526A3"/>
    <w:rsid w:val="006528FF"/>
    <w:rsid w:val="00652D97"/>
    <w:rsid w:val="00652FBF"/>
    <w:rsid w:val="00653852"/>
    <w:rsid w:val="006559E8"/>
    <w:rsid w:val="006579C5"/>
    <w:rsid w:val="00662CC8"/>
    <w:rsid w:val="00667082"/>
    <w:rsid w:val="0066744C"/>
    <w:rsid w:val="00671E72"/>
    <w:rsid w:val="0067259C"/>
    <w:rsid w:val="0067287F"/>
    <w:rsid w:val="0067380D"/>
    <w:rsid w:val="00673BA2"/>
    <w:rsid w:val="00673F0F"/>
    <w:rsid w:val="00675C87"/>
    <w:rsid w:val="00676CBE"/>
    <w:rsid w:val="00680B3E"/>
    <w:rsid w:val="00682FFC"/>
    <w:rsid w:val="006837EE"/>
    <w:rsid w:val="00683DB9"/>
    <w:rsid w:val="006848B5"/>
    <w:rsid w:val="00685A34"/>
    <w:rsid w:val="006861B8"/>
    <w:rsid w:val="006879E0"/>
    <w:rsid w:val="00690AB0"/>
    <w:rsid w:val="006921A6"/>
    <w:rsid w:val="00692579"/>
    <w:rsid w:val="00693538"/>
    <w:rsid w:val="006936F0"/>
    <w:rsid w:val="00693A48"/>
    <w:rsid w:val="00696A09"/>
    <w:rsid w:val="006A3AA5"/>
    <w:rsid w:val="006A40E4"/>
    <w:rsid w:val="006A5FB1"/>
    <w:rsid w:val="006A605B"/>
    <w:rsid w:val="006A770C"/>
    <w:rsid w:val="006A77DD"/>
    <w:rsid w:val="006B07CA"/>
    <w:rsid w:val="006B27BA"/>
    <w:rsid w:val="006B2A86"/>
    <w:rsid w:val="006B3F1C"/>
    <w:rsid w:val="006B62F3"/>
    <w:rsid w:val="006B7925"/>
    <w:rsid w:val="006B79DE"/>
    <w:rsid w:val="006C24CE"/>
    <w:rsid w:val="006C3988"/>
    <w:rsid w:val="006C45F8"/>
    <w:rsid w:val="006D0686"/>
    <w:rsid w:val="006D2BD7"/>
    <w:rsid w:val="006D4C8F"/>
    <w:rsid w:val="006D6A1F"/>
    <w:rsid w:val="006E078C"/>
    <w:rsid w:val="006E2334"/>
    <w:rsid w:val="006E2723"/>
    <w:rsid w:val="006E3EC1"/>
    <w:rsid w:val="006E6567"/>
    <w:rsid w:val="006F05D8"/>
    <w:rsid w:val="006F1A59"/>
    <w:rsid w:val="006F20A0"/>
    <w:rsid w:val="006F2778"/>
    <w:rsid w:val="006F2EDE"/>
    <w:rsid w:val="006F6C85"/>
    <w:rsid w:val="006F7AF9"/>
    <w:rsid w:val="007002E2"/>
    <w:rsid w:val="00700864"/>
    <w:rsid w:val="00701641"/>
    <w:rsid w:val="00702133"/>
    <w:rsid w:val="00702B16"/>
    <w:rsid w:val="00704E6B"/>
    <w:rsid w:val="0070667C"/>
    <w:rsid w:val="0070673F"/>
    <w:rsid w:val="00707FA0"/>
    <w:rsid w:val="007103DB"/>
    <w:rsid w:val="00715A7E"/>
    <w:rsid w:val="00716930"/>
    <w:rsid w:val="00717D0A"/>
    <w:rsid w:val="00720E54"/>
    <w:rsid w:val="00723918"/>
    <w:rsid w:val="00724A6E"/>
    <w:rsid w:val="00724BE7"/>
    <w:rsid w:val="00726185"/>
    <w:rsid w:val="00726876"/>
    <w:rsid w:val="00726D08"/>
    <w:rsid w:val="007305E0"/>
    <w:rsid w:val="007328B7"/>
    <w:rsid w:val="00732F37"/>
    <w:rsid w:val="00737D9E"/>
    <w:rsid w:val="00747B4C"/>
    <w:rsid w:val="00750A65"/>
    <w:rsid w:val="00756530"/>
    <w:rsid w:val="007622A1"/>
    <w:rsid w:val="00765337"/>
    <w:rsid w:val="0076599A"/>
    <w:rsid w:val="00767D0A"/>
    <w:rsid w:val="00771B74"/>
    <w:rsid w:val="00771CDB"/>
    <w:rsid w:val="00773178"/>
    <w:rsid w:val="00773A13"/>
    <w:rsid w:val="00775142"/>
    <w:rsid w:val="0077620C"/>
    <w:rsid w:val="007816C3"/>
    <w:rsid w:val="00783392"/>
    <w:rsid w:val="007837E9"/>
    <w:rsid w:val="00784195"/>
    <w:rsid w:val="007872CC"/>
    <w:rsid w:val="007872E0"/>
    <w:rsid w:val="0078776C"/>
    <w:rsid w:val="00793F43"/>
    <w:rsid w:val="00794877"/>
    <w:rsid w:val="00794DAF"/>
    <w:rsid w:val="00796A9B"/>
    <w:rsid w:val="007A096C"/>
    <w:rsid w:val="007A0CF0"/>
    <w:rsid w:val="007A0D0D"/>
    <w:rsid w:val="007A1136"/>
    <w:rsid w:val="007A1E99"/>
    <w:rsid w:val="007A657F"/>
    <w:rsid w:val="007A674E"/>
    <w:rsid w:val="007B26DE"/>
    <w:rsid w:val="007B4F38"/>
    <w:rsid w:val="007B79FB"/>
    <w:rsid w:val="007C05BC"/>
    <w:rsid w:val="007C5537"/>
    <w:rsid w:val="007C7B76"/>
    <w:rsid w:val="007C7EFA"/>
    <w:rsid w:val="007D0157"/>
    <w:rsid w:val="007D2119"/>
    <w:rsid w:val="007D4A5F"/>
    <w:rsid w:val="007D5908"/>
    <w:rsid w:val="007D60A6"/>
    <w:rsid w:val="007D6FA0"/>
    <w:rsid w:val="007D7108"/>
    <w:rsid w:val="007E1148"/>
    <w:rsid w:val="007E3079"/>
    <w:rsid w:val="007E39AC"/>
    <w:rsid w:val="007E3E63"/>
    <w:rsid w:val="007E5A93"/>
    <w:rsid w:val="007E5E63"/>
    <w:rsid w:val="007E79D6"/>
    <w:rsid w:val="007F0287"/>
    <w:rsid w:val="007F0620"/>
    <w:rsid w:val="007F1E6F"/>
    <w:rsid w:val="007F2131"/>
    <w:rsid w:val="007F26D0"/>
    <w:rsid w:val="007F31BF"/>
    <w:rsid w:val="007F558E"/>
    <w:rsid w:val="007F63A8"/>
    <w:rsid w:val="0080278E"/>
    <w:rsid w:val="00802B44"/>
    <w:rsid w:val="00805158"/>
    <w:rsid w:val="00805E51"/>
    <w:rsid w:val="0080617D"/>
    <w:rsid w:val="00806B9F"/>
    <w:rsid w:val="00812592"/>
    <w:rsid w:val="008126EB"/>
    <w:rsid w:val="008128D5"/>
    <w:rsid w:val="008149AD"/>
    <w:rsid w:val="00814A74"/>
    <w:rsid w:val="00814EA3"/>
    <w:rsid w:val="00816B5C"/>
    <w:rsid w:val="00820ECA"/>
    <w:rsid w:val="0082191D"/>
    <w:rsid w:val="008224FC"/>
    <w:rsid w:val="00826006"/>
    <w:rsid w:val="008276B6"/>
    <w:rsid w:val="00830AB1"/>
    <w:rsid w:val="0083166A"/>
    <w:rsid w:val="00833AEF"/>
    <w:rsid w:val="008341E1"/>
    <w:rsid w:val="00837347"/>
    <w:rsid w:val="00837572"/>
    <w:rsid w:val="008378AF"/>
    <w:rsid w:val="00841F91"/>
    <w:rsid w:val="0084258F"/>
    <w:rsid w:val="00842691"/>
    <w:rsid w:val="00843EA8"/>
    <w:rsid w:val="00847C20"/>
    <w:rsid w:val="00850662"/>
    <w:rsid w:val="00850D1E"/>
    <w:rsid w:val="008521A1"/>
    <w:rsid w:val="00855E37"/>
    <w:rsid w:val="008564BD"/>
    <w:rsid w:val="008579A6"/>
    <w:rsid w:val="0086290B"/>
    <w:rsid w:val="00864485"/>
    <w:rsid w:val="00865517"/>
    <w:rsid w:val="00865AF5"/>
    <w:rsid w:val="0086649A"/>
    <w:rsid w:val="0086732C"/>
    <w:rsid w:val="00870BF3"/>
    <w:rsid w:val="008728BA"/>
    <w:rsid w:val="008728DB"/>
    <w:rsid w:val="00872994"/>
    <w:rsid w:val="00872ED8"/>
    <w:rsid w:val="00874364"/>
    <w:rsid w:val="00875087"/>
    <w:rsid w:val="00876711"/>
    <w:rsid w:val="0088076E"/>
    <w:rsid w:val="00881474"/>
    <w:rsid w:val="00883AC8"/>
    <w:rsid w:val="00884B7D"/>
    <w:rsid w:val="00885660"/>
    <w:rsid w:val="008936D3"/>
    <w:rsid w:val="00894FD8"/>
    <w:rsid w:val="00896DC9"/>
    <w:rsid w:val="008A14A9"/>
    <w:rsid w:val="008A26B8"/>
    <w:rsid w:val="008A369F"/>
    <w:rsid w:val="008A4AA3"/>
    <w:rsid w:val="008A66DE"/>
    <w:rsid w:val="008B2E94"/>
    <w:rsid w:val="008B31C6"/>
    <w:rsid w:val="008B4190"/>
    <w:rsid w:val="008B5704"/>
    <w:rsid w:val="008C062F"/>
    <w:rsid w:val="008C065F"/>
    <w:rsid w:val="008C2D4B"/>
    <w:rsid w:val="008C71AF"/>
    <w:rsid w:val="008C795D"/>
    <w:rsid w:val="008D0CAD"/>
    <w:rsid w:val="008D10CA"/>
    <w:rsid w:val="008D2CA1"/>
    <w:rsid w:val="008D3C87"/>
    <w:rsid w:val="008E0213"/>
    <w:rsid w:val="008E1495"/>
    <w:rsid w:val="008E1BD5"/>
    <w:rsid w:val="008E28D6"/>
    <w:rsid w:val="008E34CD"/>
    <w:rsid w:val="008E4623"/>
    <w:rsid w:val="008E4CC6"/>
    <w:rsid w:val="008E5B32"/>
    <w:rsid w:val="008E74A9"/>
    <w:rsid w:val="008E74DF"/>
    <w:rsid w:val="008E7AC4"/>
    <w:rsid w:val="008F0605"/>
    <w:rsid w:val="008F1D20"/>
    <w:rsid w:val="008F46CB"/>
    <w:rsid w:val="008F512A"/>
    <w:rsid w:val="008F614F"/>
    <w:rsid w:val="008F69CB"/>
    <w:rsid w:val="009019FA"/>
    <w:rsid w:val="009034EB"/>
    <w:rsid w:val="00903720"/>
    <w:rsid w:val="00903A96"/>
    <w:rsid w:val="00903B47"/>
    <w:rsid w:val="00905B97"/>
    <w:rsid w:val="00905E91"/>
    <w:rsid w:val="00906BC4"/>
    <w:rsid w:val="009076BB"/>
    <w:rsid w:val="009076D7"/>
    <w:rsid w:val="00910D7A"/>
    <w:rsid w:val="0091100C"/>
    <w:rsid w:val="00912130"/>
    <w:rsid w:val="00912898"/>
    <w:rsid w:val="00913860"/>
    <w:rsid w:val="00917927"/>
    <w:rsid w:val="00921B7E"/>
    <w:rsid w:val="00922E5C"/>
    <w:rsid w:val="0092597F"/>
    <w:rsid w:val="0092602D"/>
    <w:rsid w:val="009265F6"/>
    <w:rsid w:val="00933C6B"/>
    <w:rsid w:val="00933E34"/>
    <w:rsid w:val="0093518B"/>
    <w:rsid w:val="00935345"/>
    <w:rsid w:val="00936FBA"/>
    <w:rsid w:val="00937E02"/>
    <w:rsid w:val="00943EAB"/>
    <w:rsid w:val="00944240"/>
    <w:rsid w:val="00944799"/>
    <w:rsid w:val="00944E84"/>
    <w:rsid w:val="0094730C"/>
    <w:rsid w:val="00950BFF"/>
    <w:rsid w:val="00950DD6"/>
    <w:rsid w:val="00951708"/>
    <w:rsid w:val="0095653D"/>
    <w:rsid w:val="009604C4"/>
    <w:rsid w:val="00964363"/>
    <w:rsid w:val="00966633"/>
    <w:rsid w:val="009702C9"/>
    <w:rsid w:val="00971AF5"/>
    <w:rsid w:val="0097261B"/>
    <w:rsid w:val="00974737"/>
    <w:rsid w:val="00975267"/>
    <w:rsid w:val="00982ACF"/>
    <w:rsid w:val="00983018"/>
    <w:rsid w:val="009838FB"/>
    <w:rsid w:val="00983F59"/>
    <w:rsid w:val="00985423"/>
    <w:rsid w:val="00985674"/>
    <w:rsid w:val="00993069"/>
    <w:rsid w:val="009935FC"/>
    <w:rsid w:val="0099597E"/>
    <w:rsid w:val="00997620"/>
    <w:rsid w:val="009A0800"/>
    <w:rsid w:val="009A16D6"/>
    <w:rsid w:val="009A79EE"/>
    <w:rsid w:val="009B18B0"/>
    <w:rsid w:val="009B26C9"/>
    <w:rsid w:val="009B3594"/>
    <w:rsid w:val="009B3E37"/>
    <w:rsid w:val="009B3F06"/>
    <w:rsid w:val="009B5E7A"/>
    <w:rsid w:val="009B6ADE"/>
    <w:rsid w:val="009B74F6"/>
    <w:rsid w:val="009C27B8"/>
    <w:rsid w:val="009C27CF"/>
    <w:rsid w:val="009C5FC8"/>
    <w:rsid w:val="009C625D"/>
    <w:rsid w:val="009C66DD"/>
    <w:rsid w:val="009C6F49"/>
    <w:rsid w:val="009C789F"/>
    <w:rsid w:val="009D00FD"/>
    <w:rsid w:val="009D0348"/>
    <w:rsid w:val="009D29BA"/>
    <w:rsid w:val="009D5D52"/>
    <w:rsid w:val="009D6A0F"/>
    <w:rsid w:val="009D6FC4"/>
    <w:rsid w:val="009D739F"/>
    <w:rsid w:val="009E005A"/>
    <w:rsid w:val="009E09B3"/>
    <w:rsid w:val="009E18C1"/>
    <w:rsid w:val="009E22B5"/>
    <w:rsid w:val="009E2360"/>
    <w:rsid w:val="009E4709"/>
    <w:rsid w:val="009E6DC1"/>
    <w:rsid w:val="009F08D6"/>
    <w:rsid w:val="009F20F1"/>
    <w:rsid w:val="009F4A5B"/>
    <w:rsid w:val="00A01346"/>
    <w:rsid w:val="00A051A7"/>
    <w:rsid w:val="00A052AB"/>
    <w:rsid w:val="00A06DC5"/>
    <w:rsid w:val="00A073C3"/>
    <w:rsid w:val="00A1057F"/>
    <w:rsid w:val="00A11456"/>
    <w:rsid w:val="00A118D2"/>
    <w:rsid w:val="00A12A18"/>
    <w:rsid w:val="00A12FD2"/>
    <w:rsid w:val="00A13BE7"/>
    <w:rsid w:val="00A15046"/>
    <w:rsid w:val="00A170F4"/>
    <w:rsid w:val="00A21D83"/>
    <w:rsid w:val="00A227EB"/>
    <w:rsid w:val="00A260C8"/>
    <w:rsid w:val="00A30148"/>
    <w:rsid w:val="00A321AD"/>
    <w:rsid w:val="00A325F7"/>
    <w:rsid w:val="00A3361F"/>
    <w:rsid w:val="00A3389F"/>
    <w:rsid w:val="00A342F4"/>
    <w:rsid w:val="00A3445E"/>
    <w:rsid w:val="00A40187"/>
    <w:rsid w:val="00A40472"/>
    <w:rsid w:val="00A434E0"/>
    <w:rsid w:val="00A47FBD"/>
    <w:rsid w:val="00A517DF"/>
    <w:rsid w:val="00A52D32"/>
    <w:rsid w:val="00A53D06"/>
    <w:rsid w:val="00A56259"/>
    <w:rsid w:val="00A57248"/>
    <w:rsid w:val="00A61B98"/>
    <w:rsid w:val="00A623DA"/>
    <w:rsid w:val="00A636EC"/>
    <w:rsid w:val="00A63CBC"/>
    <w:rsid w:val="00A64EF2"/>
    <w:rsid w:val="00A67305"/>
    <w:rsid w:val="00A67CA9"/>
    <w:rsid w:val="00A705A0"/>
    <w:rsid w:val="00A71BAD"/>
    <w:rsid w:val="00A72C38"/>
    <w:rsid w:val="00A75C3B"/>
    <w:rsid w:val="00A776AB"/>
    <w:rsid w:val="00A8039D"/>
    <w:rsid w:val="00A820FF"/>
    <w:rsid w:val="00A86D54"/>
    <w:rsid w:val="00A87A5F"/>
    <w:rsid w:val="00A87B40"/>
    <w:rsid w:val="00A90CD3"/>
    <w:rsid w:val="00A92E4E"/>
    <w:rsid w:val="00A93525"/>
    <w:rsid w:val="00A95A40"/>
    <w:rsid w:val="00A95AF1"/>
    <w:rsid w:val="00A968D8"/>
    <w:rsid w:val="00A96AE3"/>
    <w:rsid w:val="00A97B73"/>
    <w:rsid w:val="00AA018C"/>
    <w:rsid w:val="00AA1818"/>
    <w:rsid w:val="00AA1EF1"/>
    <w:rsid w:val="00AA5A6D"/>
    <w:rsid w:val="00AA5C60"/>
    <w:rsid w:val="00AA60E4"/>
    <w:rsid w:val="00AA6A55"/>
    <w:rsid w:val="00AB09F6"/>
    <w:rsid w:val="00AB160C"/>
    <w:rsid w:val="00AB24F1"/>
    <w:rsid w:val="00AB2A59"/>
    <w:rsid w:val="00AB2E21"/>
    <w:rsid w:val="00AB30E8"/>
    <w:rsid w:val="00AB3701"/>
    <w:rsid w:val="00AB3B2F"/>
    <w:rsid w:val="00AB3B5B"/>
    <w:rsid w:val="00AB5DE9"/>
    <w:rsid w:val="00AC1DA6"/>
    <w:rsid w:val="00AC1DD9"/>
    <w:rsid w:val="00AC345F"/>
    <w:rsid w:val="00AC4585"/>
    <w:rsid w:val="00AC5D96"/>
    <w:rsid w:val="00AC71D6"/>
    <w:rsid w:val="00AD2D39"/>
    <w:rsid w:val="00AD35DE"/>
    <w:rsid w:val="00AD35F9"/>
    <w:rsid w:val="00AD4D63"/>
    <w:rsid w:val="00AD7066"/>
    <w:rsid w:val="00AE26AB"/>
    <w:rsid w:val="00AF0AC5"/>
    <w:rsid w:val="00AF2133"/>
    <w:rsid w:val="00B0046C"/>
    <w:rsid w:val="00B00AD1"/>
    <w:rsid w:val="00B01820"/>
    <w:rsid w:val="00B04587"/>
    <w:rsid w:val="00B06701"/>
    <w:rsid w:val="00B06717"/>
    <w:rsid w:val="00B120C6"/>
    <w:rsid w:val="00B12C58"/>
    <w:rsid w:val="00B14E53"/>
    <w:rsid w:val="00B15DCA"/>
    <w:rsid w:val="00B168AB"/>
    <w:rsid w:val="00B20CC2"/>
    <w:rsid w:val="00B20D34"/>
    <w:rsid w:val="00B21954"/>
    <w:rsid w:val="00B21C7E"/>
    <w:rsid w:val="00B21EE1"/>
    <w:rsid w:val="00B229BD"/>
    <w:rsid w:val="00B22F63"/>
    <w:rsid w:val="00B23020"/>
    <w:rsid w:val="00B24E8F"/>
    <w:rsid w:val="00B27A71"/>
    <w:rsid w:val="00B30007"/>
    <w:rsid w:val="00B3048C"/>
    <w:rsid w:val="00B322F2"/>
    <w:rsid w:val="00B3381D"/>
    <w:rsid w:val="00B34CA6"/>
    <w:rsid w:val="00B37101"/>
    <w:rsid w:val="00B37AB3"/>
    <w:rsid w:val="00B404DC"/>
    <w:rsid w:val="00B418FF"/>
    <w:rsid w:val="00B43D4E"/>
    <w:rsid w:val="00B44576"/>
    <w:rsid w:val="00B446DE"/>
    <w:rsid w:val="00B44C42"/>
    <w:rsid w:val="00B4563F"/>
    <w:rsid w:val="00B47269"/>
    <w:rsid w:val="00B47451"/>
    <w:rsid w:val="00B4749A"/>
    <w:rsid w:val="00B518F0"/>
    <w:rsid w:val="00B51AE7"/>
    <w:rsid w:val="00B538DD"/>
    <w:rsid w:val="00B54FB6"/>
    <w:rsid w:val="00B55798"/>
    <w:rsid w:val="00B56E00"/>
    <w:rsid w:val="00B6691B"/>
    <w:rsid w:val="00B676A2"/>
    <w:rsid w:val="00B71730"/>
    <w:rsid w:val="00B723FA"/>
    <w:rsid w:val="00B72505"/>
    <w:rsid w:val="00B73046"/>
    <w:rsid w:val="00B73227"/>
    <w:rsid w:val="00B84F09"/>
    <w:rsid w:val="00B85647"/>
    <w:rsid w:val="00B859B7"/>
    <w:rsid w:val="00B85E4F"/>
    <w:rsid w:val="00B85EC8"/>
    <w:rsid w:val="00B85EDE"/>
    <w:rsid w:val="00B87C3F"/>
    <w:rsid w:val="00B9130B"/>
    <w:rsid w:val="00B91B52"/>
    <w:rsid w:val="00B93304"/>
    <w:rsid w:val="00B93600"/>
    <w:rsid w:val="00B95CF4"/>
    <w:rsid w:val="00B97775"/>
    <w:rsid w:val="00BA3BAA"/>
    <w:rsid w:val="00BA4757"/>
    <w:rsid w:val="00BA51EF"/>
    <w:rsid w:val="00BA61B9"/>
    <w:rsid w:val="00BB173E"/>
    <w:rsid w:val="00BB1B9B"/>
    <w:rsid w:val="00BB2119"/>
    <w:rsid w:val="00BB4468"/>
    <w:rsid w:val="00BB578F"/>
    <w:rsid w:val="00BB60A6"/>
    <w:rsid w:val="00BB60E8"/>
    <w:rsid w:val="00BB7176"/>
    <w:rsid w:val="00BC2788"/>
    <w:rsid w:val="00BC34C3"/>
    <w:rsid w:val="00BD005B"/>
    <w:rsid w:val="00BD5363"/>
    <w:rsid w:val="00BD6001"/>
    <w:rsid w:val="00BE018C"/>
    <w:rsid w:val="00BE0450"/>
    <w:rsid w:val="00BE274C"/>
    <w:rsid w:val="00BE2911"/>
    <w:rsid w:val="00BE2A37"/>
    <w:rsid w:val="00BE2CD5"/>
    <w:rsid w:val="00BF020B"/>
    <w:rsid w:val="00BF0C0F"/>
    <w:rsid w:val="00BF105A"/>
    <w:rsid w:val="00BF5CFD"/>
    <w:rsid w:val="00BF6BE2"/>
    <w:rsid w:val="00C0097B"/>
    <w:rsid w:val="00C01436"/>
    <w:rsid w:val="00C04467"/>
    <w:rsid w:val="00C069DA"/>
    <w:rsid w:val="00C07404"/>
    <w:rsid w:val="00C074BE"/>
    <w:rsid w:val="00C1078F"/>
    <w:rsid w:val="00C10F2A"/>
    <w:rsid w:val="00C11572"/>
    <w:rsid w:val="00C1283D"/>
    <w:rsid w:val="00C137E6"/>
    <w:rsid w:val="00C21371"/>
    <w:rsid w:val="00C22A69"/>
    <w:rsid w:val="00C274CE"/>
    <w:rsid w:val="00C27EB4"/>
    <w:rsid w:val="00C30334"/>
    <w:rsid w:val="00C31CC9"/>
    <w:rsid w:val="00C327C4"/>
    <w:rsid w:val="00C34ADE"/>
    <w:rsid w:val="00C34BA3"/>
    <w:rsid w:val="00C3526F"/>
    <w:rsid w:val="00C35373"/>
    <w:rsid w:val="00C374E4"/>
    <w:rsid w:val="00C37B1B"/>
    <w:rsid w:val="00C40D2A"/>
    <w:rsid w:val="00C42FA3"/>
    <w:rsid w:val="00C4363F"/>
    <w:rsid w:val="00C46BF5"/>
    <w:rsid w:val="00C51B5A"/>
    <w:rsid w:val="00C528BA"/>
    <w:rsid w:val="00C57E0C"/>
    <w:rsid w:val="00C6083E"/>
    <w:rsid w:val="00C60F55"/>
    <w:rsid w:val="00C61F8E"/>
    <w:rsid w:val="00C62AD0"/>
    <w:rsid w:val="00C64034"/>
    <w:rsid w:val="00C642A1"/>
    <w:rsid w:val="00C653B0"/>
    <w:rsid w:val="00C66001"/>
    <w:rsid w:val="00C709F1"/>
    <w:rsid w:val="00C70A7D"/>
    <w:rsid w:val="00C72CA9"/>
    <w:rsid w:val="00C7379F"/>
    <w:rsid w:val="00C73EFC"/>
    <w:rsid w:val="00C75860"/>
    <w:rsid w:val="00C77AFA"/>
    <w:rsid w:val="00C85C57"/>
    <w:rsid w:val="00C906F0"/>
    <w:rsid w:val="00C961C6"/>
    <w:rsid w:val="00C968F2"/>
    <w:rsid w:val="00C97130"/>
    <w:rsid w:val="00CA53ED"/>
    <w:rsid w:val="00CB15F1"/>
    <w:rsid w:val="00CB2778"/>
    <w:rsid w:val="00CB39E5"/>
    <w:rsid w:val="00CB457A"/>
    <w:rsid w:val="00CB6FC9"/>
    <w:rsid w:val="00CC1655"/>
    <w:rsid w:val="00CC220F"/>
    <w:rsid w:val="00CC2C6A"/>
    <w:rsid w:val="00CC4A8C"/>
    <w:rsid w:val="00CC55A1"/>
    <w:rsid w:val="00CC613B"/>
    <w:rsid w:val="00CC6A89"/>
    <w:rsid w:val="00CD00F3"/>
    <w:rsid w:val="00CD2746"/>
    <w:rsid w:val="00CD2D3C"/>
    <w:rsid w:val="00CD3A73"/>
    <w:rsid w:val="00CD5F13"/>
    <w:rsid w:val="00CD77C5"/>
    <w:rsid w:val="00CD7DC5"/>
    <w:rsid w:val="00CE23E4"/>
    <w:rsid w:val="00CE2A06"/>
    <w:rsid w:val="00CE2C99"/>
    <w:rsid w:val="00CF0C9C"/>
    <w:rsid w:val="00CF1C35"/>
    <w:rsid w:val="00CF4A1F"/>
    <w:rsid w:val="00CF58EC"/>
    <w:rsid w:val="00CF642E"/>
    <w:rsid w:val="00CF6BA9"/>
    <w:rsid w:val="00CF7F07"/>
    <w:rsid w:val="00D0273B"/>
    <w:rsid w:val="00D04DF2"/>
    <w:rsid w:val="00D05692"/>
    <w:rsid w:val="00D0573A"/>
    <w:rsid w:val="00D0603A"/>
    <w:rsid w:val="00D06FBC"/>
    <w:rsid w:val="00D12963"/>
    <w:rsid w:val="00D12F86"/>
    <w:rsid w:val="00D14E52"/>
    <w:rsid w:val="00D15E7A"/>
    <w:rsid w:val="00D1665C"/>
    <w:rsid w:val="00D16BA1"/>
    <w:rsid w:val="00D16E10"/>
    <w:rsid w:val="00D21DFF"/>
    <w:rsid w:val="00D228B1"/>
    <w:rsid w:val="00D23949"/>
    <w:rsid w:val="00D3003F"/>
    <w:rsid w:val="00D31101"/>
    <w:rsid w:val="00D32B8C"/>
    <w:rsid w:val="00D32F81"/>
    <w:rsid w:val="00D34C34"/>
    <w:rsid w:val="00D362DF"/>
    <w:rsid w:val="00D3774C"/>
    <w:rsid w:val="00D41454"/>
    <w:rsid w:val="00D41BC4"/>
    <w:rsid w:val="00D432CD"/>
    <w:rsid w:val="00D46D28"/>
    <w:rsid w:val="00D51BFE"/>
    <w:rsid w:val="00D51CD6"/>
    <w:rsid w:val="00D52CAA"/>
    <w:rsid w:val="00D53220"/>
    <w:rsid w:val="00D552F8"/>
    <w:rsid w:val="00D565C2"/>
    <w:rsid w:val="00D567DA"/>
    <w:rsid w:val="00D57490"/>
    <w:rsid w:val="00D636FC"/>
    <w:rsid w:val="00D653DE"/>
    <w:rsid w:val="00D65C38"/>
    <w:rsid w:val="00D81C25"/>
    <w:rsid w:val="00D83E2A"/>
    <w:rsid w:val="00D84296"/>
    <w:rsid w:val="00D853D4"/>
    <w:rsid w:val="00D864FF"/>
    <w:rsid w:val="00D90487"/>
    <w:rsid w:val="00D944B8"/>
    <w:rsid w:val="00DA0B21"/>
    <w:rsid w:val="00DA1CA5"/>
    <w:rsid w:val="00DA64D0"/>
    <w:rsid w:val="00DB29D2"/>
    <w:rsid w:val="00DB665F"/>
    <w:rsid w:val="00DB701F"/>
    <w:rsid w:val="00DB71A8"/>
    <w:rsid w:val="00DC2B7C"/>
    <w:rsid w:val="00DC41BF"/>
    <w:rsid w:val="00DC4D01"/>
    <w:rsid w:val="00DC5236"/>
    <w:rsid w:val="00DC5D9F"/>
    <w:rsid w:val="00DC63B6"/>
    <w:rsid w:val="00DC6B6D"/>
    <w:rsid w:val="00DC7DCE"/>
    <w:rsid w:val="00DD0031"/>
    <w:rsid w:val="00DD2432"/>
    <w:rsid w:val="00DD24EF"/>
    <w:rsid w:val="00DD4304"/>
    <w:rsid w:val="00DD4F66"/>
    <w:rsid w:val="00DD602F"/>
    <w:rsid w:val="00DE390E"/>
    <w:rsid w:val="00DE45B8"/>
    <w:rsid w:val="00DE5C2E"/>
    <w:rsid w:val="00DE6482"/>
    <w:rsid w:val="00DE7B16"/>
    <w:rsid w:val="00DF099C"/>
    <w:rsid w:val="00DF3080"/>
    <w:rsid w:val="00DF530D"/>
    <w:rsid w:val="00DF63DF"/>
    <w:rsid w:val="00DF6DC3"/>
    <w:rsid w:val="00DF7D9C"/>
    <w:rsid w:val="00E02273"/>
    <w:rsid w:val="00E043D3"/>
    <w:rsid w:val="00E05681"/>
    <w:rsid w:val="00E071A0"/>
    <w:rsid w:val="00E11F7D"/>
    <w:rsid w:val="00E14751"/>
    <w:rsid w:val="00E203D3"/>
    <w:rsid w:val="00E2159F"/>
    <w:rsid w:val="00E228CC"/>
    <w:rsid w:val="00E245FA"/>
    <w:rsid w:val="00E25269"/>
    <w:rsid w:val="00E26260"/>
    <w:rsid w:val="00E30536"/>
    <w:rsid w:val="00E31E14"/>
    <w:rsid w:val="00E31E9E"/>
    <w:rsid w:val="00E33419"/>
    <w:rsid w:val="00E3496C"/>
    <w:rsid w:val="00E36BE8"/>
    <w:rsid w:val="00E36EC7"/>
    <w:rsid w:val="00E40851"/>
    <w:rsid w:val="00E40DE8"/>
    <w:rsid w:val="00E4129C"/>
    <w:rsid w:val="00E414F9"/>
    <w:rsid w:val="00E426A3"/>
    <w:rsid w:val="00E44E1D"/>
    <w:rsid w:val="00E450FC"/>
    <w:rsid w:val="00E45880"/>
    <w:rsid w:val="00E46176"/>
    <w:rsid w:val="00E5142F"/>
    <w:rsid w:val="00E5209F"/>
    <w:rsid w:val="00E5229E"/>
    <w:rsid w:val="00E536C4"/>
    <w:rsid w:val="00E53F71"/>
    <w:rsid w:val="00E547F9"/>
    <w:rsid w:val="00E55AD6"/>
    <w:rsid w:val="00E57A26"/>
    <w:rsid w:val="00E6275A"/>
    <w:rsid w:val="00E6343B"/>
    <w:rsid w:val="00E63518"/>
    <w:rsid w:val="00E7003D"/>
    <w:rsid w:val="00E7024B"/>
    <w:rsid w:val="00E70F6A"/>
    <w:rsid w:val="00E71342"/>
    <w:rsid w:val="00E71994"/>
    <w:rsid w:val="00E734CC"/>
    <w:rsid w:val="00E74911"/>
    <w:rsid w:val="00E74CCE"/>
    <w:rsid w:val="00E74E46"/>
    <w:rsid w:val="00E750B6"/>
    <w:rsid w:val="00E81A1E"/>
    <w:rsid w:val="00E8283C"/>
    <w:rsid w:val="00E846E8"/>
    <w:rsid w:val="00E84F3B"/>
    <w:rsid w:val="00E85AEB"/>
    <w:rsid w:val="00E85D5D"/>
    <w:rsid w:val="00E862FA"/>
    <w:rsid w:val="00E87B63"/>
    <w:rsid w:val="00E9156E"/>
    <w:rsid w:val="00E92522"/>
    <w:rsid w:val="00E94432"/>
    <w:rsid w:val="00E94E15"/>
    <w:rsid w:val="00E94F20"/>
    <w:rsid w:val="00E96523"/>
    <w:rsid w:val="00EA229A"/>
    <w:rsid w:val="00EA38FE"/>
    <w:rsid w:val="00EA3E8D"/>
    <w:rsid w:val="00EA5C00"/>
    <w:rsid w:val="00EA752A"/>
    <w:rsid w:val="00EB1851"/>
    <w:rsid w:val="00EB31F9"/>
    <w:rsid w:val="00EB3373"/>
    <w:rsid w:val="00EB3AAE"/>
    <w:rsid w:val="00EB7400"/>
    <w:rsid w:val="00EC12B2"/>
    <w:rsid w:val="00EC1F8C"/>
    <w:rsid w:val="00EC29C5"/>
    <w:rsid w:val="00EC2EF1"/>
    <w:rsid w:val="00EC3F50"/>
    <w:rsid w:val="00EC46A9"/>
    <w:rsid w:val="00ED0402"/>
    <w:rsid w:val="00ED1057"/>
    <w:rsid w:val="00ED1D4E"/>
    <w:rsid w:val="00ED6B62"/>
    <w:rsid w:val="00EF00AD"/>
    <w:rsid w:val="00EF0227"/>
    <w:rsid w:val="00EF0360"/>
    <w:rsid w:val="00EF0561"/>
    <w:rsid w:val="00EF1CDB"/>
    <w:rsid w:val="00EF1D3C"/>
    <w:rsid w:val="00EF1E39"/>
    <w:rsid w:val="00EF341D"/>
    <w:rsid w:val="00EF589F"/>
    <w:rsid w:val="00EF590E"/>
    <w:rsid w:val="00EF631C"/>
    <w:rsid w:val="00EF680A"/>
    <w:rsid w:val="00EF683F"/>
    <w:rsid w:val="00F01AE5"/>
    <w:rsid w:val="00F04584"/>
    <w:rsid w:val="00F06551"/>
    <w:rsid w:val="00F07FBC"/>
    <w:rsid w:val="00F105C5"/>
    <w:rsid w:val="00F1434A"/>
    <w:rsid w:val="00F16E3D"/>
    <w:rsid w:val="00F21D62"/>
    <w:rsid w:val="00F22CF2"/>
    <w:rsid w:val="00F25EAF"/>
    <w:rsid w:val="00F27E13"/>
    <w:rsid w:val="00F27FEF"/>
    <w:rsid w:val="00F33113"/>
    <w:rsid w:val="00F33C95"/>
    <w:rsid w:val="00F356E9"/>
    <w:rsid w:val="00F404F0"/>
    <w:rsid w:val="00F40507"/>
    <w:rsid w:val="00F407F7"/>
    <w:rsid w:val="00F40B6B"/>
    <w:rsid w:val="00F40DA8"/>
    <w:rsid w:val="00F45785"/>
    <w:rsid w:val="00F45BF9"/>
    <w:rsid w:val="00F4711E"/>
    <w:rsid w:val="00F5163D"/>
    <w:rsid w:val="00F51C35"/>
    <w:rsid w:val="00F5234A"/>
    <w:rsid w:val="00F54872"/>
    <w:rsid w:val="00F55A50"/>
    <w:rsid w:val="00F56A25"/>
    <w:rsid w:val="00F60ACF"/>
    <w:rsid w:val="00F614CE"/>
    <w:rsid w:val="00F6376E"/>
    <w:rsid w:val="00F667C1"/>
    <w:rsid w:val="00F67665"/>
    <w:rsid w:val="00F676F5"/>
    <w:rsid w:val="00F700D9"/>
    <w:rsid w:val="00F70C44"/>
    <w:rsid w:val="00F7567E"/>
    <w:rsid w:val="00F75DE0"/>
    <w:rsid w:val="00F77ADB"/>
    <w:rsid w:val="00F82E21"/>
    <w:rsid w:val="00F836D2"/>
    <w:rsid w:val="00F85EDF"/>
    <w:rsid w:val="00F868CF"/>
    <w:rsid w:val="00F90254"/>
    <w:rsid w:val="00F9180D"/>
    <w:rsid w:val="00F92732"/>
    <w:rsid w:val="00F935E4"/>
    <w:rsid w:val="00F945F8"/>
    <w:rsid w:val="00F94BA1"/>
    <w:rsid w:val="00F9533D"/>
    <w:rsid w:val="00F97322"/>
    <w:rsid w:val="00FA0DB1"/>
    <w:rsid w:val="00FA3394"/>
    <w:rsid w:val="00FA5726"/>
    <w:rsid w:val="00FA771A"/>
    <w:rsid w:val="00FA7DF3"/>
    <w:rsid w:val="00FB15EC"/>
    <w:rsid w:val="00FB352E"/>
    <w:rsid w:val="00FC1CB9"/>
    <w:rsid w:val="00FC379C"/>
    <w:rsid w:val="00FC4471"/>
    <w:rsid w:val="00FC5A4C"/>
    <w:rsid w:val="00FC5AD5"/>
    <w:rsid w:val="00FC7EF5"/>
    <w:rsid w:val="00FD09A4"/>
    <w:rsid w:val="00FD1672"/>
    <w:rsid w:val="00FD22CC"/>
    <w:rsid w:val="00FD5356"/>
    <w:rsid w:val="00FD5A97"/>
    <w:rsid w:val="00FD65A4"/>
    <w:rsid w:val="00FE254C"/>
    <w:rsid w:val="00FF360B"/>
    <w:rsid w:val="00FF4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E438D35E-75C1-4724-988C-08F0EC3F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E1148"/>
    <w:pPr>
      <w:spacing w:after="200" w:line="276" w:lineRule="auto"/>
    </w:pPr>
    <w:rPr>
      <w:lang w:val="nl-NL"/>
    </w:rPr>
  </w:style>
  <w:style w:type="paragraph" w:styleId="Kop1">
    <w:name w:val="heading 1"/>
    <w:basedOn w:val="Standaard"/>
    <w:next w:val="Standaard"/>
    <w:link w:val="Kop1Char"/>
    <w:uiPriority w:val="9"/>
    <w:qFormat/>
    <w:rsid w:val="008E1495"/>
    <w:pPr>
      <w:keepNext/>
      <w:keepLines/>
      <w:spacing w:before="480" w:after="0" w:line="360" w:lineRule="auto"/>
      <w:ind w:firstLine="709"/>
      <w:outlineLvl w:val="0"/>
    </w:pPr>
    <w:rPr>
      <w:rFonts w:asciiTheme="majorHAnsi" w:eastAsiaTheme="majorEastAsia" w:hAnsiTheme="majorHAnsi" w:cstheme="majorBidi"/>
      <w:b/>
      <w:bCs/>
      <w:color w:val="2E74B5" w:themeColor="accent1" w:themeShade="BF"/>
      <w:sz w:val="28"/>
      <w:szCs w:val="28"/>
      <w:lang w:eastAsia="nl-NL"/>
    </w:rPr>
  </w:style>
  <w:style w:type="paragraph" w:styleId="Kop4">
    <w:name w:val="heading 4"/>
    <w:basedOn w:val="Standaard"/>
    <w:next w:val="Standaard"/>
    <w:link w:val="Kop4Char"/>
    <w:uiPriority w:val="9"/>
    <w:semiHidden/>
    <w:unhideWhenUsed/>
    <w:qFormat/>
    <w:rsid w:val="0053701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6">
    <w:name w:val="heading 6"/>
    <w:basedOn w:val="Standaard"/>
    <w:link w:val="Kop6Char"/>
    <w:uiPriority w:val="9"/>
    <w:qFormat/>
    <w:rsid w:val="00B44C42"/>
    <w:pPr>
      <w:spacing w:before="100" w:beforeAutospacing="1" w:after="100" w:afterAutospacing="1" w:line="240" w:lineRule="auto"/>
      <w:outlineLvl w:val="5"/>
    </w:pPr>
    <w:rPr>
      <w:rFonts w:ascii="Times New Roman" w:eastAsia="Times New Roman" w:hAnsi="Times New Roman" w:cs="Times New Roman"/>
      <w:b/>
      <w:bCs/>
      <w:sz w:val="15"/>
      <w:szCs w:val="1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0D5CB8"/>
    <w:pPr>
      <w:ind w:left="720"/>
      <w:contextualSpacing/>
    </w:pPr>
  </w:style>
  <w:style w:type="character" w:styleId="Verwijzingopmerking">
    <w:name w:val="annotation reference"/>
    <w:basedOn w:val="Standaardalinea-lettertype"/>
    <w:uiPriority w:val="99"/>
    <w:semiHidden/>
    <w:unhideWhenUsed/>
    <w:rsid w:val="003B50DC"/>
    <w:rPr>
      <w:sz w:val="16"/>
      <w:szCs w:val="16"/>
    </w:rPr>
  </w:style>
  <w:style w:type="paragraph" w:styleId="Tekstopmerking">
    <w:name w:val="annotation text"/>
    <w:basedOn w:val="Standaard"/>
    <w:link w:val="TekstopmerkingChar"/>
    <w:uiPriority w:val="99"/>
    <w:unhideWhenUsed/>
    <w:rsid w:val="003B50DC"/>
    <w:pPr>
      <w:spacing w:line="240" w:lineRule="auto"/>
    </w:pPr>
    <w:rPr>
      <w:sz w:val="20"/>
      <w:szCs w:val="20"/>
    </w:rPr>
  </w:style>
  <w:style w:type="character" w:customStyle="1" w:styleId="TekstopmerkingChar">
    <w:name w:val="Tekst opmerking Char"/>
    <w:basedOn w:val="Standaardalinea-lettertype"/>
    <w:link w:val="Tekstopmerking"/>
    <w:uiPriority w:val="99"/>
    <w:rsid w:val="003B50DC"/>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3B50DC"/>
    <w:rPr>
      <w:b/>
      <w:bCs/>
    </w:rPr>
  </w:style>
  <w:style w:type="character" w:customStyle="1" w:styleId="OnderwerpvanopmerkingChar">
    <w:name w:val="Onderwerp van opmerking Char"/>
    <w:basedOn w:val="TekstopmerkingChar"/>
    <w:link w:val="Onderwerpvanopmerking"/>
    <w:uiPriority w:val="99"/>
    <w:semiHidden/>
    <w:rsid w:val="003B50DC"/>
    <w:rPr>
      <w:b/>
      <w:bCs/>
      <w:sz w:val="20"/>
      <w:szCs w:val="20"/>
      <w:lang w:val="nl-NL"/>
    </w:rPr>
  </w:style>
  <w:style w:type="paragraph" w:styleId="Ballontekst">
    <w:name w:val="Balloon Text"/>
    <w:basedOn w:val="Standaard"/>
    <w:link w:val="BallontekstChar"/>
    <w:uiPriority w:val="99"/>
    <w:semiHidden/>
    <w:unhideWhenUsed/>
    <w:rsid w:val="003B50DC"/>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3B50DC"/>
    <w:rPr>
      <w:rFonts w:ascii="Segoe UI" w:hAnsi="Segoe UI" w:cs="Segoe UI"/>
      <w:szCs w:val="18"/>
      <w:lang w:val="nl-NL"/>
    </w:rPr>
  </w:style>
  <w:style w:type="paragraph" w:styleId="Voetnoottekst">
    <w:name w:val="footnote text"/>
    <w:aliases w:val="Footnote text"/>
    <w:basedOn w:val="Standaard"/>
    <w:link w:val="VoetnoottekstChar"/>
    <w:uiPriority w:val="99"/>
    <w:unhideWhenUsed/>
    <w:rsid w:val="003B50DC"/>
    <w:pPr>
      <w:spacing w:after="0" w:line="240" w:lineRule="auto"/>
    </w:pPr>
    <w:rPr>
      <w:sz w:val="20"/>
      <w:szCs w:val="20"/>
    </w:rPr>
  </w:style>
  <w:style w:type="character" w:customStyle="1" w:styleId="VoetnoottekstChar">
    <w:name w:val="Voetnoottekst Char"/>
    <w:aliases w:val="Footnote text Char"/>
    <w:basedOn w:val="Standaardalinea-lettertype"/>
    <w:link w:val="Voetnoottekst"/>
    <w:uiPriority w:val="99"/>
    <w:rsid w:val="003B50DC"/>
    <w:rPr>
      <w:sz w:val="20"/>
      <w:szCs w:val="20"/>
      <w:lang w:val="nl-NL"/>
    </w:rPr>
  </w:style>
  <w:style w:type="character" w:styleId="Voetnootmarkering">
    <w:name w:val="footnote reference"/>
    <w:aliases w:val="Footnote Reference Number,E FNZ,-E Fußnotenzeichen,Footnote#,Footnote symbol,Footnote,Times 10 Point,Exposant 3 Point,Ref,de nota al pie,Footnote reference number,note TESI,SUPERS,EN Footnote Reference,number,FR,FR1"/>
    <w:basedOn w:val="Standaardalinea-lettertype"/>
    <w:uiPriority w:val="99"/>
    <w:unhideWhenUsed/>
    <w:rsid w:val="003B50DC"/>
    <w:rPr>
      <w:vertAlign w:val="superscript"/>
    </w:rPr>
  </w:style>
  <w:style w:type="paragraph" w:styleId="Citaat">
    <w:name w:val="Quote"/>
    <w:basedOn w:val="Standaard"/>
    <w:link w:val="CitaatChar"/>
    <w:uiPriority w:val="29"/>
    <w:qFormat/>
    <w:rsid w:val="003B50DC"/>
    <w:pPr>
      <w:widowControl w:val="0"/>
      <w:spacing w:after="0" w:line="240" w:lineRule="atLeast"/>
      <w:ind w:left="567"/>
    </w:pPr>
    <w:rPr>
      <w:rFonts w:eastAsia="Times New Roman" w:cs="Times New Roman"/>
      <w:i/>
      <w:iCs/>
      <w:color w:val="000000" w:themeColor="text1"/>
      <w:spacing w:val="5"/>
      <w:szCs w:val="20"/>
      <w:lang w:eastAsia="nl-NL"/>
    </w:rPr>
  </w:style>
  <w:style w:type="character" w:customStyle="1" w:styleId="CitaatChar">
    <w:name w:val="Citaat Char"/>
    <w:basedOn w:val="Standaardalinea-lettertype"/>
    <w:link w:val="Citaat"/>
    <w:uiPriority w:val="29"/>
    <w:rsid w:val="003B50DC"/>
    <w:rPr>
      <w:rFonts w:eastAsia="Times New Roman" w:cs="Times New Roman"/>
      <w:i/>
      <w:iCs/>
      <w:color w:val="000000" w:themeColor="text1"/>
      <w:spacing w:val="5"/>
      <w:szCs w:val="20"/>
      <w:lang w:val="nl-NL" w:eastAsia="nl-NL"/>
    </w:rPr>
  </w:style>
  <w:style w:type="character" w:styleId="Hyperlink">
    <w:name w:val="Hyperlink"/>
    <w:basedOn w:val="Standaardalinea-lettertype"/>
    <w:uiPriority w:val="99"/>
    <w:unhideWhenUsed/>
    <w:rsid w:val="00B85647"/>
    <w:rPr>
      <w:strike w:val="0"/>
      <w:dstrike w:val="0"/>
      <w:color w:val="428BCA"/>
      <w:u w:val="none"/>
      <w:effect w:val="none"/>
      <w:shd w:val="clear" w:color="auto" w:fill="auto"/>
    </w:rPr>
  </w:style>
  <w:style w:type="character" w:customStyle="1" w:styleId="wknlfootnotehref2">
    <w:name w:val="wknl_footnote_href2"/>
    <w:basedOn w:val="Standaardalinea-lettertype"/>
    <w:rsid w:val="00B85647"/>
  </w:style>
  <w:style w:type="character" w:styleId="Nadruk">
    <w:name w:val="Emphasis"/>
    <w:basedOn w:val="Standaardalinea-lettertype"/>
    <w:uiPriority w:val="20"/>
    <w:qFormat/>
    <w:rsid w:val="00B85647"/>
    <w:rPr>
      <w:i/>
      <w:iCs/>
    </w:rPr>
  </w:style>
  <w:style w:type="character" w:customStyle="1" w:styleId="wknlkopnr3">
    <w:name w:val="wknl_kopnr3"/>
    <w:basedOn w:val="Standaardalinea-lettertype"/>
    <w:rsid w:val="00B85647"/>
  </w:style>
  <w:style w:type="paragraph" w:styleId="Geenafstand">
    <w:name w:val="No Spacing"/>
    <w:uiPriority w:val="1"/>
    <w:qFormat/>
    <w:rsid w:val="00403753"/>
    <w:pPr>
      <w:spacing w:after="0" w:line="240" w:lineRule="auto"/>
    </w:pPr>
    <w:rPr>
      <w:lang w:val="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rsid w:val="009D6A0F"/>
    <w:rPr>
      <w:lang w:val="nl-NL"/>
    </w:rPr>
  </w:style>
  <w:style w:type="paragraph" w:styleId="Normaalweb">
    <w:name w:val="Normal (Web)"/>
    <w:basedOn w:val="Standaard"/>
    <w:uiPriority w:val="99"/>
    <w:semiHidden/>
    <w:unhideWhenUsed/>
    <w:rsid w:val="00B120C6"/>
    <w:pPr>
      <w:spacing w:after="150"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B25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255A"/>
    <w:rPr>
      <w:lang w:val="nl-NL"/>
    </w:rPr>
  </w:style>
  <w:style w:type="paragraph" w:styleId="Voettekst">
    <w:name w:val="footer"/>
    <w:basedOn w:val="Standaard"/>
    <w:link w:val="VoettekstChar"/>
    <w:uiPriority w:val="99"/>
    <w:unhideWhenUsed/>
    <w:rsid w:val="004B25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255A"/>
    <w:rPr>
      <w:lang w:val="nl-NL"/>
    </w:rPr>
  </w:style>
  <w:style w:type="character" w:styleId="Zwaar">
    <w:name w:val="Strong"/>
    <w:basedOn w:val="Standaardalinea-lettertype"/>
    <w:uiPriority w:val="22"/>
    <w:qFormat/>
    <w:rsid w:val="00217233"/>
    <w:rPr>
      <w:b/>
      <w:bCs/>
    </w:rPr>
  </w:style>
  <w:style w:type="character" w:customStyle="1" w:styleId="Kop6Char">
    <w:name w:val="Kop 6 Char"/>
    <w:basedOn w:val="Standaardalinea-lettertype"/>
    <w:link w:val="Kop6"/>
    <w:uiPriority w:val="9"/>
    <w:rsid w:val="00B44C42"/>
    <w:rPr>
      <w:rFonts w:ascii="Times New Roman" w:eastAsia="Times New Roman" w:hAnsi="Times New Roman" w:cs="Times New Roman"/>
      <w:b/>
      <w:bCs/>
      <w:sz w:val="15"/>
      <w:szCs w:val="15"/>
      <w:lang w:val="nl-NL" w:eastAsia="nl-NL"/>
    </w:rPr>
  </w:style>
  <w:style w:type="paragraph" w:customStyle="1" w:styleId="Default">
    <w:name w:val="Default"/>
    <w:rsid w:val="005F5E8A"/>
    <w:pPr>
      <w:autoSpaceDE w:val="0"/>
      <w:autoSpaceDN w:val="0"/>
      <w:adjustRightInd w:val="0"/>
      <w:spacing w:after="0" w:line="240" w:lineRule="auto"/>
    </w:pPr>
    <w:rPr>
      <w:rFonts w:ascii="Arial" w:hAnsi="Arial" w:cs="Arial"/>
      <w:color w:val="000000"/>
      <w:sz w:val="24"/>
      <w:szCs w:val="24"/>
      <w:lang w:val="nl-NL"/>
    </w:rPr>
  </w:style>
  <w:style w:type="paragraph" w:styleId="Revisie">
    <w:name w:val="Revision"/>
    <w:hidden/>
    <w:uiPriority w:val="99"/>
    <w:semiHidden/>
    <w:rsid w:val="00AB24F1"/>
    <w:pPr>
      <w:spacing w:after="0" w:line="240" w:lineRule="auto"/>
    </w:pPr>
    <w:rPr>
      <w:lang w:val="nl-NL"/>
    </w:rPr>
  </w:style>
  <w:style w:type="character" w:customStyle="1" w:styleId="wknlbron2">
    <w:name w:val="wknl_bron2"/>
    <w:basedOn w:val="Standaardalinea-lettertype"/>
    <w:rsid w:val="009D5D52"/>
  </w:style>
  <w:style w:type="paragraph" w:customStyle="1" w:styleId="Artikel">
    <w:name w:val="Artikel"/>
    <w:basedOn w:val="Standaard"/>
    <w:next w:val="Standaard"/>
    <w:rsid w:val="00BB173E"/>
    <w:pPr>
      <w:spacing w:after="0" w:line="360" w:lineRule="auto"/>
      <w:ind w:firstLine="709"/>
    </w:pPr>
    <w:rPr>
      <w:rFonts w:eastAsia="Times New Roman" w:cs="Times New Roman"/>
      <w:b/>
      <w:szCs w:val="20"/>
      <w:lang w:eastAsia="nl-NL"/>
    </w:rPr>
  </w:style>
  <w:style w:type="paragraph" w:customStyle="1" w:styleId="Laadpalen">
    <w:name w:val="Laadpalen"/>
    <w:basedOn w:val="Standaard"/>
    <w:qFormat/>
    <w:rsid w:val="008E1495"/>
    <w:pPr>
      <w:spacing w:after="0" w:line="360" w:lineRule="auto"/>
      <w:contextualSpacing/>
    </w:pPr>
    <w:rPr>
      <w:rFonts w:eastAsia="Times New Roman" w:cs="Times New Roman"/>
      <w:b/>
      <w:szCs w:val="18"/>
      <w:lang w:eastAsia="nl-NL"/>
    </w:rPr>
  </w:style>
  <w:style w:type="paragraph" w:styleId="Inhopg1">
    <w:name w:val="toc 1"/>
    <w:basedOn w:val="Standaard"/>
    <w:next w:val="Standaard"/>
    <w:autoRedefine/>
    <w:uiPriority w:val="39"/>
    <w:unhideWhenUsed/>
    <w:rsid w:val="00E94F20"/>
    <w:pPr>
      <w:tabs>
        <w:tab w:val="left" w:pos="1320"/>
        <w:tab w:val="right" w:leader="dot" w:pos="9062"/>
      </w:tabs>
      <w:spacing w:after="100"/>
      <w:ind w:firstLine="709"/>
      <w:jc w:val="both"/>
    </w:pPr>
    <w:rPr>
      <w:rFonts w:eastAsia="Times New Roman" w:cs="Times New Roman"/>
      <w:szCs w:val="20"/>
      <w:lang w:eastAsia="nl-NL"/>
    </w:rPr>
  </w:style>
  <w:style w:type="character" w:customStyle="1" w:styleId="Kop1Char">
    <w:name w:val="Kop 1 Char"/>
    <w:basedOn w:val="Standaardalinea-lettertype"/>
    <w:link w:val="Kop1"/>
    <w:uiPriority w:val="9"/>
    <w:rsid w:val="008E1495"/>
    <w:rPr>
      <w:rFonts w:asciiTheme="majorHAnsi" w:eastAsiaTheme="majorEastAsia" w:hAnsiTheme="majorHAnsi" w:cstheme="majorBidi"/>
      <w:b/>
      <w:bCs/>
      <w:color w:val="2E74B5" w:themeColor="accent1" w:themeShade="BF"/>
      <w:sz w:val="28"/>
      <w:szCs w:val="28"/>
      <w:lang w:val="nl-NL" w:eastAsia="nl-NL"/>
    </w:rPr>
  </w:style>
  <w:style w:type="character" w:styleId="GevolgdeHyperlink">
    <w:name w:val="FollowedHyperlink"/>
    <w:basedOn w:val="Standaardalinea-lettertype"/>
    <w:uiPriority w:val="99"/>
    <w:semiHidden/>
    <w:unhideWhenUsed/>
    <w:rsid w:val="001834C2"/>
    <w:rPr>
      <w:color w:val="954F72" w:themeColor="followedHyperlink"/>
      <w:u w:val="single"/>
    </w:rPr>
  </w:style>
  <w:style w:type="table" w:styleId="Tabelraster">
    <w:name w:val="Table Grid"/>
    <w:basedOn w:val="Standaardtabel"/>
    <w:uiPriority w:val="39"/>
    <w:rsid w:val="00A87B40"/>
    <w:pPr>
      <w:spacing w:after="0" w:line="240" w:lineRule="auto"/>
    </w:pPr>
    <w:rPr>
      <w:rFonts w:asciiTheme="minorHAnsi" w:hAnsiTheme="minorHAnsi"/>
      <w:sz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semiHidden/>
    <w:rsid w:val="0053701F"/>
    <w:rPr>
      <w:rFonts w:asciiTheme="majorHAnsi" w:eastAsiaTheme="majorEastAsia" w:hAnsiTheme="majorHAnsi" w:cstheme="majorBidi"/>
      <w:i/>
      <w:iCs/>
      <w:color w:val="2E74B5" w:themeColor="accent1" w:themeShade="BF"/>
      <w:lang w:val="nl-NL"/>
    </w:rPr>
  </w:style>
  <w:style w:type="paragraph" w:customStyle="1" w:styleId="al">
    <w:name w:val="al"/>
    <w:basedOn w:val="Standaard"/>
    <w:rsid w:val="0053701F"/>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Rastertabel4-Accent1">
    <w:name w:val="Grid Table 4 Accent 1"/>
    <w:basedOn w:val="Standaardtabel"/>
    <w:uiPriority w:val="49"/>
    <w:rsid w:val="005E1FE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Kopvaninhoudsopgave">
    <w:name w:val="TOC Heading"/>
    <w:basedOn w:val="Kop1"/>
    <w:next w:val="Standaard"/>
    <w:uiPriority w:val="39"/>
    <w:unhideWhenUsed/>
    <w:qFormat/>
    <w:rsid w:val="009B6ADE"/>
    <w:pPr>
      <w:spacing w:before="240" w:line="259" w:lineRule="auto"/>
      <w:ind w:firstLine="0"/>
      <w:outlineLvl w:val="9"/>
    </w:pPr>
    <w:rPr>
      <w:b w:val="0"/>
      <w:bCs w:val="0"/>
      <w:sz w:val="32"/>
      <w:szCs w:val="32"/>
    </w:rPr>
  </w:style>
  <w:style w:type="table" w:styleId="Rastertabel5donker-Accent1">
    <w:name w:val="Grid Table 5 Dark Accent 1"/>
    <w:basedOn w:val="Standaardtabel"/>
    <w:uiPriority w:val="50"/>
    <w:rsid w:val="00566C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8821">
      <w:bodyDiv w:val="1"/>
      <w:marLeft w:val="0"/>
      <w:marRight w:val="0"/>
      <w:marTop w:val="0"/>
      <w:marBottom w:val="0"/>
      <w:divBdr>
        <w:top w:val="none" w:sz="0" w:space="0" w:color="auto"/>
        <w:left w:val="none" w:sz="0" w:space="0" w:color="auto"/>
        <w:bottom w:val="none" w:sz="0" w:space="0" w:color="auto"/>
        <w:right w:val="none" w:sz="0" w:space="0" w:color="auto"/>
      </w:divBdr>
    </w:div>
    <w:div w:id="207494049">
      <w:bodyDiv w:val="1"/>
      <w:marLeft w:val="0"/>
      <w:marRight w:val="0"/>
      <w:marTop w:val="0"/>
      <w:marBottom w:val="0"/>
      <w:divBdr>
        <w:top w:val="none" w:sz="0" w:space="0" w:color="auto"/>
        <w:left w:val="none" w:sz="0" w:space="0" w:color="auto"/>
        <w:bottom w:val="none" w:sz="0" w:space="0" w:color="auto"/>
        <w:right w:val="none" w:sz="0" w:space="0" w:color="auto"/>
      </w:divBdr>
    </w:div>
    <w:div w:id="219948895">
      <w:bodyDiv w:val="1"/>
      <w:marLeft w:val="0"/>
      <w:marRight w:val="0"/>
      <w:marTop w:val="0"/>
      <w:marBottom w:val="0"/>
      <w:divBdr>
        <w:top w:val="none" w:sz="0" w:space="0" w:color="auto"/>
        <w:left w:val="none" w:sz="0" w:space="0" w:color="auto"/>
        <w:bottom w:val="none" w:sz="0" w:space="0" w:color="auto"/>
        <w:right w:val="none" w:sz="0" w:space="0" w:color="auto"/>
      </w:divBdr>
      <w:divsChild>
        <w:div w:id="2130317130">
          <w:marLeft w:val="0"/>
          <w:marRight w:val="0"/>
          <w:marTop w:val="0"/>
          <w:marBottom w:val="0"/>
          <w:divBdr>
            <w:top w:val="none" w:sz="0" w:space="0" w:color="auto"/>
            <w:left w:val="none" w:sz="0" w:space="0" w:color="auto"/>
            <w:bottom w:val="none" w:sz="0" w:space="0" w:color="auto"/>
            <w:right w:val="none" w:sz="0" w:space="0" w:color="auto"/>
          </w:divBdr>
          <w:divsChild>
            <w:div w:id="1654407539">
              <w:marLeft w:val="0"/>
              <w:marRight w:val="0"/>
              <w:marTop w:val="0"/>
              <w:marBottom w:val="0"/>
              <w:divBdr>
                <w:top w:val="none" w:sz="0" w:space="0" w:color="auto"/>
                <w:left w:val="none" w:sz="0" w:space="0" w:color="auto"/>
                <w:bottom w:val="none" w:sz="0" w:space="0" w:color="auto"/>
                <w:right w:val="none" w:sz="0" w:space="0" w:color="auto"/>
              </w:divBdr>
              <w:divsChild>
                <w:div w:id="1892309111">
                  <w:marLeft w:val="0"/>
                  <w:marRight w:val="0"/>
                  <w:marTop w:val="0"/>
                  <w:marBottom w:val="0"/>
                  <w:divBdr>
                    <w:top w:val="none" w:sz="0" w:space="0" w:color="auto"/>
                    <w:left w:val="none" w:sz="0" w:space="0" w:color="auto"/>
                    <w:bottom w:val="none" w:sz="0" w:space="0" w:color="auto"/>
                    <w:right w:val="none" w:sz="0" w:space="0" w:color="auto"/>
                  </w:divBdr>
                  <w:divsChild>
                    <w:div w:id="489953124">
                      <w:marLeft w:val="0"/>
                      <w:marRight w:val="0"/>
                      <w:marTop w:val="0"/>
                      <w:marBottom w:val="0"/>
                      <w:divBdr>
                        <w:top w:val="none" w:sz="0" w:space="0" w:color="auto"/>
                        <w:left w:val="none" w:sz="0" w:space="0" w:color="auto"/>
                        <w:bottom w:val="none" w:sz="0" w:space="0" w:color="auto"/>
                        <w:right w:val="none" w:sz="0" w:space="0" w:color="auto"/>
                      </w:divBdr>
                      <w:divsChild>
                        <w:div w:id="19659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286404">
      <w:bodyDiv w:val="1"/>
      <w:marLeft w:val="0"/>
      <w:marRight w:val="0"/>
      <w:marTop w:val="0"/>
      <w:marBottom w:val="0"/>
      <w:divBdr>
        <w:top w:val="none" w:sz="0" w:space="0" w:color="auto"/>
        <w:left w:val="none" w:sz="0" w:space="0" w:color="auto"/>
        <w:bottom w:val="none" w:sz="0" w:space="0" w:color="auto"/>
        <w:right w:val="none" w:sz="0" w:space="0" w:color="auto"/>
      </w:divBdr>
    </w:div>
    <w:div w:id="338704183">
      <w:bodyDiv w:val="1"/>
      <w:marLeft w:val="0"/>
      <w:marRight w:val="0"/>
      <w:marTop w:val="0"/>
      <w:marBottom w:val="0"/>
      <w:divBdr>
        <w:top w:val="none" w:sz="0" w:space="0" w:color="auto"/>
        <w:left w:val="none" w:sz="0" w:space="0" w:color="auto"/>
        <w:bottom w:val="none" w:sz="0" w:space="0" w:color="auto"/>
        <w:right w:val="none" w:sz="0" w:space="0" w:color="auto"/>
      </w:divBdr>
    </w:div>
    <w:div w:id="489253447">
      <w:bodyDiv w:val="1"/>
      <w:marLeft w:val="0"/>
      <w:marRight w:val="0"/>
      <w:marTop w:val="0"/>
      <w:marBottom w:val="0"/>
      <w:divBdr>
        <w:top w:val="none" w:sz="0" w:space="0" w:color="auto"/>
        <w:left w:val="none" w:sz="0" w:space="0" w:color="auto"/>
        <w:bottom w:val="none" w:sz="0" w:space="0" w:color="auto"/>
        <w:right w:val="none" w:sz="0" w:space="0" w:color="auto"/>
      </w:divBdr>
    </w:div>
    <w:div w:id="547305347">
      <w:bodyDiv w:val="1"/>
      <w:marLeft w:val="0"/>
      <w:marRight w:val="0"/>
      <w:marTop w:val="0"/>
      <w:marBottom w:val="0"/>
      <w:divBdr>
        <w:top w:val="none" w:sz="0" w:space="0" w:color="auto"/>
        <w:left w:val="none" w:sz="0" w:space="0" w:color="auto"/>
        <w:bottom w:val="none" w:sz="0" w:space="0" w:color="auto"/>
        <w:right w:val="none" w:sz="0" w:space="0" w:color="auto"/>
      </w:divBdr>
      <w:divsChild>
        <w:div w:id="1803226878">
          <w:marLeft w:val="0"/>
          <w:marRight w:val="0"/>
          <w:marTop w:val="0"/>
          <w:marBottom w:val="0"/>
          <w:divBdr>
            <w:top w:val="none" w:sz="0" w:space="0" w:color="auto"/>
            <w:left w:val="none" w:sz="0" w:space="0" w:color="auto"/>
            <w:bottom w:val="none" w:sz="0" w:space="0" w:color="auto"/>
            <w:right w:val="none" w:sz="0" w:space="0" w:color="auto"/>
          </w:divBdr>
          <w:divsChild>
            <w:div w:id="539826250">
              <w:marLeft w:val="0"/>
              <w:marRight w:val="0"/>
              <w:marTop w:val="0"/>
              <w:marBottom w:val="0"/>
              <w:divBdr>
                <w:top w:val="none" w:sz="0" w:space="0" w:color="auto"/>
                <w:left w:val="none" w:sz="0" w:space="0" w:color="auto"/>
                <w:bottom w:val="none" w:sz="0" w:space="0" w:color="auto"/>
                <w:right w:val="none" w:sz="0" w:space="0" w:color="auto"/>
              </w:divBdr>
              <w:divsChild>
                <w:div w:id="1051927775">
                  <w:marLeft w:val="0"/>
                  <w:marRight w:val="0"/>
                  <w:marTop w:val="0"/>
                  <w:marBottom w:val="0"/>
                  <w:divBdr>
                    <w:top w:val="none" w:sz="0" w:space="0" w:color="auto"/>
                    <w:left w:val="none" w:sz="0" w:space="0" w:color="auto"/>
                    <w:bottom w:val="none" w:sz="0" w:space="0" w:color="auto"/>
                    <w:right w:val="none" w:sz="0" w:space="0" w:color="auto"/>
                  </w:divBdr>
                  <w:divsChild>
                    <w:div w:id="1599872617">
                      <w:marLeft w:val="0"/>
                      <w:marRight w:val="0"/>
                      <w:marTop w:val="0"/>
                      <w:marBottom w:val="0"/>
                      <w:divBdr>
                        <w:top w:val="none" w:sz="0" w:space="0" w:color="auto"/>
                        <w:left w:val="none" w:sz="0" w:space="0" w:color="auto"/>
                        <w:bottom w:val="none" w:sz="0" w:space="0" w:color="auto"/>
                        <w:right w:val="none" w:sz="0" w:space="0" w:color="auto"/>
                      </w:divBdr>
                      <w:divsChild>
                        <w:div w:id="665523074">
                          <w:marLeft w:val="0"/>
                          <w:marRight w:val="0"/>
                          <w:marTop w:val="0"/>
                          <w:marBottom w:val="0"/>
                          <w:divBdr>
                            <w:top w:val="none" w:sz="0" w:space="0" w:color="auto"/>
                            <w:left w:val="none" w:sz="0" w:space="0" w:color="auto"/>
                            <w:bottom w:val="none" w:sz="0" w:space="0" w:color="auto"/>
                            <w:right w:val="none" w:sz="0" w:space="0" w:color="auto"/>
                          </w:divBdr>
                          <w:divsChild>
                            <w:div w:id="938217177">
                              <w:marLeft w:val="0"/>
                              <w:marRight w:val="0"/>
                              <w:marTop w:val="0"/>
                              <w:marBottom w:val="0"/>
                              <w:divBdr>
                                <w:top w:val="none" w:sz="0" w:space="0" w:color="auto"/>
                                <w:left w:val="none" w:sz="0" w:space="0" w:color="auto"/>
                                <w:bottom w:val="none" w:sz="0" w:space="0" w:color="auto"/>
                                <w:right w:val="none" w:sz="0" w:space="0" w:color="auto"/>
                              </w:divBdr>
                              <w:divsChild>
                                <w:div w:id="2023626798">
                                  <w:marLeft w:val="0"/>
                                  <w:marRight w:val="0"/>
                                  <w:marTop w:val="0"/>
                                  <w:marBottom w:val="0"/>
                                  <w:divBdr>
                                    <w:top w:val="none" w:sz="0" w:space="0" w:color="auto"/>
                                    <w:left w:val="none" w:sz="0" w:space="0" w:color="auto"/>
                                    <w:bottom w:val="none" w:sz="0" w:space="0" w:color="auto"/>
                                    <w:right w:val="none" w:sz="0" w:space="0" w:color="auto"/>
                                  </w:divBdr>
                                  <w:divsChild>
                                    <w:div w:id="1121067364">
                                      <w:marLeft w:val="0"/>
                                      <w:marRight w:val="0"/>
                                      <w:marTop w:val="0"/>
                                      <w:marBottom w:val="0"/>
                                      <w:divBdr>
                                        <w:top w:val="none" w:sz="0" w:space="0" w:color="auto"/>
                                        <w:left w:val="none" w:sz="0" w:space="0" w:color="auto"/>
                                        <w:bottom w:val="none" w:sz="0" w:space="0" w:color="auto"/>
                                        <w:right w:val="none" w:sz="0" w:space="0" w:color="auto"/>
                                      </w:divBdr>
                                      <w:divsChild>
                                        <w:div w:id="1753162356">
                                          <w:marLeft w:val="0"/>
                                          <w:marRight w:val="0"/>
                                          <w:marTop w:val="0"/>
                                          <w:marBottom w:val="0"/>
                                          <w:divBdr>
                                            <w:top w:val="none" w:sz="0" w:space="0" w:color="auto"/>
                                            <w:left w:val="none" w:sz="0" w:space="0" w:color="auto"/>
                                            <w:bottom w:val="none" w:sz="0" w:space="0" w:color="auto"/>
                                            <w:right w:val="none" w:sz="0" w:space="0" w:color="auto"/>
                                          </w:divBdr>
                                          <w:divsChild>
                                            <w:div w:id="1293948629">
                                              <w:marLeft w:val="0"/>
                                              <w:marRight w:val="0"/>
                                              <w:marTop w:val="0"/>
                                              <w:marBottom w:val="0"/>
                                              <w:divBdr>
                                                <w:top w:val="none" w:sz="0" w:space="0" w:color="auto"/>
                                                <w:left w:val="none" w:sz="0" w:space="0" w:color="auto"/>
                                                <w:bottom w:val="none" w:sz="0" w:space="0" w:color="auto"/>
                                                <w:right w:val="none" w:sz="0" w:space="0" w:color="auto"/>
                                              </w:divBdr>
                                              <w:divsChild>
                                                <w:div w:id="36591951">
                                                  <w:marLeft w:val="0"/>
                                                  <w:marRight w:val="0"/>
                                                  <w:marTop w:val="0"/>
                                                  <w:marBottom w:val="0"/>
                                                  <w:divBdr>
                                                    <w:top w:val="none" w:sz="0" w:space="0" w:color="auto"/>
                                                    <w:left w:val="none" w:sz="0" w:space="0" w:color="auto"/>
                                                    <w:bottom w:val="none" w:sz="0" w:space="0" w:color="auto"/>
                                                    <w:right w:val="none" w:sz="0" w:space="0" w:color="auto"/>
                                                  </w:divBdr>
                                                  <w:divsChild>
                                                    <w:div w:id="1470972516">
                                                      <w:marLeft w:val="0"/>
                                                      <w:marRight w:val="0"/>
                                                      <w:marTop w:val="0"/>
                                                      <w:marBottom w:val="0"/>
                                                      <w:divBdr>
                                                        <w:top w:val="none" w:sz="0" w:space="0" w:color="auto"/>
                                                        <w:left w:val="none" w:sz="0" w:space="0" w:color="auto"/>
                                                        <w:bottom w:val="none" w:sz="0" w:space="0" w:color="auto"/>
                                                        <w:right w:val="none" w:sz="0" w:space="0" w:color="auto"/>
                                                      </w:divBdr>
                                                      <w:divsChild>
                                                        <w:div w:id="941453168">
                                                          <w:marLeft w:val="0"/>
                                                          <w:marRight w:val="0"/>
                                                          <w:marTop w:val="0"/>
                                                          <w:marBottom w:val="0"/>
                                                          <w:divBdr>
                                                            <w:top w:val="none" w:sz="0" w:space="0" w:color="auto"/>
                                                            <w:left w:val="none" w:sz="0" w:space="0" w:color="auto"/>
                                                            <w:bottom w:val="none" w:sz="0" w:space="0" w:color="auto"/>
                                                            <w:right w:val="none" w:sz="0" w:space="0" w:color="auto"/>
                                                          </w:divBdr>
                                                          <w:divsChild>
                                                            <w:div w:id="1759448253">
                                                              <w:marLeft w:val="0"/>
                                                              <w:marRight w:val="0"/>
                                                              <w:marTop w:val="0"/>
                                                              <w:marBottom w:val="0"/>
                                                              <w:divBdr>
                                                                <w:top w:val="none" w:sz="0" w:space="0" w:color="auto"/>
                                                                <w:left w:val="none" w:sz="0" w:space="0" w:color="auto"/>
                                                                <w:bottom w:val="none" w:sz="0" w:space="0" w:color="auto"/>
                                                                <w:right w:val="none" w:sz="0" w:space="0" w:color="auto"/>
                                                              </w:divBdr>
                                                              <w:divsChild>
                                                                <w:div w:id="1969821684">
                                                                  <w:marLeft w:val="0"/>
                                                                  <w:marRight w:val="0"/>
                                                                  <w:marTop w:val="0"/>
                                                                  <w:marBottom w:val="0"/>
                                                                  <w:divBdr>
                                                                    <w:top w:val="none" w:sz="0" w:space="0" w:color="auto"/>
                                                                    <w:left w:val="none" w:sz="0" w:space="0" w:color="auto"/>
                                                                    <w:bottom w:val="none" w:sz="0" w:space="0" w:color="auto"/>
                                                                    <w:right w:val="none" w:sz="0" w:space="0" w:color="auto"/>
                                                                  </w:divBdr>
                                                                  <w:divsChild>
                                                                    <w:div w:id="1681542302">
                                                                      <w:marLeft w:val="0"/>
                                                                      <w:marRight w:val="0"/>
                                                                      <w:marTop w:val="0"/>
                                                                      <w:marBottom w:val="0"/>
                                                                      <w:divBdr>
                                                                        <w:top w:val="none" w:sz="0" w:space="0" w:color="auto"/>
                                                                        <w:left w:val="none" w:sz="0" w:space="0" w:color="auto"/>
                                                                        <w:bottom w:val="none" w:sz="0" w:space="0" w:color="auto"/>
                                                                        <w:right w:val="none" w:sz="0" w:space="0" w:color="auto"/>
                                                                      </w:divBdr>
                                                                      <w:divsChild>
                                                                        <w:div w:id="407847716">
                                                                          <w:marLeft w:val="0"/>
                                                                          <w:marRight w:val="0"/>
                                                                          <w:marTop w:val="0"/>
                                                                          <w:marBottom w:val="0"/>
                                                                          <w:divBdr>
                                                                            <w:top w:val="none" w:sz="0" w:space="0" w:color="auto"/>
                                                                            <w:left w:val="none" w:sz="0" w:space="0" w:color="auto"/>
                                                                            <w:bottom w:val="none" w:sz="0" w:space="0" w:color="auto"/>
                                                                            <w:right w:val="none" w:sz="0" w:space="0" w:color="auto"/>
                                                                          </w:divBdr>
                                                                          <w:divsChild>
                                                                            <w:div w:id="7798801">
                                                                              <w:marLeft w:val="0"/>
                                                                              <w:marRight w:val="0"/>
                                                                              <w:marTop w:val="0"/>
                                                                              <w:marBottom w:val="0"/>
                                                                              <w:divBdr>
                                                                                <w:top w:val="none" w:sz="0" w:space="0" w:color="auto"/>
                                                                                <w:left w:val="none" w:sz="0" w:space="0" w:color="auto"/>
                                                                                <w:bottom w:val="none" w:sz="0" w:space="0" w:color="auto"/>
                                                                                <w:right w:val="none" w:sz="0" w:space="0" w:color="auto"/>
                                                                              </w:divBdr>
                                                                              <w:divsChild>
                                                                                <w:div w:id="724842019">
                                                                                  <w:marLeft w:val="0"/>
                                                                                  <w:marRight w:val="0"/>
                                                                                  <w:marTop w:val="0"/>
                                                                                  <w:marBottom w:val="0"/>
                                                                                  <w:divBdr>
                                                                                    <w:top w:val="none" w:sz="0" w:space="0" w:color="auto"/>
                                                                                    <w:left w:val="none" w:sz="0" w:space="0" w:color="auto"/>
                                                                                    <w:bottom w:val="none" w:sz="0" w:space="0" w:color="auto"/>
                                                                                    <w:right w:val="none" w:sz="0" w:space="0" w:color="auto"/>
                                                                                  </w:divBdr>
                                                                                  <w:divsChild>
                                                                                    <w:div w:id="529879777">
                                                                                      <w:marLeft w:val="0"/>
                                                                                      <w:marRight w:val="0"/>
                                                                                      <w:marTop w:val="0"/>
                                                                                      <w:marBottom w:val="0"/>
                                                                                      <w:divBdr>
                                                                                        <w:top w:val="none" w:sz="0" w:space="0" w:color="auto"/>
                                                                                        <w:left w:val="none" w:sz="0" w:space="0" w:color="auto"/>
                                                                                        <w:bottom w:val="none" w:sz="0" w:space="0" w:color="auto"/>
                                                                                        <w:right w:val="none" w:sz="0" w:space="0" w:color="auto"/>
                                                                                      </w:divBdr>
                                                                                      <w:divsChild>
                                                                                        <w:div w:id="1275861929">
                                                                                          <w:marLeft w:val="0"/>
                                                                                          <w:marRight w:val="0"/>
                                                                                          <w:marTop w:val="0"/>
                                                                                          <w:marBottom w:val="0"/>
                                                                                          <w:divBdr>
                                                                                            <w:top w:val="none" w:sz="0" w:space="0" w:color="auto"/>
                                                                                            <w:left w:val="none" w:sz="0" w:space="0" w:color="auto"/>
                                                                                            <w:bottom w:val="none" w:sz="0" w:space="0" w:color="auto"/>
                                                                                            <w:right w:val="none" w:sz="0" w:space="0" w:color="auto"/>
                                                                                          </w:divBdr>
                                                                                          <w:divsChild>
                                                                                            <w:div w:id="1647322133">
                                                                                              <w:marLeft w:val="0"/>
                                                                                              <w:marRight w:val="0"/>
                                                                                              <w:marTop w:val="0"/>
                                                                                              <w:marBottom w:val="0"/>
                                                                                              <w:divBdr>
                                                                                                <w:top w:val="none" w:sz="0" w:space="0" w:color="auto"/>
                                                                                                <w:left w:val="none" w:sz="0" w:space="0" w:color="auto"/>
                                                                                                <w:bottom w:val="none" w:sz="0" w:space="0" w:color="auto"/>
                                                                                                <w:right w:val="none" w:sz="0" w:space="0" w:color="auto"/>
                                                                                              </w:divBdr>
                                                                                              <w:divsChild>
                                                                                                <w:div w:id="416023696">
                                                                                                  <w:marLeft w:val="0"/>
                                                                                                  <w:marRight w:val="0"/>
                                                                                                  <w:marTop w:val="0"/>
                                                                                                  <w:marBottom w:val="0"/>
                                                                                                  <w:divBdr>
                                                                                                    <w:top w:val="none" w:sz="0" w:space="0" w:color="auto"/>
                                                                                                    <w:left w:val="none" w:sz="0" w:space="0" w:color="auto"/>
                                                                                                    <w:bottom w:val="none" w:sz="0" w:space="0" w:color="auto"/>
                                                                                                    <w:right w:val="none" w:sz="0" w:space="0" w:color="auto"/>
                                                                                                  </w:divBdr>
                                                                                                  <w:divsChild>
                                                                                                    <w:div w:id="944072972">
                                                                                                      <w:marLeft w:val="0"/>
                                                                                                      <w:marRight w:val="0"/>
                                                                                                      <w:marTop w:val="0"/>
                                                                                                      <w:marBottom w:val="0"/>
                                                                                                      <w:divBdr>
                                                                                                        <w:top w:val="none" w:sz="0" w:space="0" w:color="auto"/>
                                                                                                        <w:left w:val="none" w:sz="0" w:space="0" w:color="auto"/>
                                                                                                        <w:bottom w:val="none" w:sz="0" w:space="0" w:color="auto"/>
                                                                                                        <w:right w:val="none" w:sz="0" w:space="0" w:color="auto"/>
                                                                                                      </w:divBdr>
                                                                                                    </w:div>
                                                                                                    <w:div w:id="245725108">
                                                                                                      <w:marLeft w:val="0"/>
                                                                                                      <w:marRight w:val="0"/>
                                                                                                      <w:marTop w:val="0"/>
                                                                                                      <w:marBottom w:val="0"/>
                                                                                                      <w:divBdr>
                                                                                                        <w:top w:val="none" w:sz="0" w:space="0" w:color="auto"/>
                                                                                                        <w:left w:val="none" w:sz="0" w:space="0" w:color="auto"/>
                                                                                                        <w:bottom w:val="none" w:sz="0" w:space="0" w:color="auto"/>
                                                                                                        <w:right w:val="none" w:sz="0" w:space="0" w:color="auto"/>
                                                                                                      </w:divBdr>
                                                                                                    </w:div>
                                                                                                    <w:div w:id="1606188999">
                                                                                                      <w:marLeft w:val="0"/>
                                                                                                      <w:marRight w:val="0"/>
                                                                                                      <w:marTop w:val="0"/>
                                                                                                      <w:marBottom w:val="0"/>
                                                                                                      <w:divBdr>
                                                                                                        <w:top w:val="none" w:sz="0" w:space="0" w:color="auto"/>
                                                                                                        <w:left w:val="none" w:sz="0" w:space="0" w:color="auto"/>
                                                                                                        <w:bottom w:val="none" w:sz="0" w:space="0" w:color="auto"/>
                                                                                                        <w:right w:val="none" w:sz="0" w:space="0" w:color="auto"/>
                                                                                                      </w:divBdr>
                                                                                                      <w:divsChild>
                                                                                                        <w:div w:id="1748916246">
                                                                                                          <w:marLeft w:val="0"/>
                                                                                                          <w:marRight w:val="0"/>
                                                                                                          <w:marTop w:val="0"/>
                                                                                                          <w:marBottom w:val="0"/>
                                                                                                          <w:divBdr>
                                                                                                            <w:top w:val="none" w:sz="0" w:space="0" w:color="auto"/>
                                                                                                            <w:left w:val="none" w:sz="0" w:space="0" w:color="auto"/>
                                                                                                            <w:bottom w:val="none" w:sz="0" w:space="0" w:color="auto"/>
                                                                                                            <w:right w:val="none" w:sz="0" w:space="0" w:color="auto"/>
                                                                                                          </w:divBdr>
                                                                                                        </w:div>
                                                                                                        <w:div w:id="781075943">
                                                                                                          <w:marLeft w:val="0"/>
                                                                                                          <w:marRight w:val="0"/>
                                                                                                          <w:marTop w:val="0"/>
                                                                                                          <w:marBottom w:val="0"/>
                                                                                                          <w:divBdr>
                                                                                                            <w:top w:val="none" w:sz="0" w:space="0" w:color="auto"/>
                                                                                                            <w:left w:val="none" w:sz="0" w:space="0" w:color="auto"/>
                                                                                                            <w:bottom w:val="none" w:sz="0" w:space="0" w:color="auto"/>
                                                                                                            <w:right w:val="none" w:sz="0" w:space="0" w:color="auto"/>
                                                                                                          </w:divBdr>
                                                                                                          <w:divsChild>
                                                                                                            <w:div w:id="64185122">
                                                                                                              <w:marLeft w:val="0"/>
                                                                                                              <w:marRight w:val="0"/>
                                                                                                              <w:marTop w:val="0"/>
                                                                                                              <w:marBottom w:val="0"/>
                                                                                                              <w:divBdr>
                                                                                                                <w:top w:val="none" w:sz="0" w:space="0" w:color="auto"/>
                                                                                                                <w:left w:val="none" w:sz="0" w:space="0" w:color="auto"/>
                                                                                                                <w:bottom w:val="none" w:sz="0" w:space="0" w:color="auto"/>
                                                                                                                <w:right w:val="none" w:sz="0" w:space="0" w:color="auto"/>
                                                                                                              </w:divBdr>
                                                                                                              <w:divsChild>
                                                                                                                <w:div w:id="158263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52939">
                                                                                                          <w:marLeft w:val="0"/>
                                                                                                          <w:marRight w:val="0"/>
                                                                                                          <w:marTop w:val="0"/>
                                                                                                          <w:marBottom w:val="0"/>
                                                                                                          <w:divBdr>
                                                                                                            <w:top w:val="none" w:sz="0" w:space="0" w:color="auto"/>
                                                                                                            <w:left w:val="none" w:sz="0" w:space="0" w:color="auto"/>
                                                                                                            <w:bottom w:val="none" w:sz="0" w:space="0" w:color="auto"/>
                                                                                                            <w:right w:val="none" w:sz="0" w:space="0" w:color="auto"/>
                                                                                                          </w:divBdr>
                                                                                                        </w:div>
                                                                                                        <w:div w:id="221599633">
                                                                                                          <w:marLeft w:val="0"/>
                                                                                                          <w:marRight w:val="0"/>
                                                                                                          <w:marTop w:val="0"/>
                                                                                                          <w:marBottom w:val="0"/>
                                                                                                          <w:divBdr>
                                                                                                            <w:top w:val="none" w:sz="0" w:space="0" w:color="auto"/>
                                                                                                            <w:left w:val="none" w:sz="0" w:space="0" w:color="auto"/>
                                                                                                            <w:bottom w:val="none" w:sz="0" w:space="0" w:color="auto"/>
                                                                                                            <w:right w:val="none" w:sz="0" w:space="0" w:color="auto"/>
                                                                                                          </w:divBdr>
                                                                                                          <w:divsChild>
                                                                                                            <w:div w:id="358437417">
                                                                                                              <w:marLeft w:val="0"/>
                                                                                                              <w:marRight w:val="0"/>
                                                                                                              <w:marTop w:val="0"/>
                                                                                                              <w:marBottom w:val="0"/>
                                                                                                              <w:divBdr>
                                                                                                                <w:top w:val="none" w:sz="0" w:space="0" w:color="auto"/>
                                                                                                                <w:left w:val="none" w:sz="0" w:space="0" w:color="auto"/>
                                                                                                                <w:bottom w:val="none" w:sz="0" w:space="0" w:color="auto"/>
                                                                                                                <w:right w:val="none" w:sz="0" w:space="0" w:color="auto"/>
                                                                                                              </w:divBdr>
                                                                                                              <w:divsChild>
                                                                                                                <w:div w:id="14150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54040">
                                                                                                          <w:marLeft w:val="0"/>
                                                                                                          <w:marRight w:val="0"/>
                                                                                                          <w:marTop w:val="0"/>
                                                                                                          <w:marBottom w:val="0"/>
                                                                                                          <w:divBdr>
                                                                                                            <w:top w:val="none" w:sz="0" w:space="0" w:color="auto"/>
                                                                                                            <w:left w:val="none" w:sz="0" w:space="0" w:color="auto"/>
                                                                                                            <w:bottom w:val="none" w:sz="0" w:space="0" w:color="auto"/>
                                                                                                            <w:right w:val="none" w:sz="0" w:space="0" w:color="auto"/>
                                                                                                          </w:divBdr>
                                                                                                        </w:div>
                                                                                                        <w:div w:id="2075814625">
                                                                                                          <w:marLeft w:val="0"/>
                                                                                                          <w:marRight w:val="0"/>
                                                                                                          <w:marTop w:val="0"/>
                                                                                                          <w:marBottom w:val="0"/>
                                                                                                          <w:divBdr>
                                                                                                            <w:top w:val="none" w:sz="0" w:space="0" w:color="auto"/>
                                                                                                            <w:left w:val="none" w:sz="0" w:space="0" w:color="auto"/>
                                                                                                            <w:bottom w:val="none" w:sz="0" w:space="0" w:color="auto"/>
                                                                                                            <w:right w:val="none" w:sz="0" w:space="0" w:color="auto"/>
                                                                                                          </w:divBdr>
                                                                                                          <w:divsChild>
                                                                                                            <w:div w:id="1694921719">
                                                                                                              <w:marLeft w:val="0"/>
                                                                                                              <w:marRight w:val="0"/>
                                                                                                              <w:marTop w:val="0"/>
                                                                                                              <w:marBottom w:val="0"/>
                                                                                                              <w:divBdr>
                                                                                                                <w:top w:val="none" w:sz="0" w:space="0" w:color="auto"/>
                                                                                                                <w:left w:val="none" w:sz="0" w:space="0" w:color="auto"/>
                                                                                                                <w:bottom w:val="none" w:sz="0" w:space="0" w:color="auto"/>
                                                                                                                <w:right w:val="none" w:sz="0" w:space="0" w:color="auto"/>
                                                                                                              </w:divBdr>
                                                                                                              <w:divsChild>
                                                                                                                <w:div w:id="8927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059868">
                                                                                                  <w:marLeft w:val="0"/>
                                                                                                  <w:marRight w:val="0"/>
                                                                                                  <w:marTop w:val="0"/>
                                                                                                  <w:marBottom w:val="0"/>
                                                                                                  <w:divBdr>
                                                                                                    <w:top w:val="none" w:sz="0" w:space="0" w:color="auto"/>
                                                                                                    <w:left w:val="none" w:sz="0" w:space="0" w:color="auto"/>
                                                                                                    <w:bottom w:val="none" w:sz="0" w:space="0" w:color="auto"/>
                                                                                                    <w:right w:val="none" w:sz="0" w:space="0" w:color="auto"/>
                                                                                                  </w:divBdr>
                                                                                                  <w:divsChild>
                                                                                                    <w:div w:id="2851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348989">
      <w:bodyDiv w:val="1"/>
      <w:marLeft w:val="0"/>
      <w:marRight w:val="0"/>
      <w:marTop w:val="0"/>
      <w:marBottom w:val="0"/>
      <w:divBdr>
        <w:top w:val="none" w:sz="0" w:space="0" w:color="auto"/>
        <w:left w:val="none" w:sz="0" w:space="0" w:color="auto"/>
        <w:bottom w:val="none" w:sz="0" w:space="0" w:color="auto"/>
        <w:right w:val="none" w:sz="0" w:space="0" w:color="auto"/>
      </w:divBdr>
      <w:divsChild>
        <w:div w:id="182864087">
          <w:marLeft w:val="0"/>
          <w:marRight w:val="0"/>
          <w:marTop w:val="0"/>
          <w:marBottom w:val="0"/>
          <w:divBdr>
            <w:top w:val="none" w:sz="0" w:space="0" w:color="auto"/>
            <w:left w:val="none" w:sz="0" w:space="0" w:color="auto"/>
            <w:bottom w:val="none" w:sz="0" w:space="0" w:color="auto"/>
            <w:right w:val="none" w:sz="0" w:space="0" w:color="auto"/>
          </w:divBdr>
          <w:divsChild>
            <w:div w:id="7104806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572348957">
      <w:bodyDiv w:val="1"/>
      <w:marLeft w:val="0"/>
      <w:marRight w:val="0"/>
      <w:marTop w:val="0"/>
      <w:marBottom w:val="0"/>
      <w:divBdr>
        <w:top w:val="none" w:sz="0" w:space="0" w:color="auto"/>
        <w:left w:val="none" w:sz="0" w:space="0" w:color="auto"/>
        <w:bottom w:val="none" w:sz="0" w:space="0" w:color="auto"/>
        <w:right w:val="none" w:sz="0" w:space="0" w:color="auto"/>
      </w:divBdr>
    </w:div>
    <w:div w:id="583419582">
      <w:bodyDiv w:val="1"/>
      <w:marLeft w:val="0"/>
      <w:marRight w:val="0"/>
      <w:marTop w:val="0"/>
      <w:marBottom w:val="0"/>
      <w:divBdr>
        <w:top w:val="none" w:sz="0" w:space="0" w:color="auto"/>
        <w:left w:val="none" w:sz="0" w:space="0" w:color="auto"/>
        <w:bottom w:val="none" w:sz="0" w:space="0" w:color="auto"/>
        <w:right w:val="none" w:sz="0" w:space="0" w:color="auto"/>
      </w:divBdr>
    </w:div>
    <w:div w:id="613445563">
      <w:bodyDiv w:val="1"/>
      <w:marLeft w:val="0"/>
      <w:marRight w:val="0"/>
      <w:marTop w:val="0"/>
      <w:marBottom w:val="0"/>
      <w:divBdr>
        <w:top w:val="none" w:sz="0" w:space="0" w:color="auto"/>
        <w:left w:val="none" w:sz="0" w:space="0" w:color="auto"/>
        <w:bottom w:val="none" w:sz="0" w:space="0" w:color="auto"/>
        <w:right w:val="none" w:sz="0" w:space="0" w:color="auto"/>
      </w:divBdr>
    </w:div>
    <w:div w:id="659384322">
      <w:bodyDiv w:val="1"/>
      <w:marLeft w:val="0"/>
      <w:marRight w:val="0"/>
      <w:marTop w:val="0"/>
      <w:marBottom w:val="0"/>
      <w:divBdr>
        <w:top w:val="none" w:sz="0" w:space="0" w:color="auto"/>
        <w:left w:val="none" w:sz="0" w:space="0" w:color="auto"/>
        <w:bottom w:val="none" w:sz="0" w:space="0" w:color="auto"/>
        <w:right w:val="none" w:sz="0" w:space="0" w:color="auto"/>
      </w:divBdr>
    </w:div>
    <w:div w:id="695737050">
      <w:bodyDiv w:val="1"/>
      <w:marLeft w:val="0"/>
      <w:marRight w:val="0"/>
      <w:marTop w:val="0"/>
      <w:marBottom w:val="0"/>
      <w:divBdr>
        <w:top w:val="none" w:sz="0" w:space="0" w:color="auto"/>
        <w:left w:val="none" w:sz="0" w:space="0" w:color="auto"/>
        <w:bottom w:val="none" w:sz="0" w:space="0" w:color="auto"/>
        <w:right w:val="none" w:sz="0" w:space="0" w:color="auto"/>
      </w:divBdr>
    </w:div>
    <w:div w:id="746073608">
      <w:bodyDiv w:val="1"/>
      <w:marLeft w:val="0"/>
      <w:marRight w:val="0"/>
      <w:marTop w:val="0"/>
      <w:marBottom w:val="0"/>
      <w:divBdr>
        <w:top w:val="none" w:sz="0" w:space="0" w:color="auto"/>
        <w:left w:val="none" w:sz="0" w:space="0" w:color="auto"/>
        <w:bottom w:val="none" w:sz="0" w:space="0" w:color="auto"/>
        <w:right w:val="none" w:sz="0" w:space="0" w:color="auto"/>
      </w:divBdr>
      <w:divsChild>
        <w:div w:id="1182354642">
          <w:marLeft w:val="0"/>
          <w:marRight w:val="0"/>
          <w:marTop w:val="0"/>
          <w:marBottom w:val="0"/>
          <w:divBdr>
            <w:top w:val="none" w:sz="0" w:space="0" w:color="auto"/>
            <w:left w:val="none" w:sz="0" w:space="0" w:color="auto"/>
            <w:bottom w:val="none" w:sz="0" w:space="0" w:color="auto"/>
            <w:right w:val="none" w:sz="0" w:space="0" w:color="auto"/>
          </w:divBdr>
          <w:divsChild>
            <w:div w:id="22023521">
              <w:marLeft w:val="0"/>
              <w:marRight w:val="0"/>
              <w:marTop w:val="0"/>
              <w:marBottom w:val="0"/>
              <w:divBdr>
                <w:top w:val="none" w:sz="0" w:space="0" w:color="auto"/>
                <w:left w:val="none" w:sz="0" w:space="0" w:color="auto"/>
                <w:bottom w:val="none" w:sz="0" w:space="0" w:color="auto"/>
                <w:right w:val="none" w:sz="0" w:space="0" w:color="auto"/>
              </w:divBdr>
              <w:divsChild>
                <w:div w:id="99760636">
                  <w:marLeft w:val="0"/>
                  <w:marRight w:val="0"/>
                  <w:marTop w:val="0"/>
                  <w:marBottom w:val="0"/>
                  <w:divBdr>
                    <w:top w:val="none" w:sz="0" w:space="0" w:color="auto"/>
                    <w:left w:val="none" w:sz="0" w:space="0" w:color="auto"/>
                    <w:bottom w:val="none" w:sz="0" w:space="0" w:color="auto"/>
                    <w:right w:val="none" w:sz="0" w:space="0" w:color="auto"/>
                  </w:divBdr>
                  <w:divsChild>
                    <w:div w:id="18868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606106">
      <w:bodyDiv w:val="1"/>
      <w:marLeft w:val="0"/>
      <w:marRight w:val="0"/>
      <w:marTop w:val="0"/>
      <w:marBottom w:val="0"/>
      <w:divBdr>
        <w:top w:val="none" w:sz="0" w:space="0" w:color="auto"/>
        <w:left w:val="none" w:sz="0" w:space="0" w:color="auto"/>
        <w:bottom w:val="none" w:sz="0" w:space="0" w:color="auto"/>
        <w:right w:val="none" w:sz="0" w:space="0" w:color="auto"/>
      </w:divBdr>
    </w:div>
    <w:div w:id="797725009">
      <w:bodyDiv w:val="1"/>
      <w:marLeft w:val="0"/>
      <w:marRight w:val="0"/>
      <w:marTop w:val="0"/>
      <w:marBottom w:val="0"/>
      <w:divBdr>
        <w:top w:val="none" w:sz="0" w:space="0" w:color="auto"/>
        <w:left w:val="none" w:sz="0" w:space="0" w:color="auto"/>
        <w:bottom w:val="none" w:sz="0" w:space="0" w:color="auto"/>
        <w:right w:val="none" w:sz="0" w:space="0" w:color="auto"/>
      </w:divBdr>
    </w:div>
    <w:div w:id="800850297">
      <w:bodyDiv w:val="1"/>
      <w:marLeft w:val="0"/>
      <w:marRight w:val="0"/>
      <w:marTop w:val="0"/>
      <w:marBottom w:val="0"/>
      <w:divBdr>
        <w:top w:val="none" w:sz="0" w:space="0" w:color="auto"/>
        <w:left w:val="none" w:sz="0" w:space="0" w:color="auto"/>
        <w:bottom w:val="none" w:sz="0" w:space="0" w:color="auto"/>
        <w:right w:val="none" w:sz="0" w:space="0" w:color="auto"/>
      </w:divBdr>
    </w:div>
    <w:div w:id="956595082">
      <w:bodyDiv w:val="1"/>
      <w:marLeft w:val="0"/>
      <w:marRight w:val="0"/>
      <w:marTop w:val="0"/>
      <w:marBottom w:val="0"/>
      <w:divBdr>
        <w:top w:val="none" w:sz="0" w:space="0" w:color="auto"/>
        <w:left w:val="none" w:sz="0" w:space="0" w:color="auto"/>
        <w:bottom w:val="none" w:sz="0" w:space="0" w:color="auto"/>
        <w:right w:val="none" w:sz="0" w:space="0" w:color="auto"/>
      </w:divBdr>
    </w:div>
    <w:div w:id="994258679">
      <w:bodyDiv w:val="1"/>
      <w:marLeft w:val="0"/>
      <w:marRight w:val="0"/>
      <w:marTop w:val="0"/>
      <w:marBottom w:val="0"/>
      <w:divBdr>
        <w:top w:val="none" w:sz="0" w:space="0" w:color="auto"/>
        <w:left w:val="none" w:sz="0" w:space="0" w:color="auto"/>
        <w:bottom w:val="none" w:sz="0" w:space="0" w:color="auto"/>
        <w:right w:val="none" w:sz="0" w:space="0" w:color="auto"/>
      </w:divBdr>
      <w:divsChild>
        <w:div w:id="1093745546">
          <w:marLeft w:val="0"/>
          <w:marRight w:val="0"/>
          <w:marTop w:val="0"/>
          <w:marBottom w:val="0"/>
          <w:divBdr>
            <w:top w:val="none" w:sz="0" w:space="0" w:color="auto"/>
            <w:left w:val="none" w:sz="0" w:space="0" w:color="auto"/>
            <w:bottom w:val="none" w:sz="0" w:space="0" w:color="auto"/>
            <w:right w:val="none" w:sz="0" w:space="0" w:color="auto"/>
          </w:divBdr>
          <w:divsChild>
            <w:div w:id="1368406979">
              <w:marLeft w:val="0"/>
              <w:marRight w:val="0"/>
              <w:marTop w:val="0"/>
              <w:marBottom w:val="0"/>
              <w:divBdr>
                <w:top w:val="none" w:sz="0" w:space="0" w:color="auto"/>
                <w:left w:val="none" w:sz="0" w:space="0" w:color="auto"/>
                <w:bottom w:val="none" w:sz="0" w:space="0" w:color="auto"/>
                <w:right w:val="none" w:sz="0" w:space="0" w:color="auto"/>
              </w:divBdr>
              <w:divsChild>
                <w:div w:id="1427187413">
                  <w:marLeft w:val="0"/>
                  <w:marRight w:val="0"/>
                  <w:marTop w:val="0"/>
                  <w:marBottom w:val="0"/>
                  <w:divBdr>
                    <w:top w:val="none" w:sz="0" w:space="0" w:color="auto"/>
                    <w:left w:val="none" w:sz="0" w:space="0" w:color="auto"/>
                    <w:bottom w:val="none" w:sz="0" w:space="0" w:color="auto"/>
                    <w:right w:val="none" w:sz="0" w:space="0" w:color="auto"/>
                  </w:divBdr>
                  <w:divsChild>
                    <w:div w:id="3301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60001">
      <w:bodyDiv w:val="1"/>
      <w:marLeft w:val="0"/>
      <w:marRight w:val="0"/>
      <w:marTop w:val="0"/>
      <w:marBottom w:val="0"/>
      <w:divBdr>
        <w:top w:val="none" w:sz="0" w:space="0" w:color="auto"/>
        <w:left w:val="none" w:sz="0" w:space="0" w:color="auto"/>
        <w:bottom w:val="none" w:sz="0" w:space="0" w:color="auto"/>
        <w:right w:val="none" w:sz="0" w:space="0" w:color="auto"/>
      </w:divBdr>
      <w:divsChild>
        <w:div w:id="220672382">
          <w:marLeft w:val="0"/>
          <w:marRight w:val="0"/>
          <w:marTop w:val="0"/>
          <w:marBottom w:val="0"/>
          <w:divBdr>
            <w:top w:val="none" w:sz="0" w:space="0" w:color="auto"/>
            <w:left w:val="none" w:sz="0" w:space="0" w:color="auto"/>
            <w:bottom w:val="none" w:sz="0" w:space="0" w:color="auto"/>
            <w:right w:val="none" w:sz="0" w:space="0" w:color="auto"/>
          </w:divBdr>
          <w:divsChild>
            <w:div w:id="271397932">
              <w:marLeft w:val="0"/>
              <w:marRight w:val="0"/>
              <w:marTop w:val="0"/>
              <w:marBottom w:val="0"/>
              <w:divBdr>
                <w:top w:val="none" w:sz="0" w:space="0" w:color="auto"/>
                <w:left w:val="none" w:sz="0" w:space="0" w:color="auto"/>
                <w:bottom w:val="none" w:sz="0" w:space="0" w:color="auto"/>
                <w:right w:val="none" w:sz="0" w:space="0" w:color="auto"/>
              </w:divBdr>
              <w:divsChild>
                <w:div w:id="1537423571">
                  <w:marLeft w:val="0"/>
                  <w:marRight w:val="0"/>
                  <w:marTop w:val="0"/>
                  <w:marBottom w:val="0"/>
                  <w:divBdr>
                    <w:top w:val="none" w:sz="0" w:space="0" w:color="auto"/>
                    <w:left w:val="none" w:sz="0" w:space="0" w:color="auto"/>
                    <w:bottom w:val="none" w:sz="0" w:space="0" w:color="auto"/>
                    <w:right w:val="none" w:sz="0" w:space="0" w:color="auto"/>
                  </w:divBdr>
                  <w:divsChild>
                    <w:div w:id="2060981125">
                      <w:marLeft w:val="0"/>
                      <w:marRight w:val="0"/>
                      <w:marTop w:val="0"/>
                      <w:marBottom w:val="0"/>
                      <w:divBdr>
                        <w:top w:val="none" w:sz="0" w:space="0" w:color="auto"/>
                        <w:left w:val="none" w:sz="0" w:space="0" w:color="auto"/>
                        <w:bottom w:val="none" w:sz="0" w:space="0" w:color="auto"/>
                        <w:right w:val="none" w:sz="0" w:space="0" w:color="auto"/>
                      </w:divBdr>
                      <w:divsChild>
                        <w:div w:id="12007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684399">
      <w:bodyDiv w:val="1"/>
      <w:marLeft w:val="0"/>
      <w:marRight w:val="0"/>
      <w:marTop w:val="0"/>
      <w:marBottom w:val="0"/>
      <w:divBdr>
        <w:top w:val="none" w:sz="0" w:space="0" w:color="auto"/>
        <w:left w:val="none" w:sz="0" w:space="0" w:color="auto"/>
        <w:bottom w:val="none" w:sz="0" w:space="0" w:color="auto"/>
        <w:right w:val="none" w:sz="0" w:space="0" w:color="auto"/>
      </w:divBdr>
    </w:div>
    <w:div w:id="1137913140">
      <w:bodyDiv w:val="1"/>
      <w:marLeft w:val="0"/>
      <w:marRight w:val="0"/>
      <w:marTop w:val="0"/>
      <w:marBottom w:val="0"/>
      <w:divBdr>
        <w:top w:val="none" w:sz="0" w:space="0" w:color="auto"/>
        <w:left w:val="none" w:sz="0" w:space="0" w:color="auto"/>
        <w:bottom w:val="none" w:sz="0" w:space="0" w:color="auto"/>
        <w:right w:val="none" w:sz="0" w:space="0" w:color="auto"/>
      </w:divBdr>
      <w:divsChild>
        <w:div w:id="1846632033">
          <w:marLeft w:val="0"/>
          <w:marRight w:val="0"/>
          <w:marTop w:val="0"/>
          <w:marBottom w:val="0"/>
          <w:divBdr>
            <w:top w:val="none" w:sz="0" w:space="0" w:color="auto"/>
            <w:left w:val="none" w:sz="0" w:space="0" w:color="auto"/>
            <w:bottom w:val="none" w:sz="0" w:space="0" w:color="auto"/>
            <w:right w:val="none" w:sz="0" w:space="0" w:color="auto"/>
          </w:divBdr>
          <w:divsChild>
            <w:div w:id="1964114703">
              <w:marLeft w:val="0"/>
              <w:marRight w:val="0"/>
              <w:marTop w:val="0"/>
              <w:marBottom w:val="0"/>
              <w:divBdr>
                <w:top w:val="none" w:sz="0" w:space="0" w:color="auto"/>
                <w:left w:val="none" w:sz="0" w:space="0" w:color="auto"/>
                <w:bottom w:val="none" w:sz="0" w:space="0" w:color="auto"/>
                <w:right w:val="none" w:sz="0" w:space="0" w:color="auto"/>
              </w:divBdr>
              <w:divsChild>
                <w:div w:id="8023578">
                  <w:marLeft w:val="0"/>
                  <w:marRight w:val="0"/>
                  <w:marTop w:val="0"/>
                  <w:marBottom w:val="0"/>
                  <w:divBdr>
                    <w:top w:val="none" w:sz="0" w:space="0" w:color="auto"/>
                    <w:left w:val="none" w:sz="0" w:space="0" w:color="auto"/>
                    <w:bottom w:val="none" w:sz="0" w:space="0" w:color="auto"/>
                    <w:right w:val="none" w:sz="0" w:space="0" w:color="auto"/>
                  </w:divBdr>
                  <w:divsChild>
                    <w:div w:id="45102958">
                      <w:marLeft w:val="0"/>
                      <w:marRight w:val="0"/>
                      <w:marTop w:val="0"/>
                      <w:marBottom w:val="0"/>
                      <w:divBdr>
                        <w:top w:val="none" w:sz="0" w:space="0" w:color="auto"/>
                        <w:left w:val="none" w:sz="0" w:space="0" w:color="auto"/>
                        <w:bottom w:val="none" w:sz="0" w:space="0" w:color="auto"/>
                        <w:right w:val="none" w:sz="0" w:space="0" w:color="auto"/>
                      </w:divBdr>
                      <w:divsChild>
                        <w:div w:id="2127115691">
                          <w:marLeft w:val="0"/>
                          <w:marRight w:val="0"/>
                          <w:marTop w:val="0"/>
                          <w:marBottom w:val="0"/>
                          <w:divBdr>
                            <w:top w:val="none" w:sz="0" w:space="0" w:color="auto"/>
                            <w:left w:val="none" w:sz="0" w:space="0" w:color="auto"/>
                            <w:bottom w:val="none" w:sz="0" w:space="0" w:color="auto"/>
                            <w:right w:val="none" w:sz="0" w:space="0" w:color="auto"/>
                          </w:divBdr>
                          <w:divsChild>
                            <w:div w:id="1084958322">
                              <w:marLeft w:val="0"/>
                              <w:marRight w:val="0"/>
                              <w:marTop w:val="0"/>
                              <w:marBottom w:val="0"/>
                              <w:divBdr>
                                <w:top w:val="none" w:sz="0" w:space="0" w:color="auto"/>
                                <w:left w:val="none" w:sz="0" w:space="0" w:color="auto"/>
                                <w:bottom w:val="none" w:sz="0" w:space="0" w:color="auto"/>
                                <w:right w:val="none" w:sz="0" w:space="0" w:color="auto"/>
                              </w:divBdr>
                              <w:divsChild>
                                <w:div w:id="254218436">
                                  <w:marLeft w:val="0"/>
                                  <w:marRight w:val="0"/>
                                  <w:marTop w:val="0"/>
                                  <w:marBottom w:val="0"/>
                                  <w:divBdr>
                                    <w:top w:val="none" w:sz="0" w:space="0" w:color="auto"/>
                                    <w:left w:val="none" w:sz="0" w:space="0" w:color="auto"/>
                                    <w:bottom w:val="none" w:sz="0" w:space="0" w:color="auto"/>
                                    <w:right w:val="none" w:sz="0" w:space="0" w:color="auto"/>
                                  </w:divBdr>
                                  <w:divsChild>
                                    <w:div w:id="1992442184">
                                      <w:marLeft w:val="0"/>
                                      <w:marRight w:val="0"/>
                                      <w:marTop w:val="0"/>
                                      <w:marBottom w:val="0"/>
                                      <w:divBdr>
                                        <w:top w:val="none" w:sz="0" w:space="0" w:color="auto"/>
                                        <w:left w:val="none" w:sz="0" w:space="0" w:color="auto"/>
                                        <w:bottom w:val="none" w:sz="0" w:space="0" w:color="auto"/>
                                        <w:right w:val="none" w:sz="0" w:space="0" w:color="auto"/>
                                      </w:divBdr>
                                      <w:divsChild>
                                        <w:div w:id="1498643578">
                                          <w:marLeft w:val="0"/>
                                          <w:marRight w:val="0"/>
                                          <w:marTop w:val="0"/>
                                          <w:marBottom w:val="0"/>
                                          <w:divBdr>
                                            <w:top w:val="none" w:sz="0" w:space="0" w:color="auto"/>
                                            <w:left w:val="none" w:sz="0" w:space="0" w:color="auto"/>
                                            <w:bottom w:val="none" w:sz="0" w:space="0" w:color="auto"/>
                                            <w:right w:val="none" w:sz="0" w:space="0" w:color="auto"/>
                                          </w:divBdr>
                                          <w:divsChild>
                                            <w:div w:id="1481847453">
                                              <w:marLeft w:val="0"/>
                                              <w:marRight w:val="0"/>
                                              <w:marTop w:val="0"/>
                                              <w:marBottom w:val="0"/>
                                              <w:divBdr>
                                                <w:top w:val="none" w:sz="0" w:space="0" w:color="auto"/>
                                                <w:left w:val="none" w:sz="0" w:space="0" w:color="auto"/>
                                                <w:bottom w:val="none" w:sz="0" w:space="0" w:color="auto"/>
                                                <w:right w:val="none" w:sz="0" w:space="0" w:color="auto"/>
                                              </w:divBdr>
                                              <w:divsChild>
                                                <w:div w:id="2054571726">
                                                  <w:marLeft w:val="0"/>
                                                  <w:marRight w:val="0"/>
                                                  <w:marTop w:val="0"/>
                                                  <w:marBottom w:val="0"/>
                                                  <w:divBdr>
                                                    <w:top w:val="none" w:sz="0" w:space="0" w:color="auto"/>
                                                    <w:left w:val="none" w:sz="0" w:space="0" w:color="auto"/>
                                                    <w:bottom w:val="none" w:sz="0" w:space="0" w:color="auto"/>
                                                    <w:right w:val="none" w:sz="0" w:space="0" w:color="auto"/>
                                                  </w:divBdr>
                                                  <w:divsChild>
                                                    <w:div w:id="2074616317">
                                                      <w:marLeft w:val="0"/>
                                                      <w:marRight w:val="0"/>
                                                      <w:marTop w:val="0"/>
                                                      <w:marBottom w:val="0"/>
                                                      <w:divBdr>
                                                        <w:top w:val="none" w:sz="0" w:space="0" w:color="auto"/>
                                                        <w:left w:val="none" w:sz="0" w:space="0" w:color="auto"/>
                                                        <w:bottom w:val="none" w:sz="0" w:space="0" w:color="auto"/>
                                                        <w:right w:val="none" w:sz="0" w:space="0" w:color="auto"/>
                                                      </w:divBdr>
                                                      <w:divsChild>
                                                        <w:div w:id="702287930">
                                                          <w:marLeft w:val="0"/>
                                                          <w:marRight w:val="0"/>
                                                          <w:marTop w:val="0"/>
                                                          <w:marBottom w:val="0"/>
                                                          <w:divBdr>
                                                            <w:top w:val="none" w:sz="0" w:space="0" w:color="auto"/>
                                                            <w:left w:val="none" w:sz="0" w:space="0" w:color="auto"/>
                                                            <w:bottom w:val="none" w:sz="0" w:space="0" w:color="auto"/>
                                                            <w:right w:val="none" w:sz="0" w:space="0" w:color="auto"/>
                                                          </w:divBdr>
                                                          <w:divsChild>
                                                            <w:div w:id="84033014">
                                                              <w:marLeft w:val="0"/>
                                                              <w:marRight w:val="0"/>
                                                              <w:marTop w:val="0"/>
                                                              <w:marBottom w:val="0"/>
                                                              <w:divBdr>
                                                                <w:top w:val="none" w:sz="0" w:space="0" w:color="auto"/>
                                                                <w:left w:val="none" w:sz="0" w:space="0" w:color="auto"/>
                                                                <w:bottom w:val="none" w:sz="0" w:space="0" w:color="auto"/>
                                                                <w:right w:val="none" w:sz="0" w:space="0" w:color="auto"/>
                                                              </w:divBdr>
                                                              <w:divsChild>
                                                                <w:div w:id="1101070606">
                                                                  <w:marLeft w:val="0"/>
                                                                  <w:marRight w:val="0"/>
                                                                  <w:marTop w:val="0"/>
                                                                  <w:marBottom w:val="0"/>
                                                                  <w:divBdr>
                                                                    <w:top w:val="none" w:sz="0" w:space="0" w:color="auto"/>
                                                                    <w:left w:val="none" w:sz="0" w:space="0" w:color="auto"/>
                                                                    <w:bottom w:val="none" w:sz="0" w:space="0" w:color="auto"/>
                                                                    <w:right w:val="none" w:sz="0" w:space="0" w:color="auto"/>
                                                                  </w:divBdr>
                                                                  <w:divsChild>
                                                                    <w:div w:id="35201615">
                                                                      <w:marLeft w:val="0"/>
                                                                      <w:marRight w:val="0"/>
                                                                      <w:marTop w:val="0"/>
                                                                      <w:marBottom w:val="0"/>
                                                                      <w:divBdr>
                                                                        <w:top w:val="none" w:sz="0" w:space="0" w:color="auto"/>
                                                                        <w:left w:val="none" w:sz="0" w:space="0" w:color="auto"/>
                                                                        <w:bottom w:val="none" w:sz="0" w:space="0" w:color="auto"/>
                                                                        <w:right w:val="none" w:sz="0" w:space="0" w:color="auto"/>
                                                                      </w:divBdr>
                                                                      <w:divsChild>
                                                                        <w:div w:id="134105336">
                                                                          <w:marLeft w:val="0"/>
                                                                          <w:marRight w:val="0"/>
                                                                          <w:marTop w:val="0"/>
                                                                          <w:marBottom w:val="0"/>
                                                                          <w:divBdr>
                                                                            <w:top w:val="none" w:sz="0" w:space="0" w:color="auto"/>
                                                                            <w:left w:val="none" w:sz="0" w:space="0" w:color="auto"/>
                                                                            <w:bottom w:val="none" w:sz="0" w:space="0" w:color="auto"/>
                                                                            <w:right w:val="none" w:sz="0" w:space="0" w:color="auto"/>
                                                                          </w:divBdr>
                                                                          <w:divsChild>
                                                                            <w:div w:id="1266958361">
                                                                              <w:marLeft w:val="0"/>
                                                                              <w:marRight w:val="0"/>
                                                                              <w:marTop w:val="0"/>
                                                                              <w:marBottom w:val="0"/>
                                                                              <w:divBdr>
                                                                                <w:top w:val="none" w:sz="0" w:space="0" w:color="auto"/>
                                                                                <w:left w:val="none" w:sz="0" w:space="0" w:color="auto"/>
                                                                                <w:bottom w:val="none" w:sz="0" w:space="0" w:color="auto"/>
                                                                                <w:right w:val="none" w:sz="0" w:space="0" w:color="auto"/>
                                                                              </w:divBdr>
                                                                              <w:divsChild>
                                                                                <w:div w:id="582300094">
                                                                                  <w:marLeft w:val="0"/>
                                                                                  <w:marRight w:val="0"/>
                                                                                  <w:marTop w:val="0"/>
                                                                                  <w:marBottom w:val="0"/>
                                                                                  <w:divBdr>
                                                                                    <w:top w:val="none" w:sz="0" w:space="0" w:color="auto"/>
                                                                                    <w:left w:val="none" w:sz="0" w:space="0" w:color="auto"/>
                                                                                    <w:bottom w:val="none" w:sz="0" w:space="0" w:color="auto"/>
                                                                                    <w:right w:val="none" w:sz="0" w:space="0" w:color="auto"/>
                                                                                  </w:divBdr>
                                                                                  <w:divsChild>
                                                                                    <w:div w:id="1582594578">
                                                                                      <w:marLeft w:val="0"/>
                                                                                      <w:marRight w:val="0"/>
                                                                                      <w:marTop w:val="0"/>
                                                                                      <w:marBottom w:val="0"/>
                                                                                      <w:divBdr>
                                                                                        <w:top w:val="none" w:sz="0" w:space="0" w:color="auto"/>
                                                                                        <w:left w:val="none" w:sz="0" w:space="0" w:color="auto"/>
                                                                                        <w:bottom w:val="none" w:sz="0" w:space="0" w:color="auto"/>
                                                                                        <w:right w:val="none" w:sz="0" w:space="0" w:color="auto"/>
                                                                                      </w:divBdr>
                                                                                      <w:divsChild>
                                                                                        <w:div w:id="77559702">
                                                                                          <w:marLeft w:val="0"/>
                                                                                          <w:marRight w:val="0"/>
                                                                                          <w:marTop w:val="0"/>
                                                                                          <w:marBottom w:val="0"/>
                                                                                          <w:divBdr>
                                                                                            <w:top w:val="none" w:sz="0" w:space="0" w:color="auto"/>
                                                                                            <w:left w:val="none" w:sz="0" w:space="0" w:color="auto"/>
                                                                                            <w:bottom w:val="none" w:sz="0" w:space="0" w:color="auto"/>
                                                                                            <w:right w:val="none" w:sz="0" w:space="0" w:color="auto"/>
                                                                                          </w:divBdr>
                                                                                          <w:divsChild>
                                                                                            <w:div w:id="12632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4495">
                                                                                      <w:marLeft w:val="0"/>
                                                                                      <w:marRight w:val="0"/>
                                                                                      <w:marTop w:val="0"/>
                                                                                      <w:marBottom w:val="0"/>
                                                                                      <w:divBdr>
                                                                                        <w:top w:val="none" w:sz="0" w:space="0" w:color="auto"/>
                                                                                        <w:left w:val="none" w:sz="0" w:space="0" w:color="auto"/>
                                                                                        <w:bottom w:val="none" w:sz="0" w:space="0" w:color="auto"/>
                                                                                        <w:right w:val="none" w:sz="0" w:space="0" w:color="auto"/>
                                                                                      </w:divBdr>
                                                                                      <w:divsChild>
                                                                                        <w:div w:id="1520583234">
                                                                                          <w:marLeft w:val="0"/>
                                                                                          <w:marRight w:val="0"/>
                                                                                          <w:marTop w:val="0"/>
                                                                                          <w:marBottom w:val="0"/>
                                                                                          <w:divBdr>
                                                                                            <w:top w:val="none" w:sz="0" w:space="0" w:color="auto"/>
                                                                                            <w:left w:val="none" w:sz="0" w:space="0" w:color="auto"/>
                                                                                            <w:bottom w:val="none" w:sz="0" w:space="0" w:color="auto"/>
                                                                                            <w:right w:val="none" w:sz="0" w:space="0" w:color="auto"/>
                                                                                          </w:divBdr>
                                                                                          <w:divsChild>
                                                                                            <w:div w:id="786120146">
                                                                                              <w:marLeft w:val="0"/>
                                                                                              <w:marRight w:val="0"/>
                                                                                              <w:marTop w:val="0"/>
                                                                                              <w:marBottom w:val="0"/>
                                                                                              <w:divBdr>
                                                                                                <w:top w:val="none" w:sz="0" w:space="0" w:color="auto"/>
                                                                                                <w:left w:val="none" w:sz="0" w:space="0" w:color="auto"/>
                                                                                                <w:bottom w:val="none" w:sz="0" w:space="0" w:color="auto"/>
                                                                                                <w:right w:val="none" w:sz="0" w:space="0" w:color="auto"/>
                                                                                              </w:divBdr>
                                                                                            </w:div>
                                                                                            <w:div w:id="122116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462128">
      <w:bodyDiv w:val="1"/>
      <w:marLeft w:val="0"/>
      <w:marRight w:val="0"/>
      <w:marTop w:val="0"/>
      <w:marBottom w:val="0"/>
      <w:divBdr>
        <w:top w:val="none" w:sz="0" w:space="0" w:color="auto"/>
        <w:left w:val="none" w:sz="0" w:space="0" w:color="auto"/>
        <w:bottom w:val="none" w:sz="0" w:space="0" w:color="auto"/>
        <w:right w:val="none" w:sz="0" w:space="0" w:color="auto"/>
      </w:divBdr>
    </w:div>
    <w:div w:id="1209487664">
      <w:bodyDiv w:val="1"/>
      <w:marLeft w:val="0"/>
      <w:marRight w:val="0"/>
      <w:marTop w:val="0"/>
      <w:marBottom w:val="0"/>
      <w:divBdr>
        <w:top w:val="none" w:sz="0" w:space="0" w:color="auto"/>
        <w:left w:val="none" w:sz="0" w:space="0" w:color="auto"/>
        <w:bottom w:val="none" w:sz="0" w:space="0" w:color="auto"/>
        <w:right w:val="none" w:sz="0" w:space="0" w:color="auto"/>
      </w:divBdr>
      <w:divsChild>
        <w:div w:id="1658336098">
          <w:marLeft w:val="0"/>
          <w:marRight w:val="0"/>
          <w:marTop w:val="0"/>
          <w:marBottom w:val="0"/>
          <w:divBdr>
            <w:top w:val="none" w:sz="0" w:space="0" w:color="auto"/>
            <w:left w:val="none" w:sz="0" w:space="0" w:color="auto"/>
            <w:bottom w:val="none" w:sz="0" w:space="0" w:color="auto"/>
            <w:right w:val="none" w:sz="0" w:space="0" w:color="auto"/>
          </w:divBdr>
          <w:divsChild>
            <w:div w:id="866799948">
              <w:marLeft w:val="0"/>
              <w:marRight w:val="0"/>
              <w:marTop w:val="0"/>
              <w:marBottom w:val="0"/>
              <w:divBdr>
                <w:top w:val="none" w:sz="0" w:space="0" w:color="auto"/>
                <w:left w:val="none" w:sz="0" w:space="0" w:color="auto"/>
                <w:bottom w:val="none" w:sz="0" w:space="0" w:color="auto"/>
                <w:right w:val="none" w:sz="0" w:space="0" w:color="auto"/>
              </w:divBdr>
              <w:divsChild>
                <w:div w:id="910234650">
                  <w:marLeft w:val="0"/>
                  <w:marRight w:val="0"/>
                  <w:marTop w:val="75"/>
                  <w:marBottom w:val="0"/>
                  <w:divBdr>
                    <w:top w:val="none" w:sz="0" w:space="0" w:color="auto"/>
                    <w:left w:val="none" w:sz="0" w:space="0" w:color="auto"/>
                    <w:bottom w:val="none" w:sz="0" w:space="0" w:color="auto"/>
                    <w:right w:val="none" w:sz="0" w:space="0" w:color="auto"/>
                  </w:divBdr>
                  <w:divsChild>
                    <w:div w:id="1897279149">
                      <w:marLeft w:val="0"/>
                      <w:marRight w:val="0"/>
                      <w:marTop w:val="0"/>
                      <w:marBottom w:val="0"/>
                      <w:divBdr>
                        <w:top w:val="none" w:sz="0" w:space="0" w:color="auto"/>
                        <w:left w:val="none" w:sz="0" w:space="0" w:color="auto"/>
                        <w:bottom w:val="none" w:sz="0" w:space="0" w:color="auto"/>
                        <w:right w:val="none" w:sz="0" w:space="0" w:color="auto"/>
                      </w:divBdr>
                      <w:divsChild>
                        <w:div w:id="1467700736">
                          <w:marLeft w:val="0"/>
                          <w:marRight w:val="0"/>
                          <w:marTop w:val="0"/>
                          <w:marBottom w:val="0"/>
                          <w:divBdr>
                            <w:top w:val="none" w:sz="0" w:space="0" w:color="auto"/>
                            <w:left w:val="none" w:sz="0" w:space="0" w:color="auto"/>
                            <w:bottom w:val="none" w:sz="0" w:space="0" w:color="auto"/>
                            <w:right w:val="none" w:sz="0" w:space="0" w:color="auto"/>
                          </w:divBdr>
                          <w:divsChild>
                            <w:div w:id="4011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060753">
      <w:bodyDiv w:val="1"/>
      <w:marLeft w:val="0"/>
      <w:marRight w:val="0"/>
      <w:marTop w:val="0"/>
      <w:marBottom w:val="0"/>
      <w:divBdr>
        <w:top w:val="none" w:sz="0" w:space="0" w:color="auto"/>
        <w:left w:val="none" w:sz="0" w:space="0" w:color="auto"/>
        <w:bottom w:val="none" w:sz="0" w:space="0" w:color="auto"/>
        <w:right w:val="none" w:sz="0" w:space="0" w:color="auto"/>
      </w:divBdr>
    </w:div>
    <w:div w:id="1276327893">
      <w:bodyDiv w:val="1"/>
      <w:marLeft w:val="0"/>
      <w:marRight w:val="0"/>
      <w:marTop w:val="0"/>
      <w:marBottom w:val="0"/>
      <w:divBdr>
        <w:top w:val="none" w:sz="0" w:space="0" w:color="auto"/>
        <w:left w:val="none" w:sz="0" w:space="0" w:color="auto"/>
        <w:bottom w:val="none" w:sz="0" w:space="0" w:color="auto"/>
        <w:right w:val="none" w:sz="0" w:space="0" w:color="auto"/>
      </w:divBdr>
    </w:div>
    <w:div w:id="1376928749">
      <w:bodyDiv w:val="1"/>
      <w:marLeft w:val="0"/>
      <w:marRight w:val="0"/>
      <w:marTop w:val="0"/>
      <w:marBottom w:val="0"/>
      <w:divBdr>
        <w:top w:val="none" w:sz="0" w:space="0" w:color="auto"/>
        <w:left w:val="none" w:sz="0" w:space="0" w:color="auto"/>
        <w:bottom w:val="none" w:sz="0" w:space="0" w:color="auto"/>
        <w:right w:val="none" w:sz="0" w:space="0" w:color="auto"/>
      </w:divBdr>
    </w:div>
    <w:div w:id="1383867062">
      <w:bodyDiv w:val="1"/>
      <w:marLeft w:val="0"/>
      <w:marRight w:val="0"/>
      <w:marTop w:val="0"/>
      <w:marBottom w:val="0"/>
      <w:divBdr>
        <w:top w:val="none" w:sz="0" w:space="0" w:color="auto"/>
        <w:left w:val="none" w:sz="0" w:space="0" w:color="auto"/>
        <w:bottom w:val="none" w:sz="0" w:space="0" w:color="auto"/>
        <w:right w:val="none" w:sz="0" w:space="0" w:color="auto"/>
      </w:divBdr>
      <w:divsChild>
        <w:div w:id="1426658464">
          <w:marLeft w:val="0"/>
          <w:marRight w:val="0"/>
          <w:marTop w:val="0"/>
          <w:marBottom w:val="0"/>
          <w:divBdr>
            <w:top w:val="none" w:sz="0" w:space="0" w:color="auto"/>
            <w:left w:val="none" w:sz="0" w:space="0" w:color="auto"/>
            <w:bottom w:val="none" w:sz="0" w:space="0" w:color="auto"/>
            <w:right w:val="none" w:sz="0" w:space="0" w:color="auto"/>
          </w:divBdr>
          <w:divsChild>
            <w:div w:id="2003702047">
              <w:marLeft w:val="0"/>
              <w:marRight w:val="0"/>
              <w:marTop w:val="0"/>
              <w:marBottom w:val="0"/>
              <w:divBdr>
                <w:top w:val="none" w:sz="0" w:space="0" w:color="auto"/>
                <w:left w:val="none" w:sz="0" w:space="0" w:color="auto"/>
                <w:bottom w:val="none" w:sz="0" w:space="0" w:color="auto"/>
                <w:right w:val="none" w:sz="0" w:space="0" w:color="auto"/>
              </w:divBdr>
              <w:divsChild>
                <w:div w:id="2003965106">
                  <w:marLeft w:val="0"/>
                  <w:marRight w:val="0"/>
                  <w:marTop w:val="0"/>
                  <w:marBottom w:val="0"/>
                  <w:divBdr>
                    <w:top w:val="none" w:sz="0" w:space="0" w:color="auto"/>
                    <w:left w:val="none" w:sz="0" w:space="0" w:color="auto"/>
                    <w:bottom w:val="none" w:sz="0" w:space="0" w:color="auto"/>
                    <w:right w:val="none" w:sz="0" w:space="0" w:color="auto"/>
                  </w:divBdr>
                  <w:divsChild>
                    <w:div w:id="130901773">
                      <w:marLeft w:val="0"/>
                      <w:marRight w:val="0"/>
                      <w:marTop w:val="0"/>
                      <w:marBottom w:val="0"/>
                      <w:divBdr>
                        <w:top w:val="none" w:sz="0" w:space="0" w:color="auto"/>
                        <w:left w:val="none" w:sz="0" w:space="0" w:color="auto"/>
                        <w:bottom w:val="none" w:sz="0" w:space="0" w:color="auto"/>
                        <w:right w:val="none" w:sz="0" w:space="0" w:color="auto"/>
                      </w:divBdr>
                      <w:divsChild>
                        <w:div w:id="665328709">
                          <w:marLeft w:val="0"/>
                          <w:marRight w:val="0"/>
                          <w:marTop w:val="0"/>
                          <w:marBottom w:val="0"/>
                          <w:divBdr>
                            <w:top w:val="none" w:sz="0" w:space="0" w:color="auto"/>
                            <w:left w:val="none" w:sz="0" w:space="0" w:color="auto"/>
                            <w:bottom w:val="none" w:sz="0" w:space="0" w:color="auto"/>
                            <w:right w:val="none" w:sz="0" w:space="0" w:color="auto"/>
                          </w:divBdr>
                          <w:divsChild>
                            <w:div w:id="1539469761">
                              <w:marLeft w:val="0"/>
                              <w:marRight w:val="0"/>
                              <w:marTop w:val="0"/>
                              <w:marBottom w:val="0"/>
                              <w:divBdr>
                                <w:top w:val="none" w:sz="0" w:space="0" w:color="auto"/>
                                <w:left w:val="none" w:sz="0" w:space="0" w:color="auto"/>
                                <w:bottom w:val="none" w:sz="0" w:space="0" w:color="auto"/>
                                <w:right w:val="none" w:sz="0" w:space="0" w:color="auto"/>
                              </w:divBdr>
                              <w:divsChild>
                                <w:div w:id="994534359">
                                  <w:marLeft w:val="0"/>
                                  <w:marRight w:val="0"/>
                                  <w:marTop w:val="0"/>
                                  <w:marBottom w:val="0"/>
                                  <w:divBdr>
                                    <w:top w:val="none" w:sz="0" w:space="0" w:color="auto"/>
                                    <w:left w:val="none" w:sz="0" w:space="0" w:color="auto"/>
                                    <w:bottom w:val="none" w:sz="0" w:space="0" w:color="auto"/>
                                    <w:right w:val="none" w:sz="0" w:space="0" w:color="auto"/>
                                  </w:divBdr>
                                  <w:divsChild>
                                    <w:div w:id="554660160">
                                      <w:marLeft w:val="0"/>
                                      <w:marRight w:val="0"/>
                                      <w:marTop w:val="0"/>
                                      <w:marBottom w:val="0"/>
                                      <w:divBdr>
                                        <w:top w:val="none" w:sz="0" w:space="0" w:color="auto"/>
                                        <w:left w:val="none" w:sz="0" w:space="0" w:color="auto"/>
                                        <w:bottom w:val="none" w:sz="0" w:space="0" w:color="auto"/>
                                        <w:right w:val="none" w:sz="0" w:space="0" w:color="auto"/>
                                      </w:divBdr>
                                      <w:divsChild>
                                        <w:div w:id="682777654">
                                          <w:marLeft w:val="0"/>
                                          <w:marRight w:val="0"/>
                                          <w:marTop w:val="0"/>
                                          <w:marBottom w:val="0"/>
                                          <w:divBdr>
                                            <w:top w:val="none" w:sz="0" w:space="0" w:color="auto"/>
                                            <w:left w:val="none" w:sz="0" w:space="0" w:color="auto"/>
                                            <w:bottom w:val="none" w:sz="0" w:space="0" w:color="auto"/>
                                            <w:right w:val="none" w:sz="0" w:space="0" w:color="auto"/>
                                          </w:divBdr>
                                          <w:divsChild>
                                            <w:div w:id="287205428">
                                              <w:marLeft w:val="0"/>
                                              <w:marRight w:val="0"/>
                                              <w:marTop w:val="0"/>
                                              <w:marBottom w:val="0"/>
                                              <w:divBdr>
                                                <w:top w:val="none" w:sz="0" w:space="0" w:color="auto"/>
                                                <w:left w:val="none" w:sz="0" w:space="0" w:color="auto"/>
                                                <w:bottom w:val="none" w:sz="0" w:space="0" w:color="auto"/>
                                                <w:right w:val="none" w:sz="0" w:space="0" w:color="auto"/>
                                              </w:divBdr>
                                              <w:divsChild>
                                                <w:div w:id="1667829871">
                                                  <w:marLeft w:val="0"/>
                                                  <w:marRight w:val="0"/>
                                                  <w:marTop w:val="0"/>
                                                  <w:marBottom w:val="0"/>
                                                  <w:divBdr>
                                                    <w:top w:val="none" w:sz="0" w:space="0" w:color="auto"/>
                                                    <w:left w:val="none" w:sz="0" w:space="0" w:color="auto"/>
                                                    <w:bottom w:val="none" w:sz="0" w:space="0" w:color="auto"/>
                                                    <w:right w:val="none" w:sz="0" w:space="0" w:color="auto"/>
                                                  </w:divBdr>
                                                  <w:divsChild>
                                                    <w:div w:id="40523921">
                                                      <w:marLeft w:val="0"/>
                                                      <w:marRight w:val="0"/>
                                                      <w:marTop w:val="0"/>
                                                      <w:marBottom w:val="0"/>
                                                      <w:divBdr>
                                                        <w:top w:val="none" w:sz="0" w:space="0" w:color="auto"/>
                                                        <w:left w:val="none" w:sz="0" w:space="0" w:color="auto"/>
                                                        <w:bottom w:val="none" w:sz="0" w:space="0" w:color="auto"/>
                                                        <w:right w:val="none" w:sz="0" w:space="0" w:color="auto"/>
                                                      </w:divBdr>
                                                      <w:divsChild>
                                                        <w:div w:id="11692927">
                                                          <w:marLeft w:val="0"/>
                                                          <w:marRight w:val="0"/>
                                                          <w:marTop w:val="0"/>
                                                          <w:marBottom w:val="0"/>
                                                          <w:divBdr>
                                                            <w:top w:val="none" w:sz="0" w:space="0" w:color="auto"/>
                                                            <w:left w:val="none" w:sz="0" w:space="0" w:color="auto"/>
                                                            <w:bottom w:val="none" w:sz="0" w:space="0" w:color="auto"/>
                                                            <w:right w:val="none" w:sz="0" w:space="0" w:color="auto"/>
                                                          </w:divBdr>
                                                          <w:divsChild>
                                                            <w:div w:id="451942285">
                                                              <w:marLeft w:val="0"/>
                                                              <w:marRight w:val="0"/>
                                                              <w:marTop w:val="0"/>
                                                              <w:marBottom w:val="0"/>
                                                              <w:divBdr>
                                                                <w:top w:val="none" w:sz="0" w:space="0" w:color="auto"/>
                                                                <w:left w:val="none" w:sz="0" w:space="0" w:color="auto"/>
                                                                <w:bottom w:val="none" w:sz="0" w:space="0" w:color="auto"/>
                                                                <w:right w:val="none" w:sz="0" w:space="0" w:color="auto"/>
                                                              </w:divBdr>
                                                              <w:divsChild>
                                                                <w:div w:id="1635718123">
                                                                  <w:marLeft w:val="0"/>
                                                                  <w:marRight w:val="0"/>
                                                                  <w:marTop w:val="0"/>
                                                                  <w:marBottom w:val="0"/>
                                                                  <w:divBdr>
                                                                    <w:top w:val="none" w:sz="0" w:space="0" w:color="auto"/>
                                                                    <w:left w:val="none" w:sz="0" w:space="0" w:color="auto"/>
                                                                    <w:bottom w:val="none" w:sz="0" w:space="0" w:color="auto"/>
                                                                    <w:right w:val="none" w:sz="0" w:space="0" w:color="auto"/>
                                                                  </w:divBdr>
                                                                  <w:divsChild>
                                                                    <w:div w:id="238833161">
                                                                      <w:marLeft w:val="0"/>
                                                                      <w:marRight w:val="0"/>
                                                                      <w:marTop w:val="0"/>
                                                                      <w:marBottom w:val="0"/>
                                                                      <w:divBdr>
                                                                        <w:top w:val="none" w:sz="0" w:space="0" w:color="auto"/>
                                                                        <w:left w:val="none" w:sz="0" w:space="0" w:color="auto"/>
                                                                        <w:bottom w:val="none" w:sz="0" w:space="0" w:color="auto"/>
                                                                        <w:right w:val="none" w:sz="0" w:space="0" w:color="auto"/>
                                                                      </w:divBdr>
                                                                      <w:divsChild>
                                                                        <w:div w:id="1433161951">
                                                                          <w:marLeft w:val="0"/>
                                                                          <w:marRight w:val="0"/>
                                                                          <w:marTop w:val="0"/>
                                                                          <w:marBottom w:val="0"/>
                                                                          <w:divBdr>
                                                                            <w:top w:val="none" w:sz="0" w:space="0" w:color="auto"/>
                                                                            <w:left w:val="none" w:sz="0" w:space="0" w:color="auto"/>
                                                                            <w:bottom w:val="none" w:sz="0" w:space="0" w:color="auto"/>
                                                                            <w:right w:val="none" w:sz="0" w:space="0" w:color="auto"/>
                                                                          </w:divBdr>
                                                                          <w:divsChild>
                                                                            <w:div w:id="1805270726">
                                                                              <w:marLeft w:val="0"/>
                                                                              <w:marRight w:val="0"/>
                                                                              <w:marTop w:val="0"/>
                                                                              <w:marBottom w:val="0"/>
                                                                              <w:divBdr>
                                                                                <w:top w:val="none" w:sz="0" w:space="0" w:color="auto"/>
                                                                                <w:left w:val="none" w:sz="0" w:space="0" w:color="auto"/>
                                                                                <w:bottom w:val="none" w:sz="0" w:space="0" w:color="auto"/>
                                                                                <w:right w:val="none" w:sz="0" w:space="0" w:color="auto"/>
                                                                              </w:divBdr>
                                                                              <w:divsChild>
                                                                                <w:div w:id="1386564726">
                                                                                  <w:marLeft w:val="0"/>
                                                                                  <w:marRight w:val="0"/>
                                                                                  <w:marTop w:val="0"/>
                                                                                  <w:marBottom w:val="0"/>
                                                                                  <w:divBdr>
                                                                                    <w:top w:val="none" w:sz="0" w:space="0" w:color="auto"/>
                                                                                    <w:left w:val="none" w:sz="0" w:space="0" w:color="auto"/>
                                                                                    <w:bottom w:val="none" w:sz="0" w:space="0" w:color="auto"/>
                                                                                    <w:right w:val="none" w:sz="0" w:space="0" w:color="auto"/>
                                                                                  </w:divBdr>
                                                                                  <w:divsChild>
                                                                                    <w:div w:id="675960392">
                                                                                      <w:marLeft w:val="0"/>
                                                                                      <w:marRight w:val="0"/>
                                                                                      <w:marTop w:val="0"/>
                                                                                      <w:marBottom w:val="0"/>
                                                                                      <w:divBdr>
                                                                                        <w:top w:val="none" w:sz="0" w:space="0" w:color="auto"/>
                                                                                        <w:left w:val="none" w:sz="0" w:space="0" w:color="auto"/>
                                                                                        <w:bottom w:val="none" w:sz="0" w:space="0" w:color="auto"/>
                                                                                        <w:right w:val="none" w:sz="0" w:space="0" w:color="auto"/>
                                                                                      </w:divBdr>
                                                                                      <w:divsChild>
                                                                                        <w:div w:id="429739975">
                                                                                          <w:marLeft w:val="0"/>
                                                                                          <w:marRight w:val="0"/>
                                                                                          <w:marTop w:val="0"/>
                                                                                          <w:marBottom w:val="0"/>
                                                                                          <w:divBdr>
                                                                                            <w:top w:val="none" w:sz="0" w:space="0" w:color="auto"/>
                                                                                            <w:left w:val="none" w:sz="0" w:space="0" w:color="auto"/>
                                                                                            <w:bottom w:val="none" w:sz="0" w:space="0" w:color="auto"/>
                                                                                            <w:right w:val="none" w:sz="0" w:space="0" w:color="auto"/>
                                                                                          </w:divBdr>
                                                                                          <w:divsChild>
                                                                                            <w:div w:id="35674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5405">
                                                                                      <w:marLeft w:val="0"/>
                                                                                      <w:marRight w:val="0"/>
                                                                                      <w:marTop w:val="0"/>
                                                                                      <w:marBottom w:val="0"/>
                                                                                      <w:divBdr>
                                                                                        <w:top w:val="none" w:sz="0" w:space="0" w:color="auto"/>
                                                                                        <w:left w:val="none" w:sz="0" w:space="0" w:color="auto"/>
                                                                                        <w:bottom w:val="none" w:sz="0" w:space="0" w:color="auto"/>
                                                                                        <w:right w:val="none" w:sz="0" w:space="0" w:color="auto"/>
                                                                                      </w:divBdr>
                                                                                      <w:divsChild>
                                                                                        <w:div w:id="134292">
                                                                                          <w:marLeft w:val="0"/>
                                                                                          <w:marRight w:val="0"/>
                                                                                          <w:marTop w:val="0"/>
                                                                                          <w:marBottom w:val="0"/>
                                                                                          <w:divBdr>
                                                                                            <w:top w:val="none" w:sz="0" w:space="0" w:color="auto"/>
                                                                                            <w:left w:val="none" w:sz="0" w:space="0" w:color="auto"/>
                                                                                            <w:bottom w:val="none" w:sz="0" w:space="0" w:color="auto"/>
                                                                                            <w:right w:val="none" w:sz="0" w:space="0" w:color="auto"/>
                                                                                          </w:divBdr>
                                                                                          <w:divsChild>
                                                                                            <w:div w:id="454253841">
                                                                                              <w:marLeft w:val="0"/>
                                                                                              <w:marRight w:val="0"/>
                                                                                              <w:marTop w:val="0"/>
                                                                                              <w:marBottom w:val="0"/>
                                                                                              <w:divBdr>
                                                                                                <w:top w:val="none" w:sz="0" w:space="0" w:color="auto"/>
                                                                                                <w:left w:val="none" w:sz="0" w:space="0" w:color="auto"/>
                                                                                                <w:bottom w:val="none" w:sz="0" w:space="0" w:color="auto"/>
                                                                                                <w:right w:val="none" w:sz="0" w:space="0" w:color="auto"/>
                                                                                              </w:divBdr>
                                                                                            </w:div>
                                                                                            <w:div w:id="17767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8917670">
      <w:bodyDiv w:val="1"/>
      <w:marLeft w:val="0"/>
      <w:marRight w:val="0"/>
      <w:marTop w:val="0"/>
      <w:marBottom w:val="0"/>
      <w:divBdr>
        <w:top w:val="none" w:sz="0" w:space="0" w:color="auto"/>
        <w:left w:val="none" w:sz="0" w:space="0" w:color="auto"/>
        <w:bottom w:val="none" w:sz="0" w:space="0" w:color="auto"/>
        <w:right w:val="none" w:sz="0" w:space="0" w:color="auto"/>
      </w:divBdr>
    </w:div>
    <w:div w:id="1437822928">
      <w:bodyDiv w:val="1"/>
      <w:marLeft w:val="0"/>
      <w:marRight w:val="0"/>
      <w:marTop w:val="0"/>
      <w:marBottom w:val="0"/>
      <w:divBdr>
        <w:top w:val="none" w:sz="0" w:space="0" w:color="auto"/>
        <w:left w:val="none" w:sz="0" w:space="0" w:color="auto"/>
        <w:bottom w:val="none" w:sz="0" w:space="0" w:color="auto"/>
        <w:right w:val="none" w:sz="0" w:space="0" w:color="auto"/>
      </w:divBdr>
      <w:divsChild>
        <w:div w:id="2130582992">
          <w:marLeft w:val="0"/>
          <w:marRight w:val="0"/>
          <w:marTop w:val="0"/>
          <w:marBottom w:val="300"/>
          <w:divBdr>
            <w:top w:val="none" w:sz="0" w:space="0" w:color="auto"/>
            <w:left w:val="none" w:sz="0" w:space="0" w:color="auto"/>
            <w:bottom w:val="none" w:sz="0" w:space="0" w:color="auto"/>
            <w:right w:val="none" w:sz="0" w:space="0" w:color="auto"/>
          </w:divBdr>
          <w:divsChild>
            <w:div w:id="1182670773">
              <w:marLeft w:val="0"/>
              <w:marRight w:val="0"/>
              <w:marTop w:val="0"/>
              <w:marBottom w:val="0"/>
              <w:divBdr>
                <w:top w:val="none" w:sz="0" w:space="0" w:color="auto"/>
                <w:left w:val="none" w:sz="0" w:space="0" w:color="auto"/>
                <w:bottom w:val="none" w:sz="0" w:space="0" w:color="auto"/>
                <w:right w:val="none" w:sz="0" w:space="0" w:color="auto"/>
              </w:divBdr>
              <w:divsChild>
                <w:div w:id="67700645">
                  <w:marLeft w:val="0"/>
                  <w:marRight w:val="0"/>
                  <w:marTop w:val="0"/>
                  <w:marBottom w:val="0"/>
                  <w:divBdr>
                    <w:top w:val="none" w:sz="0" w:space="0" w:color="auto"/>
                    <w:left w:val="none" w:sz="0" w:space="0" w:color="auto"/>
                    <w:bottom w:val="none" w:sz="0" w:space="0" w:color="auto"/>
                    <w:right w:val="none" w:sz="0" w:space="0" w:color="auto"/>
                  </w:divBdr>
                  <w:divsChild>
                    <w:div w:id="1608389150">
                      <w:marLeft w:val="0"/>
                      <w:marRight w:val="0"/>
                      <w:marTop w:val="0"/>
                      <w:marBottom w:val="0"/>
                      <w:divBdr>
                        <w:top w:val="none" w:sz="0" w:space="0" w:color="auto"/>
                        <w:left w:val="none" w:sz="0" w:space="0" w:color="auto"/>
                        <w:bottom w:val="none" w:sz="0" w:space="0" w:color="auto"/>
                        <w:right w:val="none" w:sz="0" w:space="0" w:color="auto"/>
                      </w:divBdr>
                      <w:divsChild>
                        <w:div w:id="15269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881914">
      <w:bodyDiv w:val="1"/>
      <w:marLeft w:val="0"/>
      <w:marRight w:val="0"/>
      <w:marTop w:val="0"/>
      <w:marBottom w:val="0"/>
      <w:divBdr>
        <w:top w:val="none" w:sz="0" w:space="0" w:color="auto"/>
        <w:left w:val="none" w:sz="0" w:space="0" w:color="auto"/>
        <w:bottom w:val="none" w:sz="0" w:space="0" w:color="auto"/>
        <w:right w:val="none" w:sz="0" w:space="0" w:color="auto"/>
      </w:divBdr>
    </w:div>
    <w:div w:id="1563328489">
      <w:bodyDiv w:val="1"/>
      <w:marLeft w:val="0"/>
      <w:marRight w:val="0"/>
      <w:marTop w:val="0"/>
      <w:marBottom w:val="0"/>
      <w:divBdr>
        <w:top w:val="none" w:sz="0" w:space="0" w:color="auto"/>
        <w:left w:val="none" w:sz="0" w:space="0" w:color="auto"/>
        <w:bottom w:val="none" w:sz="0" w:space="0" w:color="auto"/>
        <w:right w:val="none" w:sz="0" w:space="0" w:color="auto"/>
      </w:divBdr>
    </w:div>
    <w:div w:id="1632831503">
      <w:bodyDiv w:val="1"/>
      <w:marLeft w:val="0"/>
      <w:marRight w:val="0"/>
      <w:marTop w:val="0"/>
      <w:marBottom w:val="0"/>
      <w:divBdr>
        <w:top w:val="none" w:sz="0" w:space="0" w:color="auto"/>
        <w:left w:val="none" w:sz="0" w:space="0" w:color="auto"/>
        <w:bottom w:val="none" w:sz="0" w:space="0" w:color="auto"/>
        <w:right w:val="none" w:sz="0" w:space="0" w:color="auto"/>
      </w:divBdr>
    </w:div>
    <w:div w:id="1731536280">
      <w:bodyDiv w:val="1"/>
      <w:marLeft w:val="0"/>
      <w:marRight w:val="0"/>
      <w:marTop w:val="0"/>
      <w:marBottom w:val="0"/>
      <w:divBdr>
        <w:top w:val="none" w:sz="0" w:space="0" w:color="auto"/>
        <w:left w:val="none" w:sz="0" w:space="0" w:color="auto"/>
        <w:bottom w:val="none" w:sz="0" w:space="0" w:color="auto"/>
        <w:right w:val="none" w:sz="0" w:space="0" w:color="auto"/>
      </w:divBdr>
    </w:div>
    <w:div w:id="1797260342">
      <w:bodyDiv w:val="1"/>
      <w:marLeft w:val="0"/>
      <w:marRight w:val="0"/>
      <w:marTop w:val="0"/>
      <w:marBottom w:val="0"/>
      <w:divBdr>
        <w:top w:val="none" w:sz="0" w:space="0" w:color="auto"/>
        <w:left w:val="none" w:sz="0" w:space="0" w:color="auto"/>
        <w:bottom w:val="none" w:sz="0" w:space="0" w:color="auto"/>
        <w:right w:val="none" w:sz="0" w:space="0" w:color="auto"/>
      </w:divBdr>
    </w:div>
    <w:div w:id="1802530428">
      <w:bodyDiv w:val="1"/>
      <w:marLeft w:val="0"/>
      <w:marRight w:val="0"/>
      <w:marTop w:val="0"/>
      <w:marBottom w:val="0"/>
      <w:divBdr>
        <w:top w:val="none" w:sz="0" w:space="0" w:color="auto"/>
        <w:left w:val="none" w:sz="0" w:space="0" w:color="auto"/>
        <w:bottom w:val="none" w:sz="0" w:space="0" w:color="auto"/>
        <w:right w:val="none" w:sz="0" w:space="0" w:color="auto"/>
      </w:divBdr>
    </w:div>
    <w:div w:id="1805929124">
      <w:bodyDiv w:val="1"/>
      <w:marLeft w:val="0"/>
      <w:marRight w:val="0"/>
      <w:marTop w:val="0"/>
      <w:marBottom w:val="0"/>
      <w:divBdr>
        <w:top w:val="none" w:sz="0" w:space="0" w:color="auto"/>
        <w:left w:val="none" w:sz="0" w:space="0" w:color="auto"/>
        <w:bottom w:val="none" w:sz="0" w:space="0" w:color="auto"/>
        <w:right w:val="none" w:sz="0" w:space="0" w:color="auto"/>
      </w:divBdr>
    </w:div>
    <w:div w:id="1860897516">
      <w:bodyDiv w:val="1"/>
      <w:marLeft w:val="0"/>
      <w:marRight w:val="0"/>
      <w:marTop w:val="0"/>
      <w:marBottom w:val="0"/>
      <w:divBdr>
        <w:top w:val="none" w:sz="0" w:space="0" w:color="auto"/>
        <w:left w:val="none" w:sz="0" w:space="0" w:color="auto"/>
        <w:bottom w:val="none" w:sz="0" w:space="0" w:color="auto"/>
        <w:right w:val="none" w:sz="0" w:space="0" w:color="auto"/>
      </w:divBdr>
    </w:div>
    <w:div w:id="1924946752">
      <w:bodyDiv w:val="1"/>
      <w:marLeft w:val="0"/>
      <w:marRight w:val="0"/>
      <w:marTop w:val="0"/>
      <w:marBottom w:val="0"/>
      <w:divBdr>
        <w:top w:val="none" w:sz="0" w:space="0" w:color="auto"/>
        <w:left w:val="none" w:sz="0" w:space="0" w:color="auto"/>
        <w:bottom w:val="none" w:sz="0" w:space="0" w:color="auto"/>
        <w:right w:val="none" w:sz="0" w:space="0" w:color="auto"/>
      </w:divBdr>
    </w:div>
    <w:div w:id="2041586195">
      <w:bodyDiv w:val="1"/>
      <w:marLeft w:val="0"/>
      <w:marRight w:val="0"/>
      <w:marTop w:val="0"/>
      <w:marBottom w:val="0"/>
      <w:divBdr>
        <w:top w:val="none" w:sz="0" w:space="0" w:color="auto"/>
        <w:left w:val="none" w:sz="0" w:space="0" w:color="auto"/>
        <w:bottom w:val="none" w:sz="0" w:space="0" w:color="auto"/>
        <w:right w:val="none" w:sz="0" w:space="0" w:color="auto"/>
      </w:divBdr>
    </w:div>
    <w:div w:id="2064912170">
      <w:bodyDiv w:val="1"/>
      <w:marLeft w:val="0"/>
      <w:marRight w:val="0"/>
      <w:marTop w:val="0"/>
      <w:marBottom w:val="0"/>
      <w:divBdr>
        <w:top w:val="none" w:sz="0" w:space="0" w:color="auto"/>
        <w:left w:val="none" w:sz="0" w:space="0" w:color="auto"/>
        <w:bottom w:val="none" w:sz="0" w:space="0" w:color="auto"/>
        <w:right w:val="none" w:sz="0" w:space="0" w:color="auto"/>
      </w:divBdr>
    </w:div>
    <w:div w:id="2106220129">
      <w:bodyDiv w:val="1"/>
      <w:marLeft w:val="0"/>
      <w:marRight w:val="0"/>
      <w:marTop w:val="0"/>
      <w:marBottom w:val="0"/>
      <w:divBdr>
        <w:top w:val="none" w:sz="0" w:space="0" w:color="auto"/>
        <w:left w:val="none" w:sz="0" w:space="0" w:color="auto"/>
        <w:bottom w:val="none" w:sz="0" w:space="0" w:color="auto"/>
        <w:right w:val="none" w:sz="0" w:space="0" w:color="auto"/>
      </w:divBdr>
    </w:div>
    <w:div w:id="2141611289">
      <w:bodyDiv w:val="1"/>
      <w:marLeft w:val="0"/>
      <w:marRight w:val="0"/>
      <w:marTop w:val="0"/>
      <w:marBottom w:val="0"/>
      <w:divBdr>
        <w:top w:val="none" w:sz="0" w:space="0" w:color="auto"/>
        <w:left w:val="none" w:sz="0" w:space="0" w:color="auto"/>
        <w:bottom w:val="none" w:sz="0" w:space="0" w:color="auto"/>
        <w:right w:val="none" w:sz="0" w:space="0" w:color="auto"/>
      </w:divBdr>
      <w:divsChild>
        <w:div w:id="17246421">
          <w:marLeft w:val="0"/>
          <w:marRight w:val="0"/>
          <w:marTop w:val="0"/>
          <w:marBottom w:val="300"/>
          <w:divBdr>
            <w:top w:val="none" w:sz="0" w:space="0" w:color="auto"/>
            <w:left w:val="none" w:sz="0" w:space="0" w:color="auto"/>
            <w:bottom w:val="none" w:sz="0" w:space="0" w:color="auto"/>
            <w:right w:val="none" w:sz="0" w:space="0" w:color="auto"/>
          </w:divBdr>
          <w:divsChild>
            <w:div w:id="1646810058">
              <w:marLeft w:val="0"/>
              <w:marRight w:val="0"/>
              <w:marTop w:val="0"/>
              <w:marBottom w:val="0"/>
              <w:divBdr>
                <w:top w:val="none" w:sz="0" w:space="0" w:color="auto"/>
                <w:left w:val="none" w:sz="0" w:space="0" w:color="auto"/>
                <w:bottom w:val="none" w:sz="0" w:space="0" w:color="auto"/>
                <w:right w:val="none" w:sz="0" w:space="0" w:color="auto"/>
              </w:divBdr>
              <w:divsChild>
                <w:div w:id="368917240">
                  <w:marLeft w:val="0"/>
                  <w:marRight w:val="0"/>
                  <w:marTop w:val="0"/>
                  <w:marBottom w:val="0"/>
                  <w:divBdr>
                    <w:top w:val="none" w:sz="0" w:space="0" w:color="auto"/>
                    <w:left w:val="none" w:sz="0" w:space="0" w:color="auto"/>
                    <w:bottom w:val="none" w:sz="0" w:space="0" w:color="auto"/>
                    <w:right w:val="none" w:sz="0" w:space="0" w:color="auto"/>
                  </w:divBdr>
                  <w:divsChild>
                    <w:div w:id="1727339055">
                      <w:marLeft w:val="0"/>
                      <w:marRight w:val="0"/>
                      <w:marTop w:val="0"/>
                      <w:marBottom w:val="0"/>
                      <w:divBdr>
                        <w:top w:val="none" w:sz="0" w:space="0" w:color="auto"/>
                        <w:left w:val="none" w:sz="0" w:space="0" w:color="auto"/>
                        <w:bottom w:val="none" w:sz="0" w:space="0" w:color="auto"/>
                        <w:right w:val="none" w:sz="0" w:space="0" w:color="auto"/>
                      </w:divBdr>
                      <w:divsChild>
                        <w:div w:id="1447384820">
                          <w:marLeft w:val="0"/>
                          <w:marRight w:val="0"/>
                          <w:marTop w:val="0"/>
                          <w:marBottom w:val="0"/>
                          <w:divBdr>
                            <w:top w:val="none" w:sz="0" w:space="0" w:color="auto"/>
                            <w:left w:val="none" w:sz="0" w:space="0" w:color="auto"/>
                            <w:bottom w:val="none" w:sz="0" w:space="0" w:color="auto"/>
                            <w:right w:val="none" w:sz="0" w:space="0" w:color="auto"/>
                          </w:divBdr>
                          <w:divsChild>
                            <w:div w:id="2364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vigator.nl/vakstudie/WKNL_CSL_607/openCitation/id71d4376546dba67c3cca718b70c8c07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etten.overheid.nl/jci1.3:c:BWBR0034017&amp;artikel=4&amp;g=2020-08-17&amp;z=2020-08-17" TargetMode="External"/><Relationship Id="rId14"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3" Type="http://schemas.openxmlformats.org/officeDocument/2006/relationships/hyperlink" Target="https://www.navigator.nl/vakstudie/WKNL_CSL_607/document/idba7e65817ecd4e8a9af8c5fc64ec50d6" TargetMode="External"/><Relationship Id="rId2" Type="http://schemas.openxmlformats.org/officeDocument/2006/relationships/hyperlink" Target="https://statengeneraaldigitaal.nl/uitgebreidzoeken/zoekresultaten?documentType=Kamerstukken&amp;kamer%5b%5d=Tweede%20Kamer&amp;vergaderjaar%5bvan%5d=1988%20-%201989&amp;vergaderjaar%5btot%5d=1988%20-%201989&amp;kamerstukken%5bkamerstuknummer%5d=26727-3" TargetMode="External"/><Relationship Id="rId1" Type="http://schemas.openxmlformats.org/officeDocument/2006/relationships/hyperlink" Target="https://zoek.officielebekendmakingen.nl/kst-33003-54.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B44B411894E64CBB2F376380C621FD" ma:contentTypeVersion="0" ma:contentTypeDescription="Een nieuw document maken." ma:contentTypeScope="" ma:versionID="29298bacf1303da4d93313e4703a78e5">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3464AF-0CCE-459D-BB51-1BADFEF8ECCD}"/>
</file>

<file path=customXml/itemProps2.xml><?xml version="1.0" encoding="utf-8"?>
<ds:datastoreItem xmlns:ds="http://schemas.openxmlformats.org/officeDocument/2006/customXml" ds:itemID="{A7336BAF-2BF4-4484-AA3B-7218C7321560}"/>
</file>

<file path=customXml/itemProps3.xml><?xml version="1.0" encoding="utf-8"?>
<ds:datastoreItem xmlns:ds="http://schemas.openxmlformats.org/officeDocument/2006/customXml" ds:itemID="{426B8574-CDC5-4383-B997-9C409F5C7A37}"/>
</file>

<file path=docProps/app.xml><?xml version="1.0" encoding="utf-8"?>
<Properties xmlns="http://schemas.openxmlformats.org/officeDocument/2006/extended-properties" xmlns:vt="http://schemas.openxmlformats.org/officeDocument/2006/docPropsVTypes">
  <Template>Normal</Template>
  <TotalTime>0</TotalTime>
  <Pages>26</Pages>
  <Words>11254</Words>
  <Characters>61900</Characters>
  <Application>Microsoft Office Word</Application>
  <DocSecurity>0</DocSecurity>
  <Lines>515</Lines>
  <Paragraphs>146</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73008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Aben, CF (Sheila) (COMM)</dc:creator>
  <cp:keywords/>
  <dc:description/>
  <cp:lastModifiedBy>Aben, CF (Sheila) (COMM)</cp:lastModifiedBy>
  <cp:revision>2</cp:revision>
  <dcterms:created xsi:type="dcterms:W3CDTF">2020-09-15T10:52:00Z</dcterms:created>
  <dcterms:modified xsi:type="dcterms:W3CDTF">2020-09-15T10:52:00Z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0x01010021B44B411894E64CBB2F376380C621FD</vt:lpwstr>
  </property>
</Properties>
</file>